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71C" w:rsidRPr="006D3ED3" w:rsidRDefault="00C9271C" w:rsidP="00C9271C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bookmarkStart w:id="0" w:name="_GoBack"/>
      <w:bookmarkEnd w:id="0"/>
      <w:r w:rsidRPr="006D3ED3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ПОЯСНЮВАЛЬНА ЗАПИСКА</w:t>
      </w:r>
    </w:p>
    <w:p w:rsidR="00C9271C" w:rsidRPr="006D3ED3" w:rsidRDefault="00C9271C" w:rsidP="00C9271C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6D3ED3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до </w:t>
      </w:r>
      <w:r w:rsidR="00B41D59" w:rsidRPr="006D3ED3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проекту</w:t>
      </w:r>
      <w:r w:rsidRPr="006D3ED3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Закону України "Про внесення змін до Кодексу цивільного захисту (щодо удосконалення моніторингу та заходів із запобігання виникненню надзвичайних ситуацій)"</w:t>
      </w:r>
    </w:p>
    <w:p w:rsidR="00C9271C" w:rsidRPr="006D3ED3" w:rsidRDefault="00C9271C" w:rsidP="00C9271C">
      <w:pPr>
        <w:spacing w:after="60" w:line="24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C9271C" w:rsidRPr="006D3ED3" w:rsidRDefault="00C9271C" w:rsidP="00C9271C">
      <w:pPr>
        <w:spacing w:after="60" w:line="240" w:lineRule="auto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C9271C" w:rsidRPr="006D3ED3" w:rsidRDefault="00C9271C" w:rsidP="00C9271C">
      <w:pPr>
        <w:numPr>
          <w:ilvl w:val="0"/>
          <w:numId w:val="1"/>
        </w:numPr>
        <w:spacing w:after="60" w:line="240" w:lineRule="auto"/>
        <w:jc w:val="both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6D3ED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Обґрунтув</w:t>
      </w:r>
      <w:r w:rsidR="0095172A" w:rsidRPr="006D3ED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ання необхідності прийняття акту</w:t>
      </w:r>
      <w:r w:rsidRPr="006D3ED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.</w:t>
      </w:r>
    </w:p>
    <w:p w:rsidR="00C9271C" w:rsidRPr="006D3ED3" w:rsidRDefault="00C9271C" w:rsidP="00C927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Протягом останніх 10 років (2009-2018рр.) в Україні </w:t>
      </w:r>
      <w:r w:rsidR="00E534EC"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виникало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близько 1</w:t>
      </w:r>
      <w:r w:rsidR="0095172A"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828 надзвичайних ситуацій (далі 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НС), близько половини з яких (48%), відповідно до Національного клас</w:t>
      </w:r>
      <w:r w:rsidR="0095172A"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>ифікатору надзвичайних ситуацій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відносяться до НС техногенного характеру, які щорічно забирають сотні життів, завдають багатомільйонних збитків державі та населенню. </w:t>
      </w:r>
    </w:p>
    <w:p w:rsidR="00E55A1D" w:rsidRPr="006D3ED3" w:rsidRDefault="00C9271C" w:rsidP="00C927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офіційною </w:t>
      </w:r>
      <w:r w:rsidR="0095172A"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10-річною 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жахливою статистикою жертвами НС техногенного характеру стало більше </w:t>
      </w:r>
      <w:r w:rsidR="0095172A"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ніж 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5172A"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тис. 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осіб, з яких </w:t>
      </w:r>
      <w:r w:rsidR="0095172A"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>1928 осіб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загинуло, у т</w:t>
      </w:r>
      <w:r w:rsidR="0095172A"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ому числі й 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199 дітей. </w:t>
      </w:r>
      <w:r w:rsidR="0095172A"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E55A1D" w:rsidRPr="006D3ED3" w:rsidRDefault="0095172A" w:rsidP="00C927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>І це саме надзвичайні ситуації техногенного характеру, тобто ті, які виникли під впливом техногенного фактору який на відміну від природного ‒ є ств</w:t>
      </w:r>
      <w:r w:rsidR="00E55A1D"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ореним та підконтрольним людині. Ц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саме ті </w:t>
      </w:r>
      <w:r w:rsidR="00E55A1D"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надзвичайні ситуації 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жертви, яких можливо було б уникнути, якщо </w:t>
      </w:r>
      <w:r w:rsidR="00E55A1D"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законодавчо закріпити механізм контролю та виявлення на ранній стадії загрози виникнення аварії чи надзвичайної ситуації.</w:t>
      </w:r>
    </w:p>
    <w:p w:rsidR="0095172A" w:rsidRPr="006D3ED3" w:rsidRDefault="0095172A" w:rsidP="00C927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Окрім тисяч</w:t>
      </w:r>
      <w:r w:rsidR="00E55A1D"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жертв власних громадян, яких вже неможливо повернути, </w:t>
      </w:r>
      <w:r w:rsidR="00E55A1D"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внаслідок </w:t>
      </w:r>
      <w:r w:rsidR="00E55A1D"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надзвичайних ситуацій 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техногенного характеру Україна також втрачає сотні мільйонів гривень </w:t>
      </w:r>
      <w:r w:rsidR="00E55A1D"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прямих матеріальних збитків.</w:t>
      </w:r>
    </w:p>
    <w:p w:rsidR="00C9271C" w:rsidRPr="006D3ED3" w:rsidRDefault="00C9271C" w:rsidP="00C927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r w:rsidR="00715A03"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орієнтовні матеріальні збитки внаслідок </w:t>
      </w:r>
      <w:r w:rsidR="00E55A1D"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надзвичайної ситуації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техногенного характеру у 2008 році перевищили 93,8 млн. грн., у 2009 році – 189,4 млн. грн., у 2015 році - 271 млн. грн. Сума збитків за інші роки також становила сотні мільйонів гривень.</w:t>
      </w:r>
    </w:p>
    <w:p w:rsidR="00C9271C" w:rsidRPr="006D3ED3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>Слід відзначити, що протягом останніх років</w:t>
      </w:r>
      <w:r w:rsidR="00E55A1D"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цілому</w:t>
      </w:r>
      <w:r w:rsidR="00E55A1D"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спостерігається тенденція до зниження кількості </w:t>
      </w:r>
      <w:r w:rsidR="00E55A1D"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>надзвичайних ситуацій.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Значною мірою цьому сприяє виконання суб’єктами господарювання вимог чинного законодавства стосовно застосування заходів із виявлення загрози виникнення НС й своєчасного оповіщення населення в зоні можливого ураження. За 10 років це дозволило знизити кількість НС техногенного характеру майже у три рази, а кількість загиблих у два. </w:t>
      </w:r>
    </w:p>
    <w:p w:rsidR="00E55A1D" w:rsidRPr="006D3ED3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Але чинним законодавством ці вимоги визначено лише для вузької категорії об’єктів – об’єкти підвищеної небезпеки (ст.53 Кодексу цивільного захисту України). </w:t>
      </w:r>
    </w:p>
    <w:p w:rsidR="00C9271C" w:rsidRPr="006D3ED3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 статистика НС техногенного характеру в черговий раз доводить, що цього недостатньо. Із року в рік значну кількість НС техногенного характеру – складають саме НС місцевого (42%) та об’єктового рівня (50%) – це говорить про недосконалість вимог </w:t>
      </w:r>
      <w:r w:rsidR="00E55A1D"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чинного законодавства 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>до об’єктів у частині забезпечення техногенної безпеки.</w:t>
      </w:r>
    </w:p>
    <w:p w:rsidR="00C9271C" w:rsidRPr="006D3ED3" w:rsidRDefault="00C9271C" w:rsidP="00C927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9271C" w:rsidRPr="006D3ED3" w:rsidRDefault="00C9271C" w:rsidP="00C927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3ED3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6155055" cy="3165475"/>
            <wp:effectExtent l="0" t="0" r="17145" b="15875"/>
            <wp:docPr id="2" name="Діаграма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9271C" w:rsidRPr="006D3ED3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9271C" w:rsidRPr="006D3ED3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6D3ED3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Рис. 1. Розподіл НС техногенного характеру за масштабами (рівнем) 2009-2018рр.</w:t>
      </w:r>
    </w:p>
    <w:p w:rsidR="00C9271C" w:rsidRPr="006D3ED3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9271C" w:rsidRPr="006D3ED3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Недосконалість вимог щодо забезпечення техногенної безпеки на об’єктах також демонструє розподіл НС техногенного характеру за територіальною ознакою – для регіонів зі скупченням об'єктів енергетики, переробки та промисловості характерно підвищена кількість НС техногенного характеру, та домінування їх частки в загальній кількості НС. </w:t>
      </w:r>
    </w:p>
    <w:p w:rsidR="00C9271C" w:rsidRPr="006D3ED3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9271C" w:rsidRPr="006D3ED3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9271C" w:rsidRPr="006D3ED3" w:rsidRDefault="00C9271C" w:rsidP="00C927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35"/>
          <w:highlight w:val="red"/>
          <w:lang w:eastAsia="ru-RU"/>
        </w:rPr>
      </w:pPr>
      <w:r w:rsidRPr="006D3ED3">
        <w:rPr>
          <w:rFonts w:ascii="Times New Roman" w:eastAsia="Times New Roman" w:hAnsi="Times New Roman" w:cs="Arial"/>
          <w:noProof/>
          <w:sz w:val="28"/>
          <w:szCs w:val="35"/>
          <w:lang w:eastAsia="uk-UA"/>
        </w:rPr>
        <w:drawing>
          <wp:inline distT="0" distB="0" distL="0" distR="0">
            <wp:extent cx="5648325" cy="2924175"/>
            <wp:effectExtent l="0" t="0" r="9525" b="9525"/>
            <wp:docPr id="1" name="Рисунок 1" descr="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0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71C" w:rsidRPr="006D3ED3" w:rsidRDefault="00C9271C" w:rsidP="00C927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35"/>
          <w:highlight w:val="red"/>
          <w:lang w:eastAsia="ru-RU"/>
        </w:rPr>
      </w:pPr>
    </w:p>
    <w:p w:rsidR="00C9271C" w:rsidRPr="006D3ED3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6D3ED3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Рис. 2. Розподіл НС техногенного характеру за територіальною ознакою 2018р.</w:t>
      </w:r>
    </w:p>
    <w:p w:rsidR="00C9271C" w:rsidRPr="006D3ED3" w:rsidRDefault="00C9271C" w:rsidP="00C927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35"/>
          <w:highlight w:val="red"/>
          <w:lang w:eastAsia="ru-RU"/>
        </w:rPr>
      </w:pPr>
    </w:p>
    <w:p w:rsidR="00C9271C" w:rsidRPr="006D3ED3" w:rsidRDefault="00C9271C" w:rsidP="00C927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35"/>
          <w:highlight w:val="red"/>
          <w:lang w:eastAsia="ru-RU"/>
        </w:rPr>
      </w:pPr>
    </w:p>
    <w:p w:rsidR="00715A03" w:rsidRPr="006D3ED3" w:rsidRDefault="00715A03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25378" w:rsidRPr="006D3ED3" w:rsidRDefault="00FE7715" w:rsidP="0072432D">
      <w:pPr>
        <w:pStyle w:val="aa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val="uk-UA" w:eastAsia="uk-UA"/>
        </w:rPr>
      </w:pPr>
      <w:r w:rsidRPr="006D3ED3">
        <w:rPr>
          <w:sz w:val="28"/>
          <w:szCs w:val="28"/>
          <w:lang w:val="uk-UA" w:eastAsia="uk-UA"/>
        </w:rPr>
        <w:t>Окремої уваги потребують об’єкти залізничного, авіаційного та морського транспорту, на території яких розташовані місця зберігання небезпечних вантажів</w:t>
      </w:r>
      <w:r w:rsidR="002B6B78" w:rsidRPr="006D3ED3">
        <w:rPr>
          <w:sz w:val="28"/>
          <w:szCs w:val="28"/>
          <w:lang w:val="uk-UA" w:eastAsia="uk-UA"/>
        </w:rPr>
        <w:t xml:space="preserve"> в процесі їх перевезення</w:t>
      </w:r>
      <w:r w:rsidR="00025378" w:rsidRPr="006D3ED3">
        <w:rPr>
          <w:sz w:val="28"/>
          <w:szCs w:val="28"/>
          <w:lang w:val="uk-UA" w:eastAsia="uk-UA"/>
        </w:rPr>
        <w:t>.</w:t>
      </w:r>
      <w:r w:rsidRPr="006D3ED3">
        <w:rPr>
          <w:sz w:val="28"/>
          <w:szCs w:val="28"/>
          <w:lang w:val="uk-UA" w:eastAsia="uk-UA"/>
        </w:rPr>
        <w:t xml:space="preserve"> </w:t>
      </w:r>
      <w:r w:rsidR="00B83A89" w:rsidRPr="006D3ED3">
        <w:rPr>
          <w:sz w:val="28"/>
          <w:szCs w:val="28"/>
          <w:lang w:val="uk-UA" w:eastAsia="uk-UA"/>
        </w:rPr>
        <w:t xml:space="preserve">Часто це необладнані склади або майданчики, де небезпечні вантажі різного характеру зберігаються поруч у довільному порядку. </w:t>
      </w:r>
    </w:p>
    <w:p w:rsidR="006D4748" w:rsidRPr="006D3ED3" w:rsidRDefault="0072432D" w:rsidP="006D4748">
      <w:pPr>
        <w:pStyle w:val="aa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lang w:val="uk-UA"/>
        </w:rPr>
      </w:pPr>
      <w:r w:rsidRPr="006D3ED3">
        <w:rPr>
          <w:sz w:val="28"/>
          <w:szCs w:val="28"/>
          <w:lang w:val="uk-UA" w:eastAsia="uk-UA"/>
        </w:rPr>
        <w:tab/>
      </w:r>
      <w:r w:rsidRPr="006D3ED3">
        <w:rPr>
          <w:sz w:val="28"/>
          <w:szCs w:val="28"/>
          <w:lang w:val="uk-UA" w:eastAsia="uk-UA"/>
        </w:rPr>
        <w:tab/>
      </w:r>
      <w:r w:rsidR="00025378" w:rsidRPr="006D3ED3">
        <w:rPr>
          <w:sz w:val="28"/>
          <w:szCs w:val="28"/>
          <w:lang w:val="uk-UA" w:eastAsia="uk-UA"/>
        </w:rPr>
        <w:t>Страшна катастрофа ˗ нещодавній</w:t>
      </w:r>
      <w:r w:rsidR="00B83A89" w:rsidRPr="006D3ED3">
        <w:rPr>
          <w:sz w:val="28"/>
          <w:szCs w:val="28"/>
          <w:lang w:val="uk-UA" w:eastAsia="uk-UA"/>
        </w:rPr>
        <w:t xml:space="preserve"> вибух</w:t>
      </w:r>
      <w:r w:rsidR="00025378" w:rsidRPr="006D3ED3">
        <w:rPr>
          <w:sz w:val="28"/>
          <w:szCs w:val="28"/>
          <w:lang w:val="uk-UA" w:eastAsia="uk-UA"/>
        </w:rPr>
        <w:t xml:space="preserve"> 2 750 тон нітрату амонію, що зберігався</w:t>
      </w:r>
      <w:r w:rsidR="00FE7715" w:rsidRPr="006D3ED3">
        <w:rPr>
          <w:sz w:val="28"/>
          <w:szCs w:val="28"/>
          <w:lang w:val="uk-UA" w:eastAsia="uk-UA"/>
        </w:rPr>
        <w:t xml:space="preserve"> у </w:t>
      </w:r>
      <w:r w:rsidR="00025378" w:rsidRPr="006D3ED3">
        <w:rPr>
          <w:sz w:val="28"/>
          <w:szCs w:val="28"/>
          <w:lang w:val="uk-UA" w:eastAsia="uk-UA"/>
        </w:rPr>
        <w:t xml:space="preserve">порту Лівії </w:t>
      </w:r>
      <w:r w:rsidR="00FE7715" w:rsidRPr="006D3ED3">
        <w:rPr>
          <w:sz w:val="28"/>
          <w:szCs w:val="28"/>
          <w:lang w:val="uk-UA" w:eastAsia="uk-UA"/>
        </w:rPr>
        <w:t>Бейруті</w:t>
      </w:r>
      <w:r w:rsidR="00025378" w:rsidRPr="006D3ED3">
        <w:rPr>
          <w:sz w:val="28"/>
          <w:szCs w:val="28"/>
          <w:lang w:val="uk-UA" w:eastAsia="uk-UA"/>
        </w:rPr>
        <w:t>,</w:t>
      </w:r>
      <w:r w:rsidR="00FE7715" w:rsidRPr="006D3ED3">
        <w:rPr>
          <w:sz w:val="28"/>
          <w:szCs w:val="28"/>
          <w:lang w:val="uk-UA" w:eastAsia="uk-UA"/>
        </w:rPr>
        <w:t xml:space="preserve"> </w:t>
      </w:r>
      <w:r w:rsidR="00025378" w:rsidRPr="006D3ED3">
        <w:rPr>
          <w:sz w:val="28"/>
          <w:szCs w:val="28"/>
          <w:lang w:val="uk-UA" w:eastAsia="uk-UA"/>
        </w:rPr>
        <w:t>дає усі підстави</w:t>
      </w:r>
      <w:r w:rsidR="00FE7715" w:rsidRPr="006D3ED3">
        <w:rPr>
          <w:sz w:val="28"/>
          <w:szCs w:val="28"/>
          <w:lang w:val="uk-UA"/>
        </w:rPr>
        <w:t xml:space="preserve"> </w:t>
      </w:r>
      <w:r w:rsidR="00025378" w:rsidRPr="006D3ED3">
        <w:rPr>
          <w:sz w:val="28"/>
          <w:szCs w:val="28"/>
          <w:lang w:val="uk-UA"/>
        </w:rPr>
        <w:t>переглянути вимоги до місць зберігання небезпечних вантажів, навіть якщо це тимчасовий період в процесі розвантаження/перевантаження вантажу. Згадана катастрофа сколихнула усю світову спільноту, адже с</w:t>
      </w:r>
      <w:r w:rsidR="00FE7715" w:rsidRPr="006D3ED3">
        <w:rPr>
          <w:sz w:val="28"/>
          <w:szCs w:val="28"/>
          <w:shd w:val="clear" w:color="auto" w:fill="FFFFFF"/>
          <w:lang w:val="uk-UA"/>
        </w:rPr>
        <w:t>ила вибухів у ліванс</w:t>
      </w:r>
      <w:r w:rsidR="00025378" w:rsidRPr="006D3ED3">
        <w:rPr>
          <w:sz w:val="28"/>
          <w:szCs w:val="28"/>
          <w:shd w:val="clear" w:color="auto" w:fill="FFFFFF"/>
          <w:lang w:val="uk-UA"/>
        </w:rPr>
        <w:t xml:space="preserve">ькій столиці дорівнювала 1 </w:t>
      </w:r>
      <w:r w:rsidR="00025378" w:rsidRPr="006D3ED3">
        <w:rPr>
          <w:sz w:val="28"/>
          <w:szCs w:val="28"/>
          <w:lang w:val="uk-UA" w:eastAsia="uk-UA"/>
        </w:rPr>
        <w:t>˗</w:t>
      </w:r>
      <w:r w:rsidR="00FE7715" w:rsidRPr="006D3ED3">
        <w:rPr>
          <w:sz w:val="28"/>
          <w:szCs w:val="28"/>
          <w:shd w:val="clear" w:color="auto" w:fill="FFFFFF"/>
          <w:lang w:val="uk-UA"/>
        </w:rPr>
        <w:t xml:space="preserve"> 1,8 тисячі тон</w:t>
      </w:r>
      <w:r w:rsidR="00025378" w:rsidRPr="006D3ED3">
        <w:rPr>
          <w:sz w:val="28"/>
          <w:szCs w:val="28"/>
          <w:shd w:val="clear" w:color="auto" w:fill="FFFFFF"/>
          <w:lang w:val="uk-UA"/>
        </w:rPr>
        <w:t xml:space="preserve"> тротилу </w:t>
      </w:r>
      <w:r w:rsidR="00025378" w:rsidRPr="006D3ED3">
        <w:rPr>
          <w:sz w:val="28"/>
          <w:szCs w:val="28"/>
          <w:lang w:val="uk-UA" w:eastAsia="uk-UA"/>
        </w:rPr>
        <w:t xml:space="preserve">˗ </w:t>
      </w:r>
      <w:r w:rsidR="00FE7715" w:rsidRPr="006D3ED3">
        <w:rPr>
          <w:sz w:val="28"/>
          <w:szCs w:val="28"/>
          <w:shd w:val="clear" w:color="auto" w:fill="FFFFFF"/>
          <w:lang w:val="uk-UA"/>
        </w:rPr>
        <w:t>це приблизний еквівалент однієї десятої вибухової потужності атомної бомби, скинутої на Хіросіму.</w:t>
      </w:r>
      <w:r w:rsidR="00025378" w:rsidRPr="006D3ED3">
        <w:rPr>
          <w:sz w:val="28"/>
          <w:szCs w:val="28"/>
          <w:shd w:val="clear" w:color="auto" w:fill="FFFFFF"/>
          <w:lang w:val="uk-UA"/>
        </w:rPr>
        <w:t xml:space="preserve"> </w:t>
      </w:r>
      <w:r w:rsidR="006D4748" w:rsidRPr="006D3ED3">
        <w:rPr>
          <w:sz w:val="28"/>
          <w:szCs w:val="28"/>
        </w:rPr>
        <w:t>Внаслідок вибуху за останніми даними загинули понад 100 осіб та близько 4 тисяч отримали поранення, вибу</w:t>
      </w:r>
      <w:r w:rsidR="006D4748" w:rsidRPr="006D3ED3">
        <w:rPr>
          <w:sz w:val="28"/>
          <w:szCs w:val="28"/>
          <w:lang w:val="uk-UA"/>
        </w:rPr>
        <w:t>х залишив 300 тисяч людей бездомними,</w:t>
      </w:r>
      <w:r w:rsidR="006D4748" w:rsidRPr="006D3ED3">
        <w:rPr>
          <w:sz w:val="28"/>
          <w:szCs w:val="28"/>
        </w:rPr>
        <w:t xml:space="preserve"> завдані збитки  оцінюють у понад $3 млрд.</w:t>
      </w:r>
      <w:r w:rsidR="006D4748" w:rsidRPr="006D3ED3">
        <w:rPr>
          <w:sz w:val="28"/>
          <w:szCs w:val="28"/>
          <w:lang w:val="uk-UA"/>
        </w:rPr>
        <w:t xml:space="preserve"> Аналіз причин події показав, що трагедія сталась внаслідок неналежних умов </w:t>
      </w:r>
      <w:r w:rsidR="00380F35" w:rsidRPr="006D3ED3">
        <w:rPr>
          <w:sz w:val="28"/>
          <w:szCs w:val="28"/>
          <w:lang w:val="uk-UA"/>
        </w:rPr>
        <w:t>зберігання небезпечного вантажу та незабезпечення місця зберігання відповідними заходами техногенної безпеки.</w:t>
      </w:r>
    </w:p>
    <w:p w:rsidR="00FE7715" w:rsidRPr="006D3ED3" w:rsidRDefault="0072432D" w:rsidP="006D4748">
      <w:pPr>
        <w:pStyle w:val="aa"/>
        <w:shd w:val="clear" w:color="auto" w:fill="FFFFFF"/>
        <w:tabs>
          <w:tab w:val="left" w:pos="284"/>
        </w:tabs>
        <w:spacing w:before="0" w:beforeAutospacing="0" w:after="0" w:afterAutospacing="0"/>
        <w:jc w:val="both"/>
        <w:textAlignment w:val="baseline"/>
        <w:rPr>
          <w:sz w:val="28"/>
          <w:szCs w:val="28"/>
          <w:lang w:val="uk-UA" w:eastAsia="uk-UA"/>
        </w:rPr>
      </w:pPr>
      <w:r w:rsidRPr="006D3ED3">
        <w:rPr>
          <w:sz w:val="28"/>
          <w:szCs w:val="28"/>
          <w:shd w:val="clear" w:color="auto" w:fill="FFFFFF"/>
          <w:lang w:val="uk-UA"/>
        </w:rPr>
        <w:tab/>
      </w:r>
      <w:r w:rsidRPr="006D3ED3">
        <w:rPr>
          <w:sz w:val="28"/>
          <w:szCs w:val="28"/>
          <w:shd w:val="clear" w:color="auto" w:fill="FFFFFF"/>
          <w:lang w:val="uk-UA"/>
        </w:rPr>
        <w:tab/>
        <w:t>Висновки, що їх можна зробити із згаданої події, наступні: по-перше, тимчасове або короткострокове зберігання, як визначено у вітчизняному законодавстві України, може мат</w:t>
      </w:r>
      <w:r w:rsidR="005E7515" w:rsidRPr="006D3ED3">
        <w:rPr>
          <w:sz w:val="28"/>
          <w:szCs w:val="28"/>
          <w:shd w:val="clear" w:color="auto" w:fill="FFFFFF"/>
          <w:lang w:val="uk-UA"/>
        </w:rPr>
        <w:t>и різну тривалість і затягнутись</w:t>
      </w:r>
      <w:r w:rsidRPr="006D3ED3">
        <w:rPr>
          <w:sz w:val="28"/>
          <w:szCs w:val="28"/>
          <w:shd w:val="clear" w:color="auto" w:fill="FFFFFF"/>
          <w:lang w:val="uk-UA"/>
        </w:rPr>
        <w:t xml:space="preserve"> на 6 років, як це відбулось у Бейруті. По-друге, у місцях зберігання небезпечних вантажів повинні бути дотримані усі вимоги техногенної безпеки, зокрема такі місця мають бути обладнані </w:t>
      </w:r>
      <w:r w:rsidR="005D719B" w:rsidRPr="006D3ED3">
        <w:rPr>
          <w:sz w:val="28"/>
          <w:szCs w:val="28"/>
          <w:shd w:val="clear" w:color="auto" w:fill="FFFFFF"/>
          <w:lang w:val="uk-UA"/>
        </w:rPr>
        <w:t xml:space="preserve">відповідними системами </w:t>
      </w:r>
      <w:r w:rsidR="006D4748" w:rsidRPr="006D3ED3">
        <w:rPr>
          <w:sz w:val="28"/>
          <w:szCs w:val="28"/>
          <w:shd w:val="clear" w:color="auto" w:fill="FFFFFF"/>
          <w:lang w:val="uk-UA"/>
        </w:rPr>
        <w:t xml:space="preserve">раннього </w:t>
      </w:r>
      <w:r w:rsidR="005D719B" w:rsidRPr="006D3ED3">
        <w:rPr>
          <w:sz w:val="28"/>
          <w:szCs w:val="28"/>
          <w:shd w:val="clear" w:color="auto" w:fill="FFFFFF"/>
          <w:lang w:val="uk-UA"/>
        </w:rPr>
        <w:t>виявлення загроз виникнення надзвичайних ситуацій та оповіщення населення у разі їх виникнення.</w:t>
      </w:r>
      <w:r w:rsidR="005E7515" w:rsidRPr="006D3ED3">
        <w:rPr>
          <w:sz w:val="28"/>
          <w:szCs w:val="28"/>
          <w:shd w:val="clear" w:color="auto" w:fill="FFFFFF"/>
          <w:lang w:val="uk-UA"/>
        </w:rPr>
        <w:t xml:space="preserve"> Наявність згаданих систем дозволили б уникнути катастрофі.</w:t>
      </w:r>
      <w:r w:rsidRPr="006D3ED3">
        <w:rPr>
          <w:sz w:val="28"/>
          <w:szCs w:val="28"/>
          <w:shd w:val="clear" w:color="auto" w:fill="FFFFFF"/>
          <w:lang w:val="uk-UA"/>
        </w:rPr>
        <w:t xml:space="preserve"> </w:t>
      </w:r>
      <w:r w:rsidR="00025378" w:rsidRPr="006D3ED3">
        <w:rPr>
          <w:sz w:val="28"/>
          <w:szCs w:val="28"/>
          <w:lang w:val="uk-UA" w:eastAsia="uk-UA"/>
        </w:rPr>
        <w:t>Закон України «Про перевезення небезпечних вантажів»</w:t>
      </w:r>
      <w:r w:rsidRPr="006D3ED3">
        <w:rPr>
          <w:sz w:val="28"/>
          <w:szCs w:val="28"/>
          <w:lang w:val="uk-UA" w:eastAsia="uk-UA"/>
        </w:rPr>
        <w:t>, що регулює діяльність у сфері перевезень небезпечних вантажів,</w:t>
      </w:r>
      <w:r w:rsidR="00025378" w:rsidRPr="006D3ED3">
        <w:rPr>
          <w:sz w:val="28"/>
          <w:szCs w:val="28"/>
          <w:lang w:val="uk-UA" w:eastAsia="uk-UA"/>
        </w:rPr>
        <w:t xml:space="preserve"> </w:t>
      </w:r>
      <w:r w:rsidRPr="006D3ED3">
        <w:rPr>
          <w:sz w:val="28"/>
          <w:szCs w:val="28"/>
          <w:lang w:val="uk-UA" w:eastAsia="uk-UA"/>
        </w:rPr>
        <w:t xml:space="preserve">зобов’язує </w:t>
      </w:r>
      <w:r w:rsidR="00025378" w:rsidRPr="006D3ED3">
        <w:rPr>
          <w:sz w:val="28"/>
          <w:szCs w:val="28"/>
          <w:lang w:val="uk-UA" w:eastAsia="uk-UA"/>
        </w:rPr>
        <w:t>перевізник</w:t>
      </w:r>
      <w:r w:rsidRPr="006D3ED3">
        <w:rPr>
          <w:sz w:val="28"/>
          <w:szCs w:val="28"/>
          <w:lang w:val="uk-UA" w:eastAsia="uk-UA"/>
        </w:rPr>
        <w:t xml:space="preserve">а </w:t>
      </w:r>
      <w:r w:rsidR="00025378" w:rsidRPr="006D3ED3">
        <w:rPr>
          <w:sz w:val="28"/>
          <w:szCs w:val="28"/>
          <w:lang w:val="uk-UA" w:eastAsia="uk-UA"/>
        </w:rPr>
        <w:t xml:space="preserve">забезпечувати </w:t>
      </w:r>
      <w:r w:rsidR="005D719B" w:rsidRPr="006D3ED3">
        <w:rPr>
          <w:sz w:val="28"/>
          <w:szCs w:val="28"/>
          <w:lang w:val="uk-UA" w:eastAsia="uk-UA"/>
        </w:rPr>
        <w:t>«</w:t>
      </w:r>
      <w:r w:rsidR="00025378" w:rsidRPr="006D3ED3">
        <w:rPr>
          <w:sz w:val="28"/>
          <w:szCs w:val="28"/>
          <w:lang w:val="uk-UA" w:eastAsia="uk-UA"/>
        </w:rPr>
        <w:t>належне зберігання</w:t>
      </w:r>
      <w:r w:rsidR="005D719B" w:rsidRPr="006D3ED3">
        <w:rPr>
          <w:sz w:val="28"/>
          <w:szCs w:val="28"/>
          <w:lang w:val="uk-UA" w:eastAsia="uk-UA"/>
        </w:rPr>
        <w:t>»</w:t>
      </w:r>
      <w:r w:rsidR="00025378" w:rsidRPr="006D3ED3">
        <w:rPr>
          <w:sz w:val="28"/>
          <w:szCs w:val="28"/>
          <w:lang w:val="uk-UA" w:eastAsia="uk-UA"/>
        </w:rPr>
        <w:t xml:space="preserve"> </w:t>
      </w:r>
      <w:r w:rsidRPr="006D3ED3">
        <w:rPr>
          <w:sz w:val="28"/>
          <w:szCs w:val="28"/>
          <w:lang w:val="uk-UA" w:eastAsia="uk-UA"/>
        </w:rPr>
        <w:t>та «спеціально облаштовувати» місця зберігання небезпечних вантажів</w:t>
      </w:r>
      <w:r w:rsidR="005E7515" w:rsidRPr="006D3ED3">
        <w:rPr>
          <w:sz w:val="28"/>
          <w:szCs w:val="28"/>
          <w:lang w:val="uk-UA" w:eastAsia="uk-UA"/>
        </w:rPr>
        <w:t>, ц</w:t>
      </w:r>
      <w:r w:rsidR="005D719B" w:rsidRPr="006D3ED3">
        <w:rPr>
          <w:sz w:val="28"/>
          <w:szCs w:val="28"/>
          <w:lang w:val="uk-UA" w:eastAsia="uk-UA"/>
        </w:rPr>
        <w:t>е</w:t>
      </w:r>
      <w:r w:rsidRPr="006D3ED3">
        <w:rPr>
          <w:sz w:val="28"/>
          <w:szCs w:val="28"/>
          <w:lang w:val="uk-UA" w:eastAsia="uk-UA"/>
        </w:rPr>
        <w:t xml:space="preserve"> досить обтічне визначення</w:t>
      </w:r>
      <w:r w:rsidR="005D719B" w:rsidRPr="006D3ED3">
        <w:rPr>
          <w:sz w:val="28"/>
          <w:szCs w:val="28"/>
          <w:lang w:val="uk-UA" w:eastAsia="uk-UA"/>
        </w:rPr>
        <w:t>, і як показує практика,  не містить конкретних зобов’язань щодо виконання</w:t>
      </w:r>
      <w:r w:rsidR="00025378" w:rsidRPr="006D3ED3">
        <w:rPr>
          <w:sz w:val="28"/>
          <w:szCs w:val="28"/>
          <w:lang w:val="uk-UA" w:eastAsia="uk-UA"/>
        </w:rPr>
        <w:t>.</w:t>
      </w:r>
      <w:r w:rsidR="006D4748" w:rsidRPr="006D3ED3">
        <w:rPr>
          <w:sz w:val="28"/>
          <w:szCs w:val="28"/>
          <w:lang w:val="uk-UA" w:eastAsia="uk-UA"/>
        </w:rPr>
        <w:t xml:space="preserve"> </w:t>
      </w:r>
    </w:p>
    <w:p w:rsidR="00C9271C" w:rsidRPr="006D3ED3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Таким чином, у державі, на цей час, гостро стоїть питання щодо забезпечення безпеки населення, яке працює на </w:t>
      </w:r>
      <w:r w:rsidR="00E55A1D"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>вище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зазначених об'єктах або потрапляє в зону можливого ураження при аваріях на них (об’єктовий та місцевий рівень НС). </w:t>
      </w:r>
    </w:p>
    <w:p w:rsidR="00C9271C" w:rsidRPr="006D3ED3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 результатами аналізу таких подій та заходів, що мають бути вжиті відповідно до Кодексу цивільного захисту України, можна побачити, що у ньому не враховані значні фактори небезпеки від інших небезпечних об’єктів, крім об’єктів підвищеної небезпеки, зокрема об’єктів з ризиком виникнення надзвичайних ситуацій місцевого або об’єктового рівня, об’єктах з масовим перебуванням людей (постійним  або тимчасовим перебуванням у них від 50 та більше осіб, крім дитячих дошкільних, навчальних, лікувально-профілактичних закладів зі стаціонарними відділеннями, будинків-інтернатів загального та  спеціального  типу, санаторіїв), об’єктах, що за класом наслідків 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(відповідальності) належать до об’єктів з середніми (СС2) та значними (СС3) наслідками.</w:t>
      </w:r>
    </w:p>
    <w:p w:rsidR="00C9271C" w:rsidRPr="006D3ED3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Подальша відсутність вимог щодо заходів із забезпечення техногенної безпеки на таких об’єктах, у головному нормативному акті держави, що стосується цивільного захисту, призводить до багаторазового підвищення ризику виникнення НС на за</w:t>
      </w:r>
      <w:r w:rsidR="002D77DA"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значених об’єктах, а відповідно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до </w:t>
      </w:r>
      <w:r w:rsidR="00E55A1D"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людських жертв та 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>багатомільйонних збитків</w:t>
      </w:r>
      <w:r w:rsidR="00E55A1D"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C9271C" w:rsidRPr="006D3ED3" w:rsidRDefault="002D77DA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>За</w:t>
      </w:r>
      <w:r w:rsidR="00C9271C"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конопроектом пропонується внести зміни до відповідних статей Кодексу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цивільного захисту</w:t>
      </w:r>
      <w:r w:rsidR="00C9271C"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>. Така необхідність ґрунтується на тому, що за своїм визначенням об'єкти підвищеної небезпеки (далі ‒ ОПН) та об’єкт, який не вважається ОПН, відповідно до Закону України "Про об'єкти підвищеної небезпеки" відрізняються тільки нормативно встановленою пороговою масою.</w:t>
      </w:r>
    </w:p>
    <w:p w:rsidR="00C9271C" w:rsidRPr="006D3ED3" w:rsidRDefault="00C9271C" w:rsidP="00C927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>Але така порогова маса має умовно невелику різницю для ОПН та для об’єкту, який ОПН не вважається. Наприклад, для ОПН така маса становить 5,00 тис. тонн бензину, а для не ОПН ‒ 4,99 тис. тонн. За ступенем небезпеки практичної різниці для цих кількостей бензину майже немає, але це уже різні об'єкти і відповідно відсутні жодні вимоги з забезпечення техногенної безпеки для об’єкту, на якому зберігається 4,99 тис. тонн вибухонебезпечної речовини.</w:t>
      </w:r>
    </w:p>
    <w:p w:rsidR="00C9271C" w:rsidRPr="006D3ED3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Таким чином, відсутність відповідних вимог дає право суб'єктам господарювання взагалі припинити вжиття заходів безпеки на них, а у цьому разі, наслідки аварій на них можуть перевищувати у декілька разів наслідки аварій на ОПН, до яких відповідно до Закону України "Про об'єкти підвищеної небезпеки" встановлені вичерпні вимоги.</w:t>
      </w:r>
    </w:p>
    <w:p w:rsidR="00C9271C" w:rsidRPr="006D3ED3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Це також створює поле для зловживань суб’єктами господарювання, шляхом заниження кількості небезпечних речовин (у т.ч. </w:t>
      </w:r>
      <w:r w:rsidR="002D77DA"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>шляхом фіктивного виведення ємно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>стей з експлуатації).</w:t>
      </w:r>
    </w:p>
    <w:p w:rsidR="002D77DA" w:rsidRPr="006D3ED3" w:rsidRDefault="00C9271C" w:rsidP="00C9271C">
      <w:pPr>
        <w:widowControl w:val="0"/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ED3">
        <w:rPr>
          <w:rFonts w:ascii="Times New Roman" w:eastAsia="Times New Roman" w:hAnsi="Times New Roman" w:cs="Times New Roman"/>
          <w:sz w:val="28"/>
          <w:szCs w:val="28"/>
        </w:rPr>
        <w:t xml:space="preserve">Окремо необхідно відзначити надзвичайні ситуації, що пов’язані з руйнуванням інженерних споруд і конструкцій та покрівель великої площі. </w:t>
      </w:r>
    </w:p>
    <w:p w:rsidR="00C9271C" w:rsidRPr="006D3ED3" w:rsidRDefault="00C9271C" w:rsidP="00C9271C">
      <w:pPr>
        <w:widowControl w:val="0"/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ED3">
        <w:rPr>
          <w:rFonts w:ascii="Times New Roman" w:eastAsia="Times New Roman" w:hAnsi="Times New Roman" w:cs="Times New Roman"/>
          <w:sz w:val="28"/>
          <w:szCs w:val="28"/>
        </w:rPr>
        <w:t xml:space="preserve">Будучи техногенними аваріями, вони трапляються у будівлях та будинках соціально-культурного та виробничого призначення з масовим перебуванням людей і пов’язані з особливо тяжкими наслідками, які вмить призводять до величезної кількості людських жертв. </w:t>
      </w:r>
    </w:p>
    <w:p w:rsidR="00C9271C" w:rsidRPr="006D3ED3" w:rsidRDefault="00C9271C" w:rsidP="00C9271C">
      <w:pPr>
        <w:widowControl w:val="0"/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D3ED3">
        <w:rPr>
          <w:rFonts w:ascii="Times New Roman" w:eastAsia="Times New Roman" w:hAnsi="Times New Roman" w:cs="Times New Roman"/>
          <w:bCs/>
          <w:sz w:val="28"/>
          <w:szCs w:val="28"/>
        </w:rPr>
        <w:t>З приголомшливою регулярністю у світі відбуваються зазначені аварії, після яких настають особливо тяжкі наслідки. У таблиці, що додається, приведені лише деякі з них.</w:t>
      </w:r>
    </w:p>
    <w:p w:rsidR="00C9271C" w:rsidRPr="006D3ED3" w:rsidRDefault="00C9271C" w:rsidP="00C9271C">
      <w:pPr>
        <w:widowControl w:val="0"/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9271C" w:rsidRPr="006D3ED3" w:rsidRDefault="00C9271C" w:rsidP="00C9271C">
      <w:pPr>
        <w:widowControl w:val="0"/>
        <w:tabs>
          <w:tab w:val="left" w:pos="709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3ED3">
        <w:rPr>
          <w:rFonts w:ascii="Times New Roman" w:eastAsia="Times New Roman" w:hAnsi="Times New Roman" w:cs="Times New Roman"/>
          <w:b/>
          <w:sz w:val="24"/>
          <w:szCs w:val="24"/>
        </w:rPr>
        <w:t>Таблиця 1</w:t>
      </w:r>
    </w:p>
    <w:tbl>
      <w:tblPr>
        <w:tblW w:w="98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35"/>
        <w:gridCol w:w="1559"/>
        <w:gridCol w:w="1055"/>
        <w:gridCol w:w="4961"/>
      </w:tblGrid>
      <w:tr w:rsidR="006D3ED3" w:rsidRPr="006D3ED3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Об’єкт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Держава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Жертви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Фінансові втрати. Правова оцінка. 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Причини катастрофи</w:t>
            </w:r>
          </w:p>
        </w:tc>
      </w:tr>
      <w:tr w:rsidR="006D3ED3" w:rsidRPr="006D3ED3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Обвалення скляних конструкцій покрівлі ТЦ «Acropolis»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(1.05.2014)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Литва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 постраждалих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Вільнюський «Acropolis» належить тій же литовській системі Maxima, в торговому центрі якої в Ризі 21 листопада в результаті обвалення даху загинули 54 людини.</w:t>
            </w:r>
          </w:p>
        </w:tc>
      </w:tr>
      <w:tr w:rsidR="006D3ED3" w:rsidRPr="006D3ED3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Обвалення покрівлі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ТЦ «Maxima»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(21.11.2013)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Латвія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54 загибли</w:t>
            </w: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х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(в т.ч. 3 рятівників)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E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 фактом недотримання будівельниками компанії Re&amp;Re чинних норм при проведенні </w:t>
            </w:r>
            <w:r w:rsidRPr="006D3E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відповідних робіт було порушено кримінальну справу. </w:t>
            </w:r>
          </w:p>
          <w:p w:rsidR="00C9271C" w:rsidRPr="006D3ED3" w:rsidRDefault="00C9271C" w:rsidP="00C92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E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 листопада прем'єр-міністр Латвії Валдіс Домбровскіс, у зв'язку з подіями в Золітуде, подав у відставку. </w:t>
            </w:r>
          </w:p>
          <w:p w:rsidR="00C9271C" w:rsidRPr="006D3ED3" w:rsidRDefault="00C9271C" w:rsidP="00C92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E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мільйонів латів виділив сейм Латвії на надання допомоги сім'ям та постраждалим при обваленні.</w:t>
            </w:r>
          </w:p>
        </w:tc>
      </w:tr>
      <w:tr w:rsidR="006D3ED3" w:rsidRPr="006D3ED3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Обвал комплексу «Rana Plaza»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(24.04.2013)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Бангладеш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Число жертв обвалення досягло </w:t>
            </w:r>
            <w:r w:rsidRPr="006D3E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1,155 осіб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E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квітня проти власника будівлі, Сохела Рані, і власників п'яти виробництв одягу, які знаходилися всередині, було порушено кримінальну справу.</w:t>
            </w:r>
          </w:p>
        </w:tc>
      </w:tr>
      <w:tr w:rsidR="006D3ED3" w:rsidRPr="006D3ED3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Обвалення торгового центру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(7.11.2012)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Гана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 загиблих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3E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Шестиповерхова будівля торгового центру обвалилась за 15 хвилин до відкриття, тому під завали потрапили в основному співробітники магазинів.. Слідство встановило, що будівля була побудована без ліцензії муніципальних властей.</w:t>
            </w:r>
          </w:p>
        </w:tc>
      </w:tr>
      <w:tr w:rsidR="006D3ED3" w:rsidRPr="006D3ED3" w:rsidTr="0095172A">
        <w:trPr>
          <w:trHeight w:val="92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Обвал стадіону ФК «Твенте» (07.07.2011)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Нідерланди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 загиблий, 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 поранених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Не менше 10 мільйонів євро.</w:t>
            </w:r>
          </w:p>
        </w:tc>
      </w:tr>
      <w:tr w:rsidR="006D3ED3" w:rsidRPr="006D3ED3" w:rsidTr="0095172A">
        <w:trPr>
          <w:trHeight w:val="92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Обвал конструкцій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ТЦ «Sky Mall»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(17.02.2011)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Україна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 поранених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sz w:val="24"/>
                <w:szCs w:val="24"/>
              </w:rPr>
              <w:t>Відкрита кримінальна справа по факту порушення службовими особами ТОВ "Призма Бета" при будуванні центру SkyMall правил безпечної експлуатації будівель і споруд (ч.1 ст. 275 Кримінального Кодексу України).</w:t>
            </w: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Помилки при будуванні.</w:t>
            </w:r>
          </w:p>
        </w:tc>
      </w:tr>
      <w:tr w:rsidR="006D3ED3" w:rsidRPr="006D3ED3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Обвал даху супермаркету «</w:t>
            </w:r>
            <w:r w:rsidRPr="006D3ED3">
              <w:rPr>
                <w:rFonts w:ascii="Times New Roman" w:eastAsia="Times New Roman" w:hAnsi="Times New Roman" w:cs="Times New Roman"/>
                <w:sz w:val="24"/>
                <w:szCs w:val="24"/>
              </w:rPr>
              <w:t>О'кей» (25.01.2011)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Росія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 загиблий, 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 поранених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Відповідальними за обвал даху були визнані власники супермаркету. </w:t>
            </w: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Недостатній контроль об’єкту.</w:t>
            </w:r>
          </w:p>
        </w:tc>
      </w:tr>
      <w:tr w:rsidR="006D3ED3" w:rsidRPr="006D3ED3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Обвал даху складського приміщення «Міраторг» (18.02.2008)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Росія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Жертв не було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Більше 60 мільйонів євро.</w:t>
            </w:r>
          </w:p>
        </w:tc>
      </w:tr>
      <w:tr w:rsidR="006D3ED3" w:rsidRPr="006D3ED3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Басманний ринок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(23.02.2006)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Росія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68 загиблих, 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32 поранених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Зношеність конструкцій і недостатній контроль об’єкту.</w:t>
            </w:r>
          </w:p>
        </w:tc>
      </w:tr>
      <w:tr w:rsidR="006D3ED3" w:rsidRPr="006D3ED3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Виставковий центр </w:t>
            </w: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в місті Катовець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(29.01.2006)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Польща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Більш </w:t>
            </w: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ніж 60 загиблих,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140 поранених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 xml:space="preserve">Недостатній контроль об’єкту і стану </w:t>
            </w: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покрівлі.</w:t>
            </w:r>
          </w:p>
        </w:tc>
      </w:tr>
      <w:tr w:rsidR="006D3ED3" w:rsidRPr="006D3ED3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Стадіон в Бад-Райхенхаллі (02.01.2006)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Німеччина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11 загиблих, 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30 поранених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sz w:val="24"/>
                <w:szCs w:val="24"/>
              </w:rPr>
              <w:t>Винні отримали від 5 до 11 років тюремного ув’язнення.</w:t>
            </w: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Причиною великої кількості жертв стало несвоєчасне оповіщення про ризик обвалу.</w:t>
            </w:r>
          </w:p>
        </w:tc>
      </w:tr>
      <w:tr w:rsidR="006D3ED3" w:rsidRPr="006D3ED3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Пермський спортивний басейн «Дельфін»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(04.12.2005)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Росія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 загиблих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(10 дітей),    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 поранений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Недостатній контроль об’єкту.</w:t>
            </w:r>
          </w:p>
        </w:tc>
      </w:tr>
      <w:tr w:rsidR="006D3ED3" w:rsidRPr="006D3ED3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Термінал Аеропорту «Руассі» (26.05.2004)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Франція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 загиблих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750 мільйонів євро.</w:t>
            </w:r>
            <w:r w:rsidRPr="006D3E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Уникнути більшої кількості жертв вдалося завдяки сиренам, що вчасно спрацювали, і грамотно проведеній евакуації.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Причина катастрофи – помилки у проектуванні будівлі.</w:t>
            </w:r>
          </w:p>
        </w:tc>
      </w:tr>
      <w:tr w:rsidR="006D3ED3" w:rsidRPr="006D3ED3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Аквапарк «Трансвааль» (14.02.2004)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Росія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28 загиблих, 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 т.ч. 8 дітей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250 поранених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Більше 30 мільйонів євро.</w:t>
            </w:r>
          </w:p>
        </w:tc>
      </w:tr>
      <w:tr w:rsidR="006D3ED3" w:rsidRPr="006D3ED3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Обвал покрівлі корпусу МІК. 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Космодром «Байконур»  (12.05.2002)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Казахстан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 загиблих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Невідновлювані втрати. Зруйнований єдиний діючий Космодром «Буран» й елементи ракетоносія «Енергія». Перевищення навантаження при відсутності контролю покрівлі.</w:t>
            </w:r>
          </w:p>
        </w:tc>
      </w:tr>
      <w:tr w:rsidR="006D3ED3" w:rsidRPr="006D3ED3" w:rsidTr="0095172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Спортивний комплекс «Юність» (25.06.1998)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Росія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23 загиблих, </w:t>
            </w:r>
          </w:p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44 поранених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271C" w:rsidRPr="006D3ED3" w:rsidRDefault="00C9271C" w:rsidP="00C9271C">
            <w:pPr>
              <w:widowControl w:val="0"/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ED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Недостатній контроль об’єкту. Неякісний ремонт будівлі.</w:t>
            </w:r>
          </w:p>
        </w:tc>
      </w:tr>
    </w:tbl>
    <w:p w:rsidR="00C9271C" w:rsidRPr="006D3ED3" w:rsidRDefault="00C9271C" w:rsidP="00C927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9271C" w:rsidRPr="006D3ED3" w:rsidRDefault="00C9271C" w:rsidP="00C927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>За статистикою у будівлях та будинках за наявності покрівель великої площі</w:t>
      </w:r>
      <w:r w:rsidRPr="006D3ED3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основна небезпека створюється внаслідок перевантаження покрівель через утворення снігових наметів на них, впливів шквальних вітрів тощо. Крім того, більшість покрівель знаходяться в аварійному стані і своєчасно не 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обстежуються. За таких умов у державі щороку знищується або пошкоджується 1-2 будівлі різного призначення.</w:t>
      </w:r>
    </w:p>
    <w:p w:rsidR="00C9271C" w:rsidRPr="006D3ED3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метою своєчасного виявлення загрози виникнення НС, оповіщення людей у зоні можливого ураження та запобігання виникненню чисельних жертв на зазначених об’єктах, </w:t>
      </w:r>
      <w:r w:rsidR="002D77DA"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законопроектом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пропонується удосконалення вимог щодо забезпечення належного рівня техногенної безпеки на об’єктах з ризиком виникнення надзвичайних ситуацій загальнодержавного, регіонального або місцевого рівня, об’єктах з масовим перебуванням людей (об’єктах з постійним  або тимчасовим перебуванням у них від 50 та більше осіб, крім дитячих дошкільних, навчальних, лікувально-профілактичних закладів зі стаціонарними відділеннями, будинків-інтернатів загального та  спеціального  типу, санаторіїв), інших об’єктах, що за класом наслідків (відповідальності) належать до об’єктів з середніми (СС2) та значними (СС3) наслідками.</w:t>
      </w:r>
    </w:p>
    <w:p w:rsidR="00C9271C" w:rsidRPr="006D3ED3" w:rsidRDefault="00C9271C" w:rsidP="00C9271C">
      <w:pPr>
        <w:autoSpaceDE w:val="0"/>
        <w:autoSpaceDN w:val="0"/>
        <w:adjustRightInd w:val="0"/>
        <w:spacing w:after="0" w:line="240" w:lineRule="auto"/>
        <w:ind w:firstLine="71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Таким чином, прийняття зазначеного </w:t>
      </w:r>
      <w:r w:rsidR="002D77DA"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законопроекту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є прогресивним кроком у напрямку застосування превентивних засобів забезпечення безпеки населення, що безумовно позитивно вплине на стан техногенної безпеки та підвищить в цілому безпеку населення, рівень безпеки на виробництві, забезпечить збереження людського життя, дозволить уникнути матеріальних збитків і жертв серед населення працездатного віку у т.ч. кваліфікованого виробничого персоналу.</w:t>
      </w:r>
    </w:p>
    <w:p w:rsidR="00C9271C" w:rsidRPr="006D3ED3" w:rsidRDefault="00C9271C" w:rsidP="00C9271C">
      <w:pPr>
        <w:widowControl w:val="0"/>
        <w:spacing w:after="60" w:line="322" w:lineRule="exact"/>
        <w:ind w:right="20" w:firstLine="708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  <w:r w:rsidRPr="006D3ED3"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  <w:t xml:space="preserve">Разом з тим це дозволить збільшити інвестиції у вітчизняну промисловість у т.ч. у сферу забезпечення безпеки виробництва, імплементувати сучасні світові норми, досягнення і розробки у сфері безпеки на об’єктах України, створити в країні нові робочі місця у високотехнологічній галузі ‒ розробки та впровадження автоматизованих систем безпеки. </w:t>
      </w:r>
    </w:p>
    <w:p w:rsidR="00C9271C" w:rsidRPr="006D3ED3" w:rsidRDefault="00C9271C" w:rsidP="00C9271C">
      <w:pPr>
        <w:widowControl w:val="0"/>
        <w:spacing w:after="60" w:line="322" w:lineRule="exact"/>
        <w:ind w:right="20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</w:p>
    <w:p w:rsidR="00C9271C" w:rsidRPr="006D3ED3" w:rsidRDefault="00C9271C" w:rsidP="00C9271C">
      <w:pPr>
        <w:keepNext/>
        <w:keepLines/>
        <w:widowControl w:val="0"/>
        <w:tabs>
          <w:tab w:val="left" w:pos="998"/>
        </w:tabs>
        <w:spacing w:after="60" w:line="260" w:lineRule="exact"/>
        <w:ind w:left="708"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6"/>
          <w:lang w:eastAsia="uk-UA"/>
        </w:rPr>
      </w:pPr>
      <w:bookmarkStart w:id="1" w:name="bookmark0"/>
      <w:r w:rsidRPr="006D3ED3">
        <w:rPr>
          <w:rFonts w:ascii="Times New Roman" w:eastAsia="Times New Roman" w:hAnsi="Times New Roman" w:cs="Times New Roman"/>
          <w:b/>
          <w:noProof/>
          <w:sz w:val="28"/>
          <w:szCs w:val="26"/>
          <w:lang w:eastAsia="uk-UA"/>
        </w:rPr>
        <w:t>2. Цілі та завдання законопроєкту</w:t>
      </w:r>
      <w:bookmarkEnd w:id="1"/>
      <w:r w:rsidRPr="006D3ED3">
        <w:rPr>
          <w:rFonts w:ascii="Times New Roman" w:eastAsia="Times New Roman" w:hAnsi="Times New Roman" w:cs="Times New Roman"/>
          <w:b/>
          <w:noProof/>
          <w:sz w:val="28"/>
          <w:szCs w:val="26"/>
          <w:lang w:eastAsia="uk-UA"/>
        </w:rPr>
        <w:t>.</w:t>
      </w:r>
    </w:p>
    <w:p w:rsidR="00C9271C" w:rsidRPr="006D3ED3" w:rsidRDefault="00C9271C" w:rsidP="00C9271C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2" w:name="bookmark1"/>
      <w:r w:rsidRPr="006D3ED3">
        <w:rPr>
          <w:rFonts w:ascii="Times New Roman" w:eastAsia="Times New Roman" w:hAnsi="Times New Roman" w:cs="Times New Roman"/>
          <w:bCs/>
          <w:sz w:val="28"/>
          <w:szCs w:val="26"/>
          <w:lang w:eastAsia="uk-UA"/>
        </w:rPr>
        <w:t xml:space="preserve">Метою та завданням </w:t>
      </w:r>
      <w:r w:rsidR="002D77DA" w:rsidRPr="006D3ED3">
        <w:rPr>
          <w:rFonts w:ascii="Times New Roman" w:eastAsia="Times New Roman" w:hAnsi="Times New Roman" w:cs="Times New Roman"/>
          <w:bCs/>
          <w:sz w:val="28"/>
          <w:szCs w:val="26"/>
          <w:lang w:eastAsia="uk-UA"/>
        </w:rPr>
        <w:t>законопроекту</w:t>
      </w:r>
      <w:r w:rsidRPr="006D3ED3">
        <w:rPr>
          <w:rFonts w:ascii="Times New Roman" w:eastAsia="Times New Roman" w:hAnsi="Times New Roman" w:cs="Times New Roman"/>
          <w:bCs/>
          <w:sz w:val="28"/>
          <w:szCs w:val="26"/>
          <w:lang w:eastAsia="uk-UA"/>
        </w:rPr>
        <w:t xml:space="preserve"> є удосконалення моніторингу та виявлення загрози виникнення надзвичайних ситуацій та своєчасного оповіщення людей у зоні можливого ураження, пов’язаних з небезпекою на 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>об’єктах з ризиком виникнення надзвичайних ситуацій загальнодержавного, регіонального або місцевого рівня, об’єктах з масовим перебуванням людей (об’єктах з постійним  або тимчасовим перебуванням у них від 50 та більше осіб, крім дитячих дошкільних, навчальних, лікувально-профілактичних закладів зі стаціонарними відділеннями, будинків-інтернатів загального та  спеціального  типу, санаторіїв), інших об’єктах, що за класом наслідків (відповідальності) належать до об’єктів з середніми (СС2) та значними (СС3) наслідками</w:t>
      </w:r>
      <w:r w:rsidRPr="006D3ED3">
        <w:rPr>
          <w:rFonts w:ascii="Times New Roman" w:eastAsia="Times New Roman" w:hAnsi="Times New Roman" w:cs="Times New Roman"/>
          <w:bCs/>
          <w:sz w:val="28"/>
          <w:szCs w:val="26"/>
          <w:lang w:eastAsia="uk-UA"/>
        </w:rPr>
        <w:t>.</w:t>
      </w:r>
    </w:p>
    <w:p w:rsidR="00C9271C" w:rsidRPr="006D3ED3" w:rsidRDefault="00C9271C" w:rsidP="00C9271C">
      <w:pPr>
        <w:keepNext/>
        <w:keepLines/>
        <w:widowControl w:val="0"/>
        <w:tabs>
          <w:tab w:val="left" w:pos="-540"/>
        </w:tabs>
        <w:spacing w:after="60" w:line="260" w:lineRule="exact"/>
        <w:ind w:left="20"/>
        <w:jc w:val="both"/>
        <w:outlineLvl w:val="0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</w:p>
    <w:p w:rsidR="00C9271C" w:rsidRPr="006D3ED3" w:rsidRDefault="00C9271C" w:rsidP="00C9271C">
      <w:pPr>
        <w:keepNext/>
        <w:keepLines/>
        <w:widowControl w:val="0"/>
        <w:tabs>
          <w:tab w:val="left" w:pos="-540"/>
        </w:tabs>
        <w:spacing w:after="60" w:line="260" w:lineRule="exact"/>
        <w:ind w:left="20"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6"/>
          <w:lang w:eastAsia="uk-UA"/>
        </w:rPr>
      </w:pPr>
      <w:r w:rsidRPr="006D3ED3"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  <w:tab/>
      </w:r>
      <w:r w:rsidRPr="006D3ED3">
        <w:rPr>
          <w:rFonts w:ascii="Times New Roman" w:eastAsia="Times New Roman" w:hAnsi="Times New Roman" w:cs="Times New Roman"/>
          <w:b/>
          <w:noProof/>
          <w:sz w:val="28"/>
          <w:szCs w:val="26"/>
          <w:lang w:eastAsia="uk-UA"/>
        </w:rPr>
        <w:t>3. Загальна характеристика і основні положення законопроєкту</w:t>
      </w:r>
      <w:r w:rsidRPr="006D3ED3"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  <w:t>.</w:t>
      </w:r>
      <w:bookmarkEnd w:id="2"/>
    </w:p>
    <w:p w:rsidR="00C9271C" w:rsidRPr="006D3ED3" w:rsidRDefault="00C9271C" w:rsidP="00C9271C">
      <w:pPr>
        <w:widowControl w:val="0"/>
        <w:spacing w:after="60" w:line="326" w:lineRule="exact"/>
        <w:ind w:left="20" w:right="20" w:firstLine="700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  <w:r w:rsidRPr="006D3ED3"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  <w:t xml:space="preserve">Проєктом Закону передбачається прямо визначити обов’язки суб’єктів господарювання, центральних та місцевих органів виконавчої влади щодо </w:t>
      </w:r>
      <w:r w:rsidRPr="006D3ED3"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  <w:lastRenderedPageBreak/>
        <w:t xml:space="preserve">створення автоматизованих систем раннього виявлення загрози виникнення надзвичайних ситуацій та оповіщення населення у разі їх виникнення </w:t>
      </w:r>
      <w:r w:rsidRPr="006D3ED3">
        <w:rPr>
          <w:rFonts w:ascii="Times New Roman" w:eastAsia="Times New Roman" w:hAnsi="Times New Roman" w:cs="Times New Roman"/>
          <w:bCs/>
          <w:noProof/>
          <w:sz w:val="28"/>
          <w:szCs w:val="26"/>
          <w:lang w:eastAsia="uk-UA"/>
        </w:rPr>
        <w:t xml:space="preserve">на </w:t>
      </w:r>
      <w:r w:rsidRPr="006D3ED3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об’єктах з ризиком виникнення надзвичайних ситуацій загальнодержавного, регіонального або місцевого рівня, об’єктах з масовим перебуванням людей (об’єктах з постійним або тимчасовим перебуванням у них від 50 та більше осіб, крім дитячих дошкільних, навчальних, лікувально-профілактичних закладів зі стаціонарними відділеннями, будинків-інтернатів загального та  спеціального  типу, санаторіїв), інших об’єктах, що за класом наслідків (відповідальності) належать до об’єктів з середніми (СС2) та значними (СС3) наслідками</w:t>
      </w:r>
      <w:r w:rsidRPr="006D3ED3"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  <w:t>.</w:t>
      </w:r>
    </w:p>
    <w:p w:rsidR="00C9271C" w:rsidRPr="006D3ED3" w:rsidRDefault="00C9271C" w:rsidP="00C9271C">
      <w:pPr>
        <w:widowControl w:val="0"/>
        <w:spacing w:after="60" w:line="326" w:lineRule="exact"/>
        <w:ind w:left="20" w:right="20" w:firstLine="700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</w:p>
    <w:p w:rsidR="00C9271C" w:rsidRPr="006D3ED3" w:rsidRDefault="00C9271C" w:rsidP="00C9271C">
      <w:pPr>
        <w:keepNext/>
        <w:keepLines/>
        <w:widowControl w:val="0"/>
        <w:tabs>
          <w:tab w:val="left" w:pos="1210"/>
        </w:tabs>
        <w:spacing w:after="60" w:line="326" w:lineRule="exact"/>
        <w:ind w:left="708" w:right="20"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6"/>
          <w:lang w:eastAsia="uk-UA"/>
        </w:rPr>
      </w:pPr>
      <w:bookmarkStart w:id="3" w:name="bookmark2"/>
      <w:r w:rsidRPr="006D3ED3">
        <w:rPr>
          <w:rFonts w:ascii="Times New Roman" w:eastAsia="Times New Roman" w:hAnsi="Times New Roman" w:cs="Times New Roman"/>
          <w:b/>
          <w:noProof/>
          <w:sz w:val="28"/>
          <w:szCs w:val="26"/>
          <w:lang w:eastAsia="uk-UA"/>
        </w:rPr>
        <w:t>4. Стан нормативно-правової бази у даній сфері правового регулювання</w:t>
      </w:r>
      <w:bookmarkEnd w:id="3"/>
      <w:r w:rsidRPr="006D3ED3">
        <w:rPr>
          <w:rFonts w:ascii="Times New Roman" w:eastAsia="Times New Roman" w:hAnsi="Times New Roman" w:cs="Times New Roman"/>
          <w:b/>
          <w:noProof/>
          <w:sz w:val="28"/>
          <w:szCs w:val="26"/>
          <w:lang w:eastAsia="uk-UA"/>
        </w:rPr>
        <w:t>.</w:t>
      </w:r>
    </w:p>
    <w:p w:rsidR="00C9271C" w:rsidRPr="006D3ED3" w:rsidRDefault="00C9271C" w:rsidP="00C9271C">
      <w:pPr>
        <w:widowControl w:val="0"/>
        <w:spacing w:after="6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  <w:r w:rsidRPr="006D3ED3"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  <w:t xml:space="preserve">У даній сфері правового регулювання основним нормативно-правовим актом є  Кодекс цивільного захисту України. </w:t>
      </w:r>
    </w:p>
    <w:p w:rsidR="00C9271C" w:rsidRPr="006D3ED3" w:rsidRDefault="00C9271C" w:rsidP="00C9271C">
      <w:pPr>
        <w:widowControl w:val="0"/>
        <w:spacing w:after="6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  <w:r w:rsidRPr="006D3ED3"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  <w:t>Реалізація положень цього законопроєкту у разі його прийняття не потребуватиме внесення змін до інших законів.</w:t>
      </w:r>
    </w:p>
    <w:p w:rsidR="00C9271C" w:rsidRPr="006D3ED3" w:rsidRDefault="00C9271C" w:rsidP="00C9271C">
      <w:pPr>
        <w:widowControl w:val="0"/>
        <w:spacing w:after="6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</w:p>
    <w:p w:rsidR="00C9271C" w:rsidRPr="006D3ED3" w:rsidRDefault="00C9271C" w:rsidP="00C9271C">
      <w:pPr>
        <w:keepNext/>
        <w:keepLines/>
        <w:widowControl w:val="0"/>
        <w:numPr>
          <w:ilvl w:val="0"/>
          <w:numId w:val="2"/>
        </w:numPr>
        <w:tabs>
          <w:tab w:val="left" w:pos="998"/>
        </w:tabs>
        <w:spacing w:after="60" w:line="260" w:lineRule="exact"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6"/>
          <w:lang w:eastAsia="uk-UA"/>
        </w:rPr>
      </w:pPr>
      <w:bookmarkStart w:id="4" w:name="bookmark3"/>
      <w:r w:rsidRPr="006D3ED3">
        <w:rPr>
          <w:rFonts w:ascii="Times New Roman" w:eastAsia="Times New Roman" w:hAnsi="Times New Roman" w:cs="Times New Roman"/>
          <w:b/>
          <w:noProof/>
          <w:sz w:val="28"/>
          <w:szCs w:val="26"/>
          <w:lang w:eastAsia="uk-UA"/>
        </w:rPr>
        <w:t>Фінансово-економічне обґрунтування</w:t>
      </w:r>
      <w:bookmarkEnd w:id="4"/>
      <w:r w:rsidRPr="006D3ED3">
        <w:rPr>
          <w:rFonts w:ascii="Times New Roman" w:eastAsia="Times New Roman" w:hAnsi="Times New Roman" w:cs="Times New Roman"/>
          <w:b/>
          <w:noProof/>
          <w:sz w:val="28"/>
          <w:szCs w:val="26"/>
          <w:lang w:eastAsia="uk-UA"/>
        </w:rPr>
        <w:t>.</w:t>
      </w:r>
    </w:p>
    <w:p w:rsidR="00C9271C" w:rsidRPr="006D3ED3" w:rsidRDefault="00C9271C" w:rsidP="00C9271C">
      <w:pPr>
        <w:widowControl w:val="0"/>
        <w:spacing w:after="60" w:line="336" w:lineRule="exact"/>
        <w:ind w:left="20" w:right="20" w:firstLine="700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  <w:r w:rsidRPr="006D3ED3"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  <w:t>Впровадження проєкту Закону не потребуватиме додаткових фінансових витрат з Державного бюджету України.</w:t>
      </w:r>
    </w:p>
    <w:p w:rsidR="00C9271C" w:rsidRPr="006D3ED3" w:rsidRDefault="00C9271C" w:rsidP="00C9271C">
      <w:pPr>
        <w:widowControl w:val="0"/>
        <w:spacing w:after="60" w:line="336" w:lineRule="exact"/>
        <w:ind w:left="20" w:right="20" w:firstLine="700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</w:p>
    <w:p w:rsidR="00C9271C" w:rsidRPr="006D3ED3" w:rsidRDefault="00C9271C" w:rsidP="002D77DA">
      <w:pPr>
        <w:keepNext/>
        <w:keepLines/>
        <w:widowControl w:val="0"/>
        <w:numPr>
          <w:ilvl w:val="0"/>
          <w:numId w:val="2"/>
        </w:numPr>
        <w:spacing w:after="0" w:line="240" w:lineRule="auto"/>
        <w:ind w:left="0" w:firstLine="720"/>
        <w:jc w:val="both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6"/>
          <w:lang w:eastAsia="uk-UA"/>
        </w:rPr>
      </w:pPr>
      <w:bookmarkStart w:id="5" w:name="bookmark5"/>
      <w:r w:rsidRPr="006D3ED3">
        <w:rPr>
          <w:rFonts w:ascii="Times New Roman" w:eastAsia="Times New Roman" w:hAnsi="Times New Roman" w:cs="Times New Roman"/>
          <w:b/>
          <w:noProof/>
          <w:sz w:val="28"/>
          <w:szCs w:val="26"/>
          <w:lang w:eastAsia="uk-UA"/>
        </w:rPr>
        <w:t>Прогноз очікуваних соціально-економічних, правових та інших наслідків прийняття проєкту</w:t>
      </w:r>
      <w:bookmarkEnd w:id="5"/>
      <w:r w:rsidRPr="006D3ED3">
        <w:rPr>
          <w:rFonts w:ascii="Times New Roman" w:eastAsia="Times New Roman" w:hAnsi="Times New Roman" w:cs="Times New Roman"/>
          <w:b/>
          <w:noProof/>
          <w:sz w:val="28"/>
          <w:szCs w:val="26"/>
          <w:lang w:eastAsia="uk-UA"/>
        </w:rPr>
        <w:t>.</w:t>
      </w:r>
    </w:p>
    <w:p w:rsidR="00C9271C" w:rsidRPr="006D3ED3" w:rsidRDefault="00C9271C" w:rsidP="002D77DA">
      <w:pPr>
        <w:autoSpaceDE w:val="0"/>
        <w:autoSpaceDN w:val="0"/>
        <w:adjustRightInd w:val="0"/>
        <w:spacing w:after="0" w:line="240" w:lineRule="auto"/>
        <w:ind w:firstLine="71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D3ED3">
        <w:rPr>
          <w:rFonts w:ascii="Times New Roman" w:eastAsia="Times New Roman" w:hAnsi="Times New Roman" w:cs="Times New Roman"/>
          <w:sz w:val="28"/>
          <w:szCs w:val="26"/>
          <w:lang w:eastAsia="uk-UA"/>
        </w:rPr>
        <w:t xml:space="preserve">Прийняття запропонованого </w:t>
      </w:r>
      <w:r w:rsidR="00B41D59" w:rsidRPr="006D3ED3">
        <w:rPr>
          <w:rFonts w:ascii="Times New Roman" w:eastAsia="Times New Roman" w:hAnsi="Times New Roman" w:cs="Times New Roman"/>
          <w:sz w:val="28"/>
          <w:szCs w:val="26"/>
          <w:lang w:eastAsia="uk-UA"/>
        </w:rPr>
        <w:t>проекту</w:t>
      </w:r>
      <w:r w:rsidRPr="006D3ED3">
        <w:rPr>
          <w:rFonts w:ascii="Times New Roman" w:eastAsia="Times New Roman" w:hAnsi="Times New Roman" w:cs="Times New Roman"/>
          <w:sz w:val="28"/>
          <w:szCs w:val="26"/>
          <w:lang w:eastAsia="uk-UA"/>
        </w:rPr>
        <w:t xml:space="preserve"> Закону дозволить застосувати превентивні засоби </w:t>
      </w:r>
      <w:r w:rsidR="002D77DA" w:rsidRPr="006D3ED3">
        <w:rPr>
          <w:rFonts w:ascii="Times New Roman" w:eastAsia="Times New Roman" w:hAnsi="Times New Roman" w:cs="Times New Roman"/>
          <w:sz w:val="28"/>
          <w:szCs w:val="26"/>
          <w:lang w:eastAsia="uk-UA"/>
        </w:rPr>
        <w:t>забезпечення</w:t>
      </w:r>
      <w:r w:rsidRPr="006D3ED3">
        <w:rPr>
          <w:rFonts w:ascii="Times New Roman" w:eastAsia="Times New Roman" w:hAnsi="Times New Roman" w:cs="Times New Roman"/>
          <w:sz w:val="28"/>
          <w:szCs w:val="26"/>
          <w:lang w:eastAsia="uk-UA"/>
        </w:rPr>
        <w:t xml:space="preserve"> безпеки населення, що безумовно позитивно вплине на стан техногенної безпеки та підвищить в цілому безпеку населення, 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>рівень безпеки на виробництві, забезпечить збереження людського життя, дозволить уникнути матеріальних збитків і жертв серед населення працездатного віку у т</w:t>
      </w:r>
      <w:r w:rsidR="00B41D59"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>ому числі -</w:t>
      </w:r>
      <w:r w:rsidRPr="006D3ED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кваліфікованого виробничого персоналу.</w:t>
      </w:r>
    </w:p>
    <w:p w:rsidR="00C9271C" w:rsidRPr="006D3ED3" w:rsidRDefault="00C9271C" w:rsidP="002D77D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  <w:r w:rsidRPr="006D3ED3"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  <w:t xml:space="preserve">З іншого боку це дозволить збільшити інвестиції у вітчизняну промисловість у т.ч. у сферу забезпечення безпеки виробництва, імплементувати сучасні світові норми, досягнення і розробки у сфері безпеки на об’єктах України, створити в країні нові робочі місця у високотехнологічній галузі ‒ розробки та впровадження автоматизованих систем безпеки. </w:t>
      </w:r>
    </w:p>
    <w:p w:rsidR="00C9271C" w:rsidRPr="006D3ED3" w:rsidRDefault="00C9271C" w:rsidP="00C9271C">
      <w:pPr>
        <w:widowControl w:val="0"/>
        <w:spacing w:after="60" w:line="322" w:lineRule="exact"/>
        <w:ind w:right="20" w:firstLine="700"/>
        <w:jc w:val="both"/>
        <w:rPr>
          <w:rFonts w:ascii="Times New Roman" w:eastAsia="Times New Roman" w:hAnsi="Times New Roman" w:cs="Times New Roman"/>
          <w:noProof/>
          <w:sz w:val="28"/>
          <w:szCs w:val="26"/>
          <w:lang w:eastAsia="uk-UA"/>
        </w:rPr>
      </w:pPr>
    </w:p>
    <w:p w:rsidR="00C9271C" w:rsidRPr="006D3ED3" w:rsidRDefault="00C9271C" w:rsidP="00C9271C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8"/>
          <w:szCs w:val="26"/>
          <w:lang w:eastAsia="uk-UA"/>
        </w:rPr>
      </w:pPr>
    </w:p>
    <w:p w:rsidR="00C9271C" w:rsidRPr="006D3ED3" w:rsidRDefault="00C9271C" w:rsidP="00C9271C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8"/>
          <w:szCs w:val="26"/>
          <w:lang w:eastAsia="uk-UA"/>
        </w:rPr>
      </w:pPr>
    </w:p>
    <w:p w:rsidR="00C9271C" w:rsidRPr="006D3ED3" w:rsidRDefault="00C9271C" w:rsidP="00C9271C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8"/>
          <w:szCs w:val="26"/>
          <w:lang w:eastAsia="uk-UA"/>
        </w:rPr>
      </w:pPr>
    </w:p>
    <w:p w:rsidR="00B41D59" w:rsidRPr="006D3ED3" w:rsidRDefault="00C9271C" w:rsidP="00C9271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6D3ED3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Народний депутат</w:t>
      </w:r>
    </w:p>
    <w:p w:rsidR="00C9271C" w:rsidRPr="006D3ED3" w:rsidRDefault="00B41D59" w:rsidP="00C927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6D3ED3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    </w:t>
      </w:r>
      <w:r w:rsidR="00C9271C" w:rsidRPr="006D3ED3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України                          </w:t>
      </w:r>
      <w:r w:rsidR="00C9271C" w:rsidRPr="006D3ED3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ab/>
      </w:r>
      <w:r w:rsidR="00C9271C" w:rsidRPr="006D3ED3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ab/>
        <w:t xml:space="preserve">                     </w:t>
      </w:r>
      <w:r w:rsidRPr="006D3ED3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           </w:t>
      </w:r>
      <w:r w:rsidR="00C9271C" w:rsidRPr="006D3ED3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   </w:t>
      </w:r>
      <w:r w:rsidRPr="006D3ED3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        С.В. Шахов</w:t>
      </w:r>
    </w:p>
    <w:p w:rsidR="00AB333B" w:rsidRPr="006D3ED3" w:rsidRDefault="00AB333B"/>
    <w:sectPr w:rsidR="00AB333B" w:rsidRPr="006D3ED3" w:rsidSect="002D77DA">
      <w:headerReference w:type="default" r:id="rId12"/>
      <w:footerReference w:type="even" r:id="rId13"/>
      <w:footerReference w:type="default" r:id="rId14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DF9" w:rsidRDefault="00894DF9">
      <w:pPr>
        <w:spacing w:after="0" w:line="240" w:lineRule="auto"/>
      </w:pPr>
      <w:r>
        <w:separator/>
      </w:r>
    </w:p>
  </w:endnote>
  <w:endnote w:type="continuationSeparator" w:id="0">
    <w:p w:rsidR="00894DF9" w:rsidRDefault="00894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2CA" w:rsidRDefault="002D77DA" w:rsidP="00F76009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742CA" w:rsidRDefault="00894DF9" w:rsidP="00B742CA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2CA" w:rsidRDefault="002D77DA" w:rsidP="00F76009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95371">
      <w:rPr>
        <w:rStyle w:val="a7"/>
        <w:noProof/>
      </w:rPr>
      <w:t>2</w:t>
    </w:r>
    <w:r>
      <w:rPr>
        <w:rStyle w:val="a7"/>
      </w:rPr>
      <w:fldChar w:fldCharType="end"/>
    </w:r>
  </w:p>
  <w:p w:rsidR="00B742CA" w:rsidRDefault="00894DF9" w:rsidP="00B742CA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DF9" w:rsidRDefault="00894DF9">
      <w:pPr>
        <w:spacing w:after="0" w:line="240" w:lineRule="auto"/>
      </w:pPr>
      <w:r>
        <w:separator/>
      </w:r>
    </w:p>
  </w:footnote>
  <w:footnote w:type="continuationSeparator" w:id="0">
    <w:p w:rsidR="00894DF9" w:rsidRDefault="00894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8D1" w:rsidRDefault="002D77DA">
    <w:pPr>
      <w:pStyle w:val="a3"/>
    </w:pPr>
    <w:r w:rsidRPr="001A358F">
      <w:tab/>
      <w:t xml:space="preserve">- </w:t>
    </w:r>
    <w:r w:rsidRPr="001A358F">
      <w:fldChar w:fldCharType="begin"/>
    </w:r>
    <w:r w:rsidRPr="001A358F">
      <w:instrText xml:space="preserve"> PAGE </w:instrText>
    </w:r>
    <w:r w:rsidRPr="001A358F">
      <w:fldChar w:fldCharType="separate"/>
    </w:r>
    <w:r w:rsidR="00995371">
      <w:rPr>
        <w:noProof/>
      </w:rPr>
      <w:t>2</w:t>
    </w:r>
    <w:r w:rsidRPr="001A358F">
      <w:fldChar w:fldCharType="end"/>
    </w:r>
    <w:r w:rsidRPr="001A358F"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C11E6"/>
    <w:multiLevelType w:val="hybridMultilevel"/>
    <w:tmpl w:val="75BAE47A"/>
    <w:lvl w:ilvl="0" w:tplc="73C00DD2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76975AA5"/>
    <w:multiLevelType w:val="hybridMultilevel"/>
    <w:tmpl w:val="92FE802E"/>
    <w:lvl w:ilvl="0" w:tplc="5C36102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71C"/>
    <w:rsid w:val="00025378"/>
    <w:rsid w:val="000445F3"/>
    <w:rsid w:val="000B19DA"/>
    <w:rsid w:val="002B5E16"/>
    <w:rsid w:val="002B6B78"/>
    <w:rsid w:val="002D77DA"/>
    <w:rsid w:val="00325DC1"/>
    <w:rsid w:val="00380F35"/>
    <w:rsid w:val="003C43B3"/>
    <w:rsid w:val="004E3516"/>
    <w:rsid w:val="005D719B"/>
    <w:rsid w:val="005E7515"/>
    <w:rsid w:val="006D3ED3"/>
    <w:rsid w:val="006D4748"/>
    <w:rsid w:val="00712F20"/>
    <w:rsid w:val="00714E88"/>
    <w:rsid w:val="00715A03"/>
    <w:rsid w:val="0072432D"/>
    <w:rsid w:val="00894DF9"/>
    <w:rsid w:val="008D4AD5"/>
    <w:rsid w:val="0095172A"/>
    <w:rsid w:val="00995371"/>
    <w:rsid w:val="00AB333B"/>
    <w:rsid w:val="00B41D59"/>
    <w:rsid w:val="00B45399"/>
    <w:rsid w:val="00B83A89"/>
    <w:rsid w:val="00BD2DD5"/>
    <w:rsid w:val="00C9271C"/>
    <w:rsid w:val="00E534EC"/>
    <w:rsid w:val="00E55A1D"/>
    <w:rsid w:val="00E861E5"/>
    <w:rsid w:val="00F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C99EE-4FC7-4D8C-BAD6-5D15D919B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9271C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a4">
    <w:name w:val="Верхній колонтитул Знак"/>
    <w:basedOn w:val="a0"/>
    <w:link w:val="a3"/>
    <w:rsid w:val="00C9271C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a5">
    <w:name w:val="footer"/>
    <w:basedOn w:val="a"/>
    <w:link w:val="a6"/>
    <w:rsid w:val="00C9271C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a6">
    <w:name w:val="Нижній колонтитул Знак"/>
    <w:basedOn w:val="a0"/>
    <w:link w:val="a5"/>
    <w:rsid w:val="00C9271C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styleId="a7">
    <w:name w:val="page number"/>
    <w:basedOn w:val="a0"/>
    <w:rsid w:val="00C9271C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9517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95172A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unhideWhenUsed/>
    <w:rsid w:val="00FE77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b">
    <w:name w:val="Strong"/>
    <w:basedOn w:val="a0"/>
    <w:uiPriority w:val="22"/>
    <w:qFormat/>
    <w:rsid w:val="00FE77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chart" Target="charts/chart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uest%201\Desktop\&#1050;&#1086;&#1076;&#1077;&#1082;&#1089;%20&#1088;&#1077;&#1076;%202019\&#1040;&#1085;&#1072;&#1083;&#1080;&#1079;%20&#1053;&#1057;%202013-2019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1"/>
  <c:lang val="uk-UA"/>
  <c:roundedCorners val="1"/>
  <c:style val="2"/>
  <c:chart>
    <c:autoTitleDeleted val="1"/>
    <c:view3D>
      <c:rotX val="30"/>
      <c:rotY val="31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240241506482238"/>
          <c:y val="0.16430980629683736"/>
          <c:w val="0.77329829412668394"/>
          <c:h val="0.73925369057374646"/>
        </c:manualLayout>
      </c:layout>
      <c:pie3DChart>
        <c:varyColors val="1"/>
        <c:ser>
          <c:idx val="0"/>
          <c:order val="0"/>
          <c:dPt>
            <c:idx val="0"/>
            <c:bubble3D val="0"/>
            <c:explosion val="23"/>
            <c:extLst>
              <c:ext xmlns:c16="http://schemas.microsoft.com/office/drawing/2014/chart" uri="{C3380CC4-5D6E-409C-BE32-E72D297353CC}">
                <c16:uniqueId val="{00000000-ABF1-4378-9992-86752E743EAF}"/>
              </c:ext>
            </c:extLst>
          </c:dPt>
          <c:dPt>
            <c:idx val="1"/>
            <c:bubble3D val="0"/>
            <c:explosion val="18"/>
            <c:extLst>
              <c:ext xmlns:c16="http://schemas.microsoft.com/office/drawing/2014/chart" uri="{C3380CC4-5D6E-409C-BE32-E72D297353CC}">
                <c16:uniqueId val="{00000001-ABF1-4378-9992-86752E743EAF}"/>
              </c:ext>
            </c:extLst>
          </c:dPt>
          <c:dPt>
            <c:idx val="2"/>
            <c:bubble3D val="0"/>
            <c:explosion val="17"/>
            <c:extLst>
              <c:ext xmlns:c16="http://schemas.microsoft.com/office/drawing/2014/chart" uri="{C3380CC4-5D6E-409C-BE32-E72D297353CC}">
                <c16:uniqueId val="{00000002-ABF1-4378-9992-86752E743EAF}"/>
              </c:ext>
            </c:extLst>
          </c:dPt>
          <c:dPt>
            <c:idx val="3"/>
            <c:bubble3D val="0"/>
            <c:explosion val="21"/>
            <c:extLst>
              <c:ext xmlns:c16="http://schemas.microsoft.com/office/drawing/2014/chart" uri="{C3380CC4-5D6E-409C-BE32-E72D297353CC}">
                <c16:uniqueId val="{00000003-ABF1-4378-9992-86752E743EAF}"/>
              </c:ext>
            </c:extLst>
          </c:dPt>
          <c:dLbls>
            <c:dLbl>
              <c:idx val="0"/>
              <c:layout>
                <c:manualLayout>
                  <c:x val="-2.3440550722777814E-2"/>
                  <c:y val="1.4016460612106742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BF1-4378-9992-86752E743EAF}"/>
                </c:ext>
              </c:extLst>
            </c:dLbl>
            <c:dLbl>
              <c:idx val="1"/>
              <c:layout>
                <c:manualLayout>
                  <c:x val="0.14149853794468939"/>
                  <c:y val="-7.5956045652664464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BF1-4378-9992-86752E743EAF}"/>
                </c:ext>
              </c:extLst>
            </c:dLbl>
            <c:dLbl>
              <c:idx val="2"/>
              <c:layout>
                <c:manualLayout>
                  <c:x val="3.5882076149096054E-2"/>
                  <c:y val="-5.8818481965772419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ABF1-4378-9992-86752E743EAF}"/>
                </c:ext>
              </c:extLst>
            </c:dLbl>
            <c:dLbl>
              <c:idx val="3"/>
              <c:layout>
                <c:manualLayout>
                  <c:x val="-5.1451513845984634E-2"/>
                  <c:y val="-6.4516157765347248E-2"/>
                </c:manualLayout>
              </c:layout>
              <c:showLegendKey val="1"/>
              <c:showVal val="1"/>
              <c:showCatName val="1"/>
              <c:showSerName val="1"/>
              <c:showPercent val="1"/>
              <c:showBubbleSiz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ABF1-4378-9992-86752E743EAF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1"/>
            <c:showVal val="1"/>
            <c:showCatName val="1"/>
            <c:showSerName val="1"/>
            <c:showPercent val="1"/>
            <c:showBubbleSize val="1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Лист1!$C$10:$C$13</c:f>
              <c:strCache>
                <c:ptCount val="4"/>
                <c:pt idx="0">
                  <c:v>державного рівня</c:v>
                </c:pt>
                <c:pt idx="1">
                  <c:v>регіонального рівня</c:v>
                </c:pt>
                <c:pt idx="2">
                  <c:v>місцевого рівня</c:v>
                </c:pt>
                <c:pt idx="3">
                  <c:v>об'єктового рівня</c:v>
                </c:pt>
              </c:strCache>
            </c:strRef>
          </c:cat>
          <c:val>
            <c:numRef>
              <c:f>Лист1!$P$10:$P$13</c:f>
              <c:numCache>
                <c:formatCode>0.00%</c:formatCode>
                <c:ptCount val="4"/>
                <c:pt idx="0">
                  <c:v>1.9417475728155338E-2</c:v>
                </c:pt>
                <c:pt idx="1">
                  <c:v>5.1317614424410539E-2</c:v>
                </c:pt>
                <c:pt idx="2">
                  <c:v>0.42579750346740636</c:v>
                </c:pt>
                <c:pt idx="3">
                  <c:v>0.50346740638002774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ABF1-4378-9992-86752E743EA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zero"/>
    <c:showDLblsOverMax val="1"/>
  </c:chart>
  <c:externalData r:id="rId1">
    <c:autoUpdate val="1"/>
  </c:externalData>
</c:chartSpace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414AF2-2D99-41CE-A136-FE91FCF0AC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2EEBE4-5ABA-4245-A59F-503C81D959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8C6A300-7623-465E-A5F3-F240193CD1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10560</Words>
  <Characters>6020</Characters>
  <Application>Microsoft Office Word</Application>
  <DocSecurity>0</DocSecurity>
  <Lines>50</Lines>
  <Paragraphs>33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2020-09-14T14:23:00Z</dcterms:created>
  <dcterms:modified xsi:type="dcterms:W3CDTF">2020-09-14T14:23:00Z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