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6A" w:rsidRPr="0065186A" w:rsidRDefault="0065186A" w:rsidP="0065186A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bookmarkStart w:id="0" w:name="_GoBack"/>
      <w:bookmarkEnd w:id="0"/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ПОЯСНЮВАЛЬНА ЗАПИСКА</w:t>
      </w:r>
    </w:p>
    <w:p w:rsidR="0065186A" w:rsidRPr="0065186A" w:rsidRDefault="0065186A" w:rsidP="0065186A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до проекту Закону "Про внесення змін до Кодексу цивільного захисту України (щодо удосконалення моніторингу та заходів із запобігання виникненню надзвичайних ситуацій)"</w:t>
      </w:r>
    </w:p>
    <w:p w:rsidR="0065186A" w:rsidRPr="0065186A" w:rsidRDefault="0065186A" w:rsidP="0065186A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65186A" w:rsidRPr="0065186A" w:rsidRDefault="0065186A" w:rsidP="0065186A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65186A" w:rsidRPr="0065186A" w:rsidRDefault="0065186A" w:rsidP="0065186A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5186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Обґрунтування необхідності прийняття акту.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Протягом останніх 10 років (2009-2018рр.) в Україні виникало близько 1 828 надзвичайних ситуацій (далі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НС), близько половини з яких (48%), відповідно до Національного класифікатору надзвичайних ситуацій відносяться до НС техногенного характеру, які щорічно забирають сотні життів, завдають багатомільйонних збитків державі та населенню. 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офіційною 10-річною жахливою статистикою жертвами НС техногенного характеру стало більше ніж 4 тис. осіб, з яких 1928 осіб загинуло, у тому числі й  199 дітей.   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>І це саме надзвичайні ситуації техногенного характеру, тобто ті, які виникли під впливом техногенного фактору який на відміну від природного ‒ є створеним та підконтрольним людині. Це саме ті надзвичайні ситуації  та жертви, яких можливо було б уникнути, якщо законодавчо закріпити механізм контролю та виявлення на ранній стадії загрози виникнення аварії чи надзвичайної ситуації.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 тисячі жертв власних громадян, яких вже неможливо повернути,  внаслідок надзвичайних ситуацій техногенного характеру Україна також втрачає сотні мільйонів гривень прямих матеріальних збитків.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Наприклад, орієнтовні матеріальні збитки внаслідок надзвичайної ситуації техногенного характеру у 2008 році перевищили 93,8 млн. грн., у 2009 році – 189,4 млн. грн., у 2015 році - 271 млн. грн. Сума збитків за інші роки також становила сотні мільйонів гривень.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Слід відзначити, що протягом останніх років, в цілому, спостерігається тенденція до зниження кількості надзвичайних ситуацій. Значною мірою цьому сприяє виконання суб’єктами господарювання вимог чинного законодавства стосовно застосування заходів із виявлення загрози виникнення НС й своєчасного оповіщення населення в зоні можливого ураження. За 10 років це дозволило знизити кількість НС техногенного характеру майже у три рази, а кількість загиблих у два. 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Але чинним законодавством ці вимоги визначено лише для вузької категорії об’єктів – об’єкти підвищеної небезпеки (ст.53 Кодексу цивільного захисту України). 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І статистика НС техногенного характеру в черговий раз доводить, що цього недостатньо. Із року в рік значну кількість НС техногенного характеру – складають саме НС місцевого (42%) та об’єктового рівня (50%) – це говорить про недосконалість вимог чинного законодавства до об’єктів у частині забезпечення техногенної безпеки.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1124BBD" wp14:editId="45F07218">
            <wp:extent cx="6155055" cy="3165475"/>
            <wp:effectExtent l="0" t="0" r="17145" b="15875"/>
            <wp:docPr id="2" name="Діагра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186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1. Розподіл НС техногенного характеру за масштабами (рівнем) 2009-2018рр.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Недосконалість вимог щодо забезпечення техногенної безпеки на об’єктах також демонструє розподіл НС техногенного характеру за територіальною ознакою – для регіонів зі скупченням об'єктів енергетики, переробки та промисловості характерно підвищена кількість НС техногенного характеру, та домінування їх частки в загальній кількості НС. 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  <w:r w:rsidRPr="0065186A">
        <w:rPr>
          <w:rFonts w:ascii="Times New Roman" w:eastAsia="Times New Roman" w:hAnsi="Times New Roman" w:cs="Arial"/>
          <w:noProof/>
          <w:sz w:val="28"/>
          <w:szCs w:val="35"/>
          <w:lang w:eastAsia="uk-UA"/>
        </w:rPr>
        <w:drawing>
          <wp:inline distT="0" distB="0" distL="0" distR="0" wp14:anchorId="3455D3CB" wp14:editId="5BAADAC0">
            <wp:extent cx="5648325" cy="2924175"/>
            <wp:effectExtent l="0" t="0" r="9525" b="9525"/>
            <wp:docPr id="1" name="Рисунок 1" descr="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5186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2. Розподіл НС техногенного характеру за територіальною ознакою 2018р.</w:t>
      </w: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65186A" w:rsidRPr="0065186A" w:rsidRDefault="0065186A" w:rsidP="00651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Окремої уваги потребують об’єкти залізничного, авіаційного та морського транспорту, на території яких розташовані місця зберігання небезпечних вантажів в процесі їх перевезення. Часто це необладнані склади або майданчики, де небезпечні вантажі різного характеру зберігаються поруч у довільному порядку. </w:t>
      </w:r>
    </w:p>
    <w:p w:rsidR="0065186A" w:rsidRPr="0065186A" w:rsidRDefault="0065186A" w:rsidP="0065186A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Страшна катастрофа ˗ нещодавній вибух 2 750 тон нітрату амонію, що зберігався у порту Лівії Бейруті, дає усі підстави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переглянути вимоги до місць зберігання небезпечних вантажів, навіть якщо це тимчасовий період в процесі розвантаження/перевантаження вантажу. Згадана катастрофа сколихнула усю світову спільноту, адже с</w:t>
      </w:r>
      <w:r w:rsidRPr="006518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ила вибухів у ліванській столиці дорівнювала 1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˗</w:t>
      </w:r>
      <w:r w:rsidRPr="006518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1,8 тисячі тон тротилу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˗ </w:t>
      </w:r>
      <w:r w:rsidRPr="006518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це приблизний еквівалент однієї десятої вибухової потужності атомної бомби, скинутої на Хіросіму.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Внаслідок вибуху за останніми даними загинули понад 100 осіб та близько 4 тисяч отримали поранення, вибух залишив 300 тисяч людей бездомними, завдані збитки  оцінюють у понад $3 млрд. Аналіз причин події показав, що трагедія сталась внаслідок неналежних умов зберігання небезпечного вантажу та незабезпечення місця зберігання відповідними заходами техногенної безпеки.</w:t>
      </w:r>
    </w:p>
    <w:p w:rsidR="0065186A" w:rsidRPr="0065186A" w:rsidRDefault="0065186A" w:rsidP="0065186A">
      <w:pPr>
        <w:shd w:val="clear" w:color="auto" w:fill="FFFFFF"/>
        <w:tabs>
          <w:tab w:val="left" w:pos="284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</w:r>
      <w:r w:rsidRPr="006518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Висновки, що їх можна зробити із згаданої події, наступні: по-перше, тимчасове або короткострокове зберігання, як визначено у вітчизняному законодавстві України, може мати різну тривалість і затягнутись на 6 років, як це відбулось у Бейруті. По-друге, у місцях зберігання небезпечних вантажів повинні бути дотримані усі вимоги техногенної безпеки, зокрема такі місця мають бути обладнані відповідними системами раннього виявлення загроз виникнення надзвичайних ситуацій та оповіщення населення у разі їх виникнення. Наявність згаданих систем дозволили б уникнути катастрофі.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 України «Про перевезення небезпечних вантажів», що регулює діяльність у сфері перевезень небезпечних вантажів, зобов’язує перевізника забезпечувати «належне зберігання» та «спеціально облаштовувати» місця зберігання небезпечних вантажів, це досить обтічне визначення, і як показує практика,  не містить конкретних зобов’язань щодо виконання. 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у державі, на цей час, гостро стоїть питання щодо забезпечення безпеки населення, яке працює на вищезазначених об'єктах або потрапляє в зону можливого ураження при аваріях на них (об’єктовий та місцевий рівень НС). 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результатами аналізу таких подій та заходів, що мають бути вжиті відповідно до Кодексу цивільного захисту України, можна побачити, що у ньому не враховані значні фактори небезпеки від інших небезпечних об’єктів, крім об’єктів підвищеної небезпеки, зокрема об’єктів з ризиком виникнення надзвичайних ситуацій місцевого або об’єктового рівня, об’єктах з масовим перебуванням людей (постійним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(відповідальності) належать до об’єктів з середніми (СС2) та значними (СС3) наслідками.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Подальша відсутність вимог щодо заходів із забезпечення техногенної безпеки на таких об’єктах, у головному нормативному акті держави, що стосується цивільного захисту, призводить до багаторазового підвищення ризику виникнення НС на зазначених об’єктах, а відповідно і до людських жертв та багатомільйонних збитків.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Законопроектом пропонується внести зміни до відповідних статей Кодексу цивільного захисту України. Така необхідність ґрунтується на тому, що за своїм визначенням об'єкти підвищеної небезпеки (далі ‒ ОПН) та об’єкт, який не вважається ОПН, відповідно до Закону України "Про об'єкти підвищеної небезпеки" відрізняються тільки нормативно встановленою пороговою масою.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така порогова маса має умовно невелику різницю для ОПН та для об’єкту, який ОПН не вважається. Наприклад, для ОПН така маса становить 5,00 тис. тонн бензину, а для не ОПН ‒ 4,99 тис. тонн. За ступенем небезпеки практичної різниці для цих кількостей бензину майже немає, але це уже різні об'єкти і відповідно відсутні жодні вимоги з забезпечення техногенної безпеки для об’єкту, на якому зберігається 4,99 тис. тонн вибухонебезпечної речовини.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відсутність відповідних вимог дає право суб'єктам господарювання взагалі припинити вжиття заходів безпеки на них, а у цьому разі, наслідки аварій на них можуть перевищувати у декілька разів наслідки аварій на ОПН, до яких відповідно до Закону України "Про об'єкти підвищеної небезпеки" встановлені вичерпні вимоги.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також створює поле для зловживань суб’єктами господарювання, шляхом заниження кількості небезпечних речовин (у т.ч. шляхом фіктивного виведення ємностей з експлуатації).</w:t>
      </w:r>
    </w:p>
    <w:p w:rsidR="0065186A" w:rsidRPr="0065186A" w:rsidRDefault="0065186A" w:rsidP="0065186A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86A">
        <w:rPr>
          <w:rFonts w:ascii="Times New Roman" w:eastAsia="Times New Roman" w:hAnsi="Times New Roman" w:cs="Times New Roman"/>
          <w:sz w:val="28"/>
          <w:szCs w:val="28"/>
        </w:rPr>
        <w:t xml:space="preserve">Окремо необхідно відзначити надзвичайні ситуації, що пов’язані з руйнуванням інженерних споруд і конструкцій та покрівель великої площі. </w:t>
      </w:r>
    </w:p>
    <w:p w:rsidR="0065186A" w:rsidRPr="0065186A" w:rsidRDefault="0065186A" w:rsidP="0065186A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86A">
        <w:rPr>
          <w:rFonts w:ascii="Times New Roman" w:eastAsia="Times New Roman" w:hAnsi="Times New Roman" w:cs="Times New Roman"/>
          <w:sz w:val="28"/>
          <w:szCs w:val="28"/>
        </w:rPr>
        <w:t xml:space="preserve">Будучи техногенними аваріями, вони трапляються у будівлях та будинках соціально-культурного та виробничого призначення з масовим перебуванням людей і пов’язані з особливо тяжкими наслідками, які вмить призводять до величезної кількості людських жертв. </w:t>
      </w:r>
    </w:p>
    <w:p w:rsidR="0065186A" w:rsidRPr="0065186A" w:rsidRDefault="0065186A" w:rsidP="0065186A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5186A">
        <w:rPr>
          <w:rFonts w:ascii="Times New Roman" w:eastAsia="Times New Roman" w:hAnsi="Times New Roman" w:cs="Times New Roman"/>
          <w:bCs/>
          <w:sz w:val="28"/>
          <w:szCs w:val="28"/>
        </w:rPr>
        <w:t>З приголомшливою регулярністю у світі відбуваються зазначені аварії, після яких настають особливо тяжкі наслідки. У таблиці, що додається, приведені лише деякі з них.</w:t>
      </w:r>
    </w:p>
    <w:p w:rsidR="0065186A" w:rsidRPr="0065186A" w:rsidRDefault="0065186A" w:rsidP="0065186A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186A" w:rsidRPr="0065186A" w:rsidRDefault="0065186A" w:rsidP="0065186A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5186A">
        <w:rPr>
          <w:rFonts w:ascii="Times New Roman" w:eastAsia="Times New Roman" w:hAnsi="Times New Roman" w:cs="Times New Roman"/>
          <w:b/>
          <w:sz w:val="24"/>
          <w:szCs w:val="24"/>
        </w:rPr>
        <w:t>Таблиця 1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5"/>
        <w:gridCol w:w="1559"/>
        <w:gridCol w:w="1055"/>
        <w:gridCol w:w="4961"/>
      </w:tblGrid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Об’єкт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Держава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Жертви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Фінансові втрати. Правова оцінка.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Причини катастрофи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скляних конструкцій покрівлі ТЦ «Acropolis»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(1.05.2014)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постраждалих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Вільнюський «Acropolis» належить тій же литовській системі Maxima, в торговому центрі якої в Ризі 21 листопада в результаті обвалення даху загинули 54 людини.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Обвалення покрівлі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ТЦ «Maxima»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(21.11.2013)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Латвія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54 загиблих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(в т.ч. 3 рятівників)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фактом недотримання будівельниками компанії Re&amp;Re чинних норм при проведенні відповідних робіт було порушено кримінальну справу. </w:t>
            </w:r>
          </w:p>
          <w:p w:rsidR="0065186A" w:rsidRPr="0065186A" w:rsidRDefault="0065186A" w:rsidP="00651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листопада прем'єр-міністр Латвії Валдіс Домбровскіс, у зв'язку з подіями в Золітуде, подав у відставку. </w:t>
            </w:r>
          </w:p>
          <w:p w:rsidR="0065186A" w:rsidRPr="0065186A" w:rsidRDefault="0065186A" w:rsidP="00651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мільйонів латів виділив сейм Латвії на надання допомоги сім'ям та постраждалим при обваленні.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комплексу «Rana Plaza»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(24.04.2013)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Бангладеш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Число жертв обвалення досягло </w:t>
            </w:r>
            <w:r w:rsidRPr="006518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1,155 осіб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квітня проти власника будівлі, Сохела Рані, і власників п'яти виробництв одягу, які знаходилися всередині, було порушено кримінальну справу.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торгового центру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(7.11.2012)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Шестиповерхова будівля торгового центру обвалилась за 15 хвилин до відкриття, тому під завали потрапили в основному співробітники магазинів.. Слідство встановило, що будівля була побудована без ліцензії муніципальних властей.</w:t>
            </w:r>
          </w:p>
        </w:tc>
      </w:tr>
      <w:tr w:rsidR="0065186A" w:rsidRPr="0065186A" w:rsidTr="00F611E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стадіону ФК «Твенте» (07.07.2011)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Нідерланди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 менше 10 мільйонів євро.</w:t>
            </w:r>
          </w:p>
        </w:tc>
      </w:tr>
      <w:tr w:rsidR="0065186A" w:rsidRPr="0065186A" w:rsidTr="00F611E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конструкцій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ТЦ «Sky Mall»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(17.02.2011)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Україна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Відкрита кримінальна справа по факту порушення службовими особами ТОВ "Призма Бета" при будуванні центру SkyMall правил безпечної експлуатації будівель і споруд (ч.1 ст. 275 Кримінального Кодексу України).</w:t>
            </w: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Помилки при будуванні.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супермаркету «</w:t>
            </w: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>О'кей» (25.01.2011)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Відповідальними за обвал даху були визнані власники супермаркету. </w:t>
            </w: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складського приміщення «Міраторг» (18.02.2008)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Жертв не було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60 мільйонів євро.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Басманний ринок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(23.02.2006)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68 загиблих,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 поранен</w:t>
            </w: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Зношеність конструкцій і недостатній контроль об’єкту.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Виставковий центр в місті Катовець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(29.01.2006)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Польща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 ніж 60 загиблих,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 і стану покрівлі.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>Стадіон в Бад-Райхенхаллі (02.01.2006)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Німеччина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11 загиблих,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>Винні отримали від 5 до 11 років тюремного ув’язнення.</w:t>
            </w: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Причиною великої кількості жертв стало несвоєчасне оповіщення про ризик обвалу.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Пермський спортивний басейн «Дельфін»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(04.12.2005)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загиблих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(10 дітей),   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 поранений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Термінал Аеропорту «Руассі» (26.05.2004)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Франція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750 мільйонів євро.</w:t>
            </w:r>
            <w:r w:rsidRPr="006518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Уникнути більшої кількості жертв вдалося завдяки сиренам, що вчасно спрацювали, і грамотно проведеній евакуації.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Причина катастрофи – помилки у проектуванні будівлі.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Аквапарк «Трансвааль» (14.02.2004)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28 загиблих,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т.ч. 8 дітей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30 мільйонів євро.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Обвал покрівлі корпусу МІК.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Космодром «Байконур»  (12.05.2002)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Казахстан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Невідновлювані втрати. Зруйнований єдиний діючий Космодром «Буран» й елементи ракетоносія «Енергія». Перевищення навантаження при відсутності контролю покрівлі.</w:t>
            </w:r>
          </w:p>
        </w:tc>
      </w:tr>
      <w:tr w:rsidR="0065186A" w:rsidRPr="0065186A" w:rsidTr="00F611E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Спортивний комплекс «Юність» (25.06.1998)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23 загиблих, </w:t>
            </w:r>
          </w:p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86A" w:rsidRPr="0065186A" w:rsidRDefault="0065186A" w:rsidP="0065186A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8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 Неякісний ремонт будівлі.</w:t>
            </w:r>
          </w:p>
        </w:tc>
      </w:tr>
    </w:tbl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статистикою у будівлях та будинках за наявності покрівель великої площі основна небезпека створюється внаслідок перевантаження покрівель через утворення снігових наметів на них, впливів шквальних вітрів тощо. Крім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того, більшість покрівель знаходяться в аварійному стані і своєчасно не обстежуються. За таких умов у державі щороку знищується або пошкоджується 1-2 будівлі різного призначення.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 своєчасного виявлення загрози виникнення НС, оповіщення людей у зоні можливого ураження та запобігання виникненню чисельних жертв на зазначених об’єктах, законопроектом пропонується удосконалення вимог щодо забезпечення належного рівня техногенної безпеки на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прийняття зазначеного законопроекту є прогресивним кроком у напрямку застосування превентивних засобів забезпечення безпеки населення, що безумовно позитивно вплине на стан техногенної безпеки та підвищить в цілому безпеку населення, 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т.ч. кваліфікованого виробничого персоналу.</w:t>
      </w:r>
    </w:p>
    <w:p w:rsidR="0065186A" w:rsidRPr="0065186A" w:rsidRDefault="0065186A" w:rsidP="0065186A">
      <w:pPr>
        <w:widowControl w:val="0"/>
        <w:spacing w:after="60" w:line="322" w:lineRule="exact"/>
        <w:ind w:right="20"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Разом з тим це дозволить збільшити інвестиції у вітчизняну 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65186A" w:rsidRPr="0065186A" w:rsidRDefault="0065186A" w:rsidP="0065186A">
      <w:pPr>
        <w:widowControl w:val="0"/>
        <w:spacing w:after="60" w:line="322" w:lineRule="exact"/>
        <w:ind w:right="2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keepNext/>
        <w:keepLines/>
        <w:widowControl w:val="0"/>
        <w:tabs>
          <w:tab w:val="left" w:pos="998"/>
        </w:tabs>
        <w:spacing w:after="60" w:line="260" w:lineRule="exact"/>
        <w:ind w:left="708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1" w:name="bookmark0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2. Цілі та завдання законопроєкту</w:t>
      </w:r>
      <w:bookmarkEnd w:id="1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bookmark1"/>
      <w:r w:rsidRPr="0065186A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 xml:space="preserve">Метою та завданням законопроекту є удосконалення моніторингу та виявлення загрози виникнення надзвичайних ситуацій та своєчасного оповіщення людей у зоні можливого ураження, пов’язаних з небезпекою на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65186A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>.</w:t>
      </w:r>
    </w:p>
    <w:p w:rsidR="0065186A" w:rsidRPr="0065186A" w:rsidRDefault="0065186A" w:rsidP="0065186A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ab/>
      </w:r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3. Загальна характеристика і основні положення законопроєкту</w:t>
      </w: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.</w:t>
      </w:r>
      <w:bookmarkEnd w:id="2"/>
    </w:p>
    <w:p w:rsidR="0065186A" w:rsidRPr="0065186A" w:rsidRDefault="0065186A" w:rsidP="0065186A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Проєктом Закону передбачається прямо визначити обов’язки суб’єктів </w:t>
      </w: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lastRenderedPageBreak/>
        <w:t xml:space="preserve">господарювання, центральних та місцевих органів виконавчої влади щодо створення автоматизованих систем раннього виявлення загрози виникнення надзвичайних ситуацій та оповіщення населення у разі їх виникнення </w:t>
      </w:r>
      <w:r w:rsidRPr="0065186A">
        <w:rPr>
          <w:rFonts w:ascii="Times New Roman" w:eastAsia="Times New Roman" w:hAnsi="Times New Roman" w:cs="Times New Roman"/>
          <w:bCs/>
          <w:noProof/>
          <w:sz w:val="28"/>
          <w:szCs w:val="26"/>
          <w:lang w:eastAsia="uk-UA"/>
        </w:rPr>
        <w:t xml:space="preserve">на </w:t>
      </w:r>
      <w:r w:rsidRPr="0065186A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.</w:t>
      </w:r>
    </w:p>
    <w:p w:rsidR="0065186A" w:rsidRPr="0065186A" w:rsidRDefault="0065186A" w:rsidP="0065186A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keepNext/>
        <w:keepLines/>
        <w:widowControl w:val="0"/>
        <w:tabs>
          <w:tab w:val="left" w:pos="1210"/>
        </w:tabs>
        <w:spacing w:after="60" w:line="326" w:lineRule="exact"/>
        <w:ind w:left="708" w:righ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3" w:name="bookmark2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4. Стан нормативно-правової бази у даній сфері правового регулювання</w:t>
      </w:r>
      <w:bookmarkEnd w:id="3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65186A" w:rsidRPr="0065186A" w:rsidRDefault="0065186A" w:rsidP="0065186A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У даній сфері правового регулювання основним нормативно-правовим актом є  Кодекс цивільного захисту України. </w:t>
      </w:r>
    </w:p>
    <w:p w:rsidR="0065186A" w:rsidRPr="0065186A" w:rsidRDefault="0065186A" w:rsidP="0065186A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Реалізація положень цього законопроєкту у разі його прийняття не потребуватиме внесення змін до інших законів.</w:t>
      </w:r>
    </w:p>
    <w:p w:rsidR="0065186A" w:rsidRPr="0065186A" w:rsidRDefault="0065186A" w:rsidP="0065186A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keepNext/>
        <w:keepLines/>
        <w:widowControl w:val="0"/>
        <w:numPr>
          <w:ilvl w:val="0"/>
          <w:numId w:val="2"/>
        </w:numPr>
        <w:tabs>
          <w:tab w:val="left" w:pos="998"/>
        </w:tabs>
        <w:spacing w:after="60" w:line="260" w:lineRule="exact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4" w:name="bookmark3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Фінансово-економічне обґрунтування</w:t>
      </w:r>
      <w:bookmarkEnd w:id="4"/>
      <w:r w:rsidRPr="0065186A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65186A" w:rsidRPr="0065186A" w:rsidRDefault="0065186A" w:rsidP="0065186A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Впровадження проєкту Закону не потребуватиме додаткових фінансових витрат з Державного бюджету України.</w:t>
      </w:r>
    </w:p>
    <w:p w:rsidR="0065186A" w:rsidRPr="0065186A" w:rsidRDefault="0065186A" w:rsidP="0065186A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EF2132" w:rsidRDefault="0065186A" w:rsidP="00EF2132">
      <w:pPr>
        <w:pStyle w:val="a8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bookmarkStart w:id="5" w:name="bookmark5"/>
      <w:r w:rsidRPr="00EF2132">
        <w:rPr>
          <w:rFonts w:ascii="Times New Roman" w:hAnsi="Times New Roman" w:cs="Times New Roman"/>
          <w:b/>
          <w:sz w:val="28"/>
          <w:szCs w:val="28"/>
        </w:rPr>
        <w:t>Прогноз очікуваних соціально-економічних, правових та інших наслідків прийняття проєкту</w:t>
      </w:r>
      <w:bookmarkEnd w:id="5"/>
      <w:r w:rsidRPr="00EF2132">
        <w:rPr>
          <w:rFonts w:ascii="Times New Roman" w:hAnsi="Times New Roman" w:cs="Times New Roman"/>
          <w:b/>
          <w:sz w:val="28"/>
          <w:szCs w:val="28"/>
        </w:rPr>
        <w:t>.</w:t>
      </w:r>
    </w:p>
    <w:p w:rsidR="0065186A" w:rsidRPr="0065186A" w:rsidRDefault="0065186A" w:rsidP="0065186A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186A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Прийняття запропонованого проекту Закону дозволить застосувати превентивні засоби забезпечення безпеки населення, що безумовно позитивно вплине на стан техногенної безпеки та підвищить в цілому безпеку населення, </w:t>
      </w:r>
      <w:r w:rsidRPr="0065186A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тому числі - кваліфікованого виробничого персоналу.</w:t>
      </w:r>
    </w:p>
    <w:p w:rsidR="0065186A" w:rsidRPr="0065186A" w:rsidRDefault="0065186A" w:rsidP="0065186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5186A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З іншого боку це дозволить збільшити інвестиції у вітчизняну 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65186A" w:rsidRPr="0065186A" w:rsidRDefault="0065186A" w:rsidP="0065186A">
      <w:pPr>
        <w:widowControl w:val="0"/>
        <w:spacing w:after="60" w:line="322" w:lineRule="exact"/>
        <w:ind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</w:pPr>
    </w:p>
    <w:p w:rsidR="0065186A" w:rsidRPr="0065186A" w:rsidRDefault="0065186A" w:rsidP="006518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Народний депутат</w:t>
      </w:r>
    </w:p>
    <w:p w:rsidR="00B15B8F" w:rsidRDefault="0065186A" w:rsidP="00756028">
      <w:pPr>
        <w:spacing w:after="0" w:line="240" w:lineRule="auto"/>
      </w:pPr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 України                          </w:t>
      </w:r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</w:r>
      <w:r w:rsidRPr="0065186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  <w:t xml:space="preserve">                                              С.В. Шахов</w:t>
      </w:r>
    </w:p>
    <w:sectPr w:rsidR="00B15B8F" w:rsidSect="002D77DA">
      <w:headerReference w:type="default" r:id="rId12"/>
      <w:footerReference w:type="even" r:id="rId13"/>
      <w:footerReference w:type="default" r:id="rId14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90E" w:rsidRDefault="0043590E">
      <w:pPr>
        <w:spacing w:after="0" w:line="240" w:lineRule="auto"/>
      </w:pPr>
      <w:r>
        <w:separator/>
      </w:r>
    </w:p>
  </w:endnote>
  <w:endnote w:type="continuationSeparator" w:id="0">
    <w:p w:rsidR="0043590E" w:rsidRDefault="00435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65186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742CA" w:rsidRDefault="0043590E" w:rsidP="00B742C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65186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E289D">
      <w:rPr>
        <w:rStyle w:val="a7"/>
        <w:noProof/>
      </w:rPr>
      <w:t>2</w:t>
    </w:r>
    <w:r>
      <w:rPr>
        <w:rStyle w:val="a7"/>
      </w:rPr>
      <w:fldChar w:fldCharType="end"/>
    </w:r>
  </w:p>
  <w:p w:rsidR="00B742CA" w:rsidRDefault="0043590E" w:rsidP="00B742C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90E" w:rsidRDefault="0043590E">
      <w:pPr>
        <w:spacing w:after="0" w:line="240" w:lineRule="auto"/>
      </w:pPr>
      <w:r>
        <w:separator/>
      </w:r>
    </w:p>
  </w:footnote>
  <w:footnote w:type="continuationSeparator" w:id="0">
    <w:p w:rsidR="0043590E" w:rsidRDefault="00435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D1" w:rsidRDefault="0065186A">
    <w:pPr>
      <w:pStyle w:val="a3"/>
    </w:pPr>
    <w:r w:rsidRPr="001A358F">
      <w:tab/>
      <w:t xml:space="preserve">- </w:t>
    </w:r>
    <w:r w:rsidRPr="001A358F">
      <w:fldChar w:fldCharType="begin"/>
    </w:r>
    <w:r w:rsidRPr="001A358F">
      <w:instrText xml:space="preserve"> PAGE </w:instrText>
    </w:r>
    <w:r w:rsidRPr="001A358F">
      <w:fldChar w:fldCharType="separate"/>
    </w:r>
    <w:r w:rsidR="004E289D">
      <w:rPr>
        <w:noProof/>
      </w:rPr>
      <w:t>2</w:t>
    </w:r>
    <w:r w:rsidRPr="001A358F">
      <w:fldChar w:fldCharType="end"/>
    </w:r>
    <w:r w:rsidRPr="001A358F"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C11E6"/>
    <w:multiLevelType w:val="hybridMultilevel"/>
    <w:tmpl w:val="75BAE47A"/>
    <w:lvl w:ilvl="0" w:tplc="73C00DD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6975AA5"/>
    <w:multiLevelType w:val="hybridMultilevel"/>
    <w:tmpl w:val="92FE802E"/>
    <w:lvl w:ilvl="0" w:tplc="5C3610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86A"/>
    <w:rsid w:val="0043590E"/>
    <w:rsid w:val="004E289D"/>
    <w:rsid w:val="0065186A"/>
    <w:rsid w:val="00756028"/>
    <w:rsid w:val="00B03300"/>
    <w:rsid w:val="00B15B8F"/>
    <w:rsid w:val="00EF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BE2EE-31CB-4D7D-B3AC-201284BB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18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65186A"/>
  </w:style>
  <w:style w:type="paragraph" w:styleId="a5">
    <w:name w:val="footer"/>
    <w:basedOn w:val="a"/>
    <w:link w:val="a6"/>
    <w:uiPriority w:val="99"/>
    <w:semiHidden/>
    <w:unhideWhenUsed/>
    <w:rsid w:val="006518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65186A"/>
  </w:style>
  <w:style w:type="character" w:styleId="a7">
    <w:name w:val="page number"/>
    <w:basedOn w:val="a0"/>
    <w:rsid w:val="0065186A"/>
    <w:rPr>
      <w:rFonts w:cs="Times New Roman"/>
    </w:rPr>
  </w:style>
  <w:style w:type="paragraph" w:styleId="a8">
    <w:name w:val="List Paragraph"/>
    <w:basedOn w:val="a"/>
    <w:uiPriority w:val="34"/>
    <w:qFormat/>
    <w:rsid w:val="00EF2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Guest%201\Desktop\&#1050;&#1086;&#1076;&#1077;&#1082;&#1089;%20&#1088;&#1077;&#1076;%202019\&#1040;&#1085;&#1072;&#1083;&#1080;&#1079;%20&#1053;&#1057;%202013-2019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31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240241506482238"/>
          <c:y val="0.16430980629683736"/>
          <c:w val="0.77329829412668394"/>
          <c:h val="0.73925369057374646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23"/>
            <c:extLst>
              <c:ext xmlns:c16="http://schemas.microsoft.com/office/drawing/2014/chart" uri="{C3380CC4-5D6E-409C-BE32-E72D297353CC}">
                <c16:uniqueId val="{00000000-ABF1-4378-9992-86752E743EAF}"/>
              </c:ext>
            </c:extLst>
          </c:dPt>
          <c:dPt>
            <c:idx val="1"/>
            <c:bubble3D val="0"/>
            <c:explosion val="18"/>
            <c:extLst>
              <c:ext xmlns:c16="http://schemas.microsoft.com/office/drawing/2014/chart" uri="{C3380CC4-5D6E-409C-BE32-E72D297353CC}">
                <c16:uniqueId val="{00000001-ABF1-4378-9992-86752E743EAF}"/>
              </c:ext>
            </c:extLst>
          </c:dPt>
          <c:dPt>
            <c:idx val="2"/>
            <c:bubble3D val="0"/>
            <c:explosion val="17"/>
            <c:extLst>
              <c:ext xmlns:c16="http://schemas.microsoft.com/office/drawing/2014/chart" uri="{C3380CC4-5D6E-409C-BE32-E72D297353CC}">
                <c16:uniqueId val="{00000002-ABF1-4378-9992-86752E743EAF}"/>
              </c:ext>
            </c:extLst>
          </c:dPt>
          <c:dPt>
            <c:idx val="3"/>
            <c:bubble3D val="0"/>
            <c:explosion val="21"/>
            <c:extLst>
              <c:ext xmlns:c16="http://schemas.microsoft.com/office/drawing/2014/chart" uri="{C3380CC4-5D6E-409C-BE32-E72D297353CC}">
                <c16:uniqueId val="{00000003-ABF1-4378-9992-86752E743EAF}"/>
              </c:ext>
            </c:extLst>
          </c:dPt>
          <c:dLbls>
            <c:dLbl>
              <c:idx val="0"/>
              <c:layout>
                <c:manualLayout>
                  <c:x val="-2.3440550722777814E-2"/>
                  <c:y val="1.401646061210674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BF1-4378-9992-86752E743EAF}"/>
                </c:ext>
              </c:extLst>
            </c:dLbl>
            <c:dLbl>
              <c:idx val="1"/>
              <c:layout>
                <c:manualLayout>
                  <c:x val="0.14149853794468939"/>
                  <c:y val="-7.595604565266446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BF1-4378-9992-86752E743EAF}"/>
                </c:ext>
              </c:extLst>
            </c:dLbl>
            <c:dLbl>
              <c:idx val="2"/>
              <c:layout>
                <c:manualLayout>
                  <c:x val="3.5882076149096054E-2"/>
                  <c:y val="-5.881848196577241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BF1-4378-9992-86752E743EAF}"/>
                </c:ext>
              </c:extLst>
            </c:dLbl>
            <c:dLbl>
              <c:idx val="3"/>
              <c:layout>
                <c:manualLayout>
                  <c:x val="-5.1451513845984634E-2"/>
                  <c:y val="-6.451615776534724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BF1-4378-9992-86752E743EA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Лист1!$C$10:$C$13</c:f>
              <c:strCache>
                <c:ptCount val="4"/>
                <c:pt idx="0">
                  <c:v>державного рівня</c:v>
                </c:pt>
                <c:pt idx="1">
                  <c:v>регіонального рівня</c:v>
                </c:pt>
                <c:pt idx="2">
                  <c:v>місцевого рівня</c:v>
                </c:pt>
                <c:pt idx="3">
                  <c:v>об'єктового рівня</c:v>
                </c:pt>
              </c:strCache>
            </c:strRef>
          </c:cat>
          <c:val>
            <c:numRef>
              <c:f>Лист1!$P$10:$P$13</c:f>
              <c:numCache>
                <c:formatCode>0.00%</c:formatCode>
                <c:ptCount val="4"/>
                <c:pt idx="0">
                  <c:v>1.9417475728155338E-2</c:v>
                </c:pt>
                <c:pt idx="1">
                  <c:v>5.1317614424410539E-2</c:v>
                </c:pt>
                <c:pt idx="2">
                  <c:v>0.42579750346740636</c:v>
                </c:pt>
                <c:pt idx="3">
                  <c:v>0.50346740638002774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BF1-4378-9992-86752E743E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1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D531C3-0208-4EA2-AFEC-EEA855330F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0BD818-3E51-4895-B4C8-CC0628A3BA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062390-B1E3-4E09-B32E-86600269E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10563</Words>
  <Characters>6022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2020-11-17T07:35:00Z</dcterms:created>
  <dcterms:modified xsi:type="dcterms:W3CDTF">2020-11-17T07:35:00Z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