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C0049" w:rsidRPr="00AD7F82" w:rsidTr="00697440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C0049" w:rsidRPr="00AD7F82" w:rsidRDefault="00CC0049" w:rsidP="00697440">
            <w:pPr>
              <w:pStyle w:val="a5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AD7F82" w:rsidRDefault="00CC0049" w:rsidP="00697440">
            <w:pPr>
              <w:pStyle w:val="a5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AD7F82" w:rsidRDefault="00CC0049" w:rsidP="00697440">
            <w:pPr>
              <w:pStyle w:val="a5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21032F" w:rsidRDefault="00CC0049" w:rsidP="00697440">
            <w:pPr>
              <w:pStyle w:val="a5"/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D2B31FB" wp14:editId="6D29234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C0049" w:rsidRPr="00D22048" w:rsidRDefault="00CC0049" w:rsidP="00697440">
            <w:pPr>
              <w:pStyle w:val="a5"/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 xml:space="preserve"> інтеграції України з Європейським Союзом</w:t>
            </w:r>
          </w:p>
          <w:p w:rsidR="00CC0049" w:rsidRPr="009865D4" w:rsidRDefault="00CC0049" w:rsidP="00697440">
            <w:pPr>
              <w:pStyle w:val="a5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34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42, 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 255-33-13,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v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b"/>
        <w:tblW w:w="11887" w:type="dxa"/>
        <w:tblInd w:w="-1134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CC0049" w:rsidRPr="00053776" w:rsidTr="00697440">
        <w:tc>
          <w:tcPr>
            <w:tcW w:w="1087" w:type="dxa"/>
            <w:tcBorders>
              <w:top w:val="nil"/>
            </w:tcBorders>
          </w:tcPr>
          <w:p w:rsidR="00CC0049" w:rsidRPr="00053776" w:rsidRDefault="00CC0049" w:rsidP="00697440">
            <w:pPr>
              <w:pStyle w:val="a5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9714" w:type="dxa"/>
          </w:tcPr>
          <w:p w:rsidR="00CC0049" w:rsidRPr="00053776" w:rsidRDefault="00CC0049" w:rsidP="00697440">
            <w:pPr>
              <w:pStyle w:val="a5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CC0049" w:rsidRPr="00053776" w:rsidRDefault="00CC0049" w:rsidP="00697440">
            <w:pPr>
              <w:pStyle w:val="a5"/>
              <w:rPr>
                <w:rFonts w:ascii="Times New Roman" w:hAnsi="Times New Roman"/>
                <w:color w:val="002060"/>
              </w:rPr>
            </w:pPr>
          </w:p>
        </w:tc>
      </w:tr>
    </w:tbl>
    <w:p w:rsidR="008B0FBE" w:rsidRPr="00B37E58" w:rsidRDefault="00F7668B" w:rsidP="002F41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7E58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B96D39" w:rsidRPr="00B37E58" w:rsidRDefault="00F7668B" w:rsidP="00782D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7E58">
        <w:rPr>
          <w:rFonts w:ascii="Times New Roman" w:hAnsi="Times New Roman" w:cs="Times New Roman"/>
          <w:b/>
          <w:sz w:val="28"/>
          <w:szCs w:val="28"/>
        </w:rPr>
        <w:t>щодо проекту Закону України</w:t>
      </w:r>
      <w:r w:rsidR="00782D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7958" w:rsidRPr="00B37E58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="00D30295" w:rsidRPr="00D30295">
        <w:rPr>
          <w:rFonts w:ascii="Times New Roman" w:hAnsi="Times New Roman" w:cs="Times New Roman"/>
          <w:b/>
          <w:sz w:val="28"/>
          <w:szCs w:val="28"/>
        </w:rPr>
        <w:t>медіа</w:t>
      </w:r>
    </w:p>
    <w:p w:rsidR="00F7668B" w:rsidRPr="00B37E58" w:rsidRDefault="00F7668B" w:rsidP="002F41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37E58">
        <w:rPr>
          <w:rFonts w:ascii="Times New Roman" w:hAnsi="Times New Roman" w:cs="Times New Roman"/>
          <w:sz w:val="28"/>
          <w:szCs w:val="28"/>
        </w:rPr>
        <w:t xml:space="preserve">(реєстр. № </w:t>
      </w:r>
      <w:r w:rsidR="00D30295">
        <w:rPr>
          <w:rFonts w:ascii="Times New Roman" w:hAnsi="Times New Roman" w:cs="Times New Roman"/>
          <w:sz w:val="28"/>
          <w:szCs w:val="28"/>
        </w:rPr>
        <w:t>2693-д</w:t>
      </w:r>
      <w:r w:rsidRPr="00B37E58">
        <w:rPr>
          <w:rFonts w:ascii="Times New Roman" w:hAnsi="Times New Roman" w:cs="Times New Roman"/>
          <w:sz w:val="28"/>
          <w:szCs w:val="28"/>
        </w:rPr>
        <w:t xml:space="preserve"> від </w:t>
      </w:r>
      <w:r w:rsidR="0024458A">
        <w:rPr>
          <w:rFonts w:ascii="Times New Roman" w:hAnsi="Times New Roman" w:cs="Times New Roman"/>
          <w:sz w:val="28"/>
          <w:szCs w:val="28"/>
        </w:rPr>
        <w:t>02</w:t>
      </w:r>
      <w:r w:rsidRPr="00B37E58">
        <w:rPr>
          <w:rFonts w:ascii="Times New Roman" w:hAnsi="Times New Roman" w:cs="Times New Roman"/>
          <w:sz w:val="28"/>
          <w:szCs w:val="28"/>
        </w:rPr>
        <w:t>.0</w:t>
      </w:r>
      <w:r w:rsidR="0024458A">
        <w:rPr>
          <w:rFonts w:ascii="Times New Roman" w:hAnsi="Times New Roman" w:cs="Times New Roman"/>
          <w:sz w:val="28"/>
          <w:szCs w:val="28"/>
        </w:rPr>
        <w:t>7</w:t>
      </w:r>
      <w:r w:rsidRPr="00B37E58">
        <w:rPr>
          <w:rFonts w:ascii="Times New Roman" w:hAnsi="Times New Roman" w:cs="Times New Roman"/>
          <w:sz w:val="28"/>
          <w:szCs w:val="28"/>
        </w:rPr>
        <w:t>.2020,</w:t>
      </w:r>
      <w:r w:rsidR="002445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0295">
        <w:rPr>
          <w:rFonts w:ascii="Times New Roman" w:hAnsi="Times New Roman" w:cs="Times New Roman"/>
          <w:sz w:val="28"/>
          <w:szCs w:val="28"/>
        </w:rPr>
        <w:t>Потураєв</w:t>
      </w:r>
      <w:proofErr w:type="spellEnd"/>
      <w:r w:rsidR="00D30295">
        <w:rPr>
          <w:rFonts w:ascii="Times New Roman" w:hAnsi="Times New Roman" w:cs="Times New Roman"/>
          <w:sz w:val="28"/>
          <w:szCs w:val="28"/>
        </w:rPr>
        <w:t xml:space="preserve"> М.Р., Кравчук Є.М.</w:t>
      </w:r>
      <w:r w:rsidR="00237958" w:rsidRPr="00B37E58">
        <w:rPr>
          <w:rFonts w:ascii="Times New Roman" w:hAnsi="Times New Roman" w:cs="Times New Roman"/>
          <w:sz w:val="28"/>
          <w:szCs w:val="28"/>
        </w:rPr>
        <w:t xml:space="preserve"> та інші</w:t>
      </w:r>
      <w:r w:rsidRPr="00B37E58">
        <w:rPr>
          <w:rFonts w:ascii="Times New Roman" w:hAnsi="Times New Roman" w:cs="Times New Roman"/>
          <w:sz w:val="28"/>
          <w:szCs w:val="28"/>
        </w:rPr>
        <w:t>)</w:t>
      </w:r>
    </w:p>
    <w:p w:rsidR="00B86E61" w:rsidRPr="00B37E58" w:rsidRDefault="00B86E61" w:rsidP="002F417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0049" w:rsidRPr="00B37E58" w:rsidRDefault="00CC0049" w:rsidP="00F906A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7E58">
        <w:rPr>
          <w:rFonts w:ascii="Times New Roman" w:hAnsi="Times New Roman" w:cs="Times New Roman"/>
          <w:sz w:val="28"/>
          <w:szCs w:val="28"/>
        </w:rPr>
        <w:t xml:space="preserve">Комітет розглянув проект Закону на своєму засіданні </w:t>
      </w:r>
      <w:r w:rsidR="00D30295" w:rsidRPr="003D246D">
        <w:rPr>
          <w:rFonts w:ascii="Times New Roman" w:hAnsi="Times New Roman" w:cs="Times New Roman"/>
          <w:sz w:val="28"/>
          <w:szCs w:val="28"/>
        </w:rPr>
        <w:t>14</w:t>
      </w:r>
      <w:r w:rsidRPr="003D246D">
        <w:rPr>
          <w:rFonts w:ascii="Times New Roman" w:hAnsi="Times New Roman" w:cs="Times New Roman"/>
          <w:sz w:val="28"/>
          <w:szCs w:val="28"/>
        </w:rPr>
        <w:t xml:space="preserve"> липня 2020 року</w:t>
      </w:r>
      <w:r w:rsidR="00D30295" w:rsidRPr="003D246D">
        <w:rPr>
          <w:rFonts w:ascii="Times New Roman" w:hAnsi="Times New Roman" w:cs="Times New Roman"/>
          <w:sz w:val="28"/>
          <w:szCs w:val="28"/>
        </w:rPr>
        <w:t xml:space="preserve"> (протокол № 41</w:t>
      </w:r>
      <w:r w:rsidRPr="003D246D">
        <w:rPr>
          <w:rFonts w:ascii="Times New Roman" w:hAnsi="Times New Roman" w:cs="Times New Roman"/>
          <w:sz w:val="28"/>
          <w:szCs w:val="28"/>
        </w:rPr>
        <w:t>)</w:t>
      </w:r>
      <w:r w:rsidRPr="00B37E58">
        <w:rPr>
          <w:rFonts w:ascii="Times New Roman" w:hAnsi="Times New Roman" w:cs="Times New Roman"/>
          <w:sz w:val="28"/>
          <w:szCs w:val="28"/>
        </w:rPr>
        <w:t xml:space="preserve"> відповідно до статті 93 Регламенту Верховної Ради України.</w:t>
      </w:r>
    </w:p>
    <w:p w:rsidR="00CC0049" w:rsidRPr="00B37E58" w:rsidRDefault="00CC0049" w:rsidP="00F906A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668B" w:rsidRPr="00B37E58" w:rsidRDefault="00F7668B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7E58">
        <w:rPr>
          <w:rFonts w:ascii="Times New Roman" w:hAnsi="Times New Roman" w:cs="Times New Roman"/>
          <w:b/>
          <w:sz w:val="28"/>
          <w:szCs w:val="28"/>
        </w:rPr>
        <w:t>1. Загальна характеристика законопроекту</w:t>
      </w:r>
    </w:p>
    <w:p w:rsidR="00D30295" w:rsidRPr="00E00A31" w:rsidRDefault="00D30295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A31">
        <w:rPr>
          <w:rFonts w:ascii="Times New Roman" w:hAnsi="Times New Roman" w:cs="Times New Roman"/>
          <w:sz w:val="28"/>
          <w:szCs w:val="28"/>
        </w:rPr>
        <w:t>Метою законопроекту, як зазначено в пояснювальній записці до нього, є створення єдиної, впорядкованої та взаємоузгодженої системи правових норм, спрямованих на регулювання правовідносин у сфері медіа, виконання Україною зобов’язань перед європейськими партнерами та імплементація норм європейського законодавства у національне законодавство України шляхом забезпечення реалізації права на свободу вираження поглядів, права на отримання різнобічної, достовірної та оперативної інформації, на забезпечення плюралізму думок і вільного поширення інформації, на захист національних інтересів України та прав користувачів медіа-сервісів, регулювання діяльності в сфері медіа відповідно до принципів прозорості, справедливості та неупередженості, стимулювання конкурентного середовища, рівноправності і незалежності медіа.</w:t>
      </w:r>
    </w:p>
    <w:p w:rsidR="0024458A" w:rsidRPr="00E00A31" w:rsidRDefault="00D30295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A31">
        <w:rPr>
          <w:rFonts w:ascii="Times New Roman" w:hAnsi="Times New Roman" w:cs="Times New Roman"/>
          <w:sz w:val="28"/>
          <w:szCs w:val="28"/>
        </w:rPr>
        <w:t>Прийняття законопроекту має створити необхідні сучасні європейські умови для задоволення  інформаційних потреб громадян України, ефективного розвитку сфери надання аудіовізуальних медіа сервісів з використанням нових технологій.</w:t>
      </w:r>
    </w:p>
    <w:p w:rsidR="0024458A" w:rsidRPr="00E00A31" w:rsidRDefault="0024458A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668B" w:rsidRPr="00E00A31" w:rsidRDefault="00F7668B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A31">
        <w:rPr>
          <w:rFonts w:ascii="Times New Roman" w:hAnsi="Times New Roman" w:cs="Times New Roman"/>
          <w:b/>
          <w:sz w:val="28"/>
          <w:szCs w:val="28"/>
        </w:rPr>
        <w:t>2. Належність законопроекту за предметом правового регулювання до сфери дії права Європейського Союзу</w:t>
      </w:r>
    </w:p>
    <w:p w:rsidR="001E3F1B" w:rsidRPr="00782DD7" w:rsidRDefault="0024458A" w:rsidP="00782DD7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A31">
        <w:rPr>
          <w:rFonts w:ascii="Times New Roman" w:hAnsi="Times New Roman" w:cs="Times New Roman"/>
          <w:sz w:val="28"/>
          <w:szCs w:val="28"/>
        </w:rPr>
        <w:t>Проект Закону за предметом правово</w:t>
      </w:r>
      <w:r w:rsidR="008B7021" w:rsidRPr="00E00A31">
        <w:rPr>
          <w:rFonts w:ascii="Times New Roman" w:hAnsi="Times New Roman" w:cs="Times New Roman"/>
          <w:sz w:val="28"/>
          <w:szCs w:val="28"/>
        </w:rPr>
        <w:t xml:space="preserve">го регулювання </w:t>
      </w:r>
      <w:r w:rsidRPr="00E00A31">
        <w:rPr>
          <w:rFonts w:ascii="Times New Roman" w:hAnsi="Times New Roman" w:cs="Times New Roman"/>
          <w:sz w:val="28"/>
          <w:szCs w:val="28"/>
        </w:rPr>
        <w:t xml:space="preserve">охоплюється зобов’язаннями України передбаченими у рамках </w:t>
      </w:r>
      <w:r w:rsidR="00D30295" w:rsidRPr="00E00A31">
        <w:rPr>
          <w:rFonts w:ascii="Times New Roman" w:hAnsi="Times New Roman" w:cs="Times New Roman"/>
          <w:sz w:val="28"/>
          <w:szCs w:val="28"/>
        </w:rPr>
        <w:t>Глави 15 «Політика з питань аудіовізуальної галузі» Розділу V «Економічне та галузеве співробітництво»</w:t>
      </w:r>
      <w:r w:rsidRPr="00E00A31">
        <w:rPr>
          <w:rFonts w:ascii="Times New Roman" w:hAnsi="Times New Roman" w:cs="Times New Roman"/>
          <w:sz w:val="28"/>
          <w:szCs w:val="28"/>
        </w:rPr>
        <w:t xml:space="preserve">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8D4F02" w:rsidRPr="00B37E58" w:rsidRDefault="008D4F02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7E58">
        <w:rPr>
          <w:rFonts w:ascii="Times New Roman" w:hAnsi="Times New Roman" w:cs="Times New Roman"/>
          <w:b/>
          <w:sz w:val="28"/>
          <w:szCs w:val="28"/>
        </w:rPr>
        <w:lastRenderedPageBreak/>
        <w:t>3. Відповідність законопроекту праву ЄС</w:t>
      </w:r>
    </w:p>
    <w:p w:rsidR="00C64F13" w:rsidRPr="00AA2241" w:rsidRDefault="00C64F13" w:rsidP="0011155A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AA2241">
        <w:rPr>
          <w:rFonts w:ascii="Times New Roman" w:eastAsia="Times New Roman" w:hAnsi="Times New Roman" w:cs="Times New Roman"/>
          <w:sz w:val="28"/>
          <w:szCs w:val="28"/>
          <w:lang w:eastAsia="ru-RU"/>
        </w:rPr>
        <w:t>aquis</w:t>
      </w:r>
      <w:proofErr w:type="spellEnd"/>
      <w:r w:rsidRPr="00AA2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 та Угоді про асоціацію слід зазначити таке.</w:t>
      </w:r>
    </w:p>
    <w:p w:rsidR="001E3F1B" w:rsidRDefault="00377C98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7C98">
        <w:rPr>
          <w:rFonts w:ascii="Times New Roman" w:hAnsi="Times New Roman" w:cs="Times New Roman"/>
          <w:sz w:val="28"/>
          <w:szCs w:val="28"/>
        </w:rPr>
        <w:t xml:space="preserve">Відповідно до </w:t>
      </w:r>
      <w:r w:rsidRPr="00377C98">
        <w:rPr>
          <w:rFonts w:ascii="Times New Roman" w:hAnsi="Times New Roman" w:cs="Times New Roman"/>
          <w:i/>
          <w:sz w:val="28"/>
          <w:szCs w:val="28"/>
        </w:rPr>
        <w:t>статті 396 Угоди про асоціацію</w:t>
      </w:r>
      <w:r w:rsidRPr="00377C98">
        <w:rPr>
          <w:rFonts w:ascii="Times New Roman" w:hAnsi="Times New Roman" w:cs="Times New Roman"/>
          <w:sz w:val="28"/>
          <w:szCs w:val="28"/>
        </w:rPr>
        <w:t xml:space="preserve"> Сторони здійснюють співробітництво з метою просування аудіовізуальної галузі в Європі та заохочення спільного виробництва у галузі кінематографії та телебачення. Співробітництво може включати, </w:t>
      </w:r>
      <w:proofErr w:type="spellStart"/>
      <w:r w:rsidRPr="00377C98">
        <w:rPr>
          <w:rFonts w:ascii="Times New Roman" w:hAnsi="Times New Roman" w:cs="Times New Roman"/>
          <w:sz w:val="28"/>
          <w:szCs w:val="28"/>
        </w:rPr>
        <w:t>inter</w:t>
      </w:r>
      <w:proofErr w:type="spellEnd"/>
      <w:r w:rsidRPr="00377C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7C98">
        <w:rPr>
          <w:rFonts w:ascii="Times New Roman" w:hAnsi="Times New Roman" w:cs="Times New Roman"/>
          <w:sz w:val="28"/>
          <w:szCs w:val="28"/>
        </w:rPr>
        <w:t>alia</w:t>
      </w:r>
      <w:proofErr w:type="spellEnd"/>
      <w:r w:rsidRPr="00377C98">
        <w:rPr>
          <w:rFonts w:ascii="Times New Roman" w:hAnsi="Times New Roman" w:cs="Times New Roman"/>
          <w:sz w:val="28"/>
          <w:szCs w:val="28"/>
        </w:rPr>
        <w:t>, питання підготовки журналістів та інших працівників медіа-сфери, як друкованих, так і електронних видань, а також питання підтримки засобів масової інформації (громадських і приватних), з метою посилення їхньої незалежності, професіоналізму та зв’язків з іншими європейськими ЗМІ відповідно до європейських стандартів, зокрема стандартів Ради Європи.</w:t>
      </w:r>
    </w:p>
    <w:p w:rsidR="00377C98" w:rsidRDefault="00377C98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7C98">
        <w:rPr>
          <w:rFonts w:ascii="Times New Roman" w:hAnsi="Times New Roman" w:cs="Times New Roman"/>
          <w:sz w:val="28"/>
          <w:szCs w:val="28"/>
        </w:rPr>
        <w:t>Поступове наближення до права та нормативно-правової бази ЄС, а також міжнародних правових документів у сфері політики з питань аудіовізуальної галузі буде здійснюватися, зокрема, як визначено у Додатку XXXVIІ до цієї Угоди</w:t>
      </w:r>
      <w:r>
        <w:rPr>
          <w:rFonts w:ascii="Times New Roman" w:hAnsi="Times New Roman" w:cs="Times New Roman"/>
          <w:sz w:val="28"/>
          <w:szCs w:val="28"/>
        </w:rPr>
        <w:t xml:space="preserve"> (стаття</w:t>
      </w:r>
      <w:r w:rsidRPr="00377C98">
        <w:rPr>
          <w:rFonts w:ascii="Times New Roman" w:hAnsi="Times New Roman" w:cs="Times New Roman"/>
          <w:sz w:val="28"/>
          <w:szCs w:val="28"/>
        </w:rPr>
        <w:t xml:space="preserve"> 39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77C98">
        <w:rPr>
          <w:rFonts w:ascii="Times New Roman" w:hAnsi="Times New Roman" w:cs="Times New Roman"/>
          <w:sz w:val="28"/>
          <w:szCs w:val="28"/>
        </w:rPr>
        <w:t xml:space="preserve"> Угоди про асоціацію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77C98">
        <w:rPr>
          <w:rFonts w:ascii="Times New Roman" w:hAnsi="Times New Roman" w:cs="Times New Roman"/>
          <w:sz w:val="28"/>
          <w:szCs w:val="28"/>
        </w:rPr>
        <w:t>.</w:t>
      </w:r>
    </w:p>
    <w:p w:rsidR="00550B14" w:rsidRPr="00377C98" w:rsidRDefault="00550B14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7C98">
        <w:rPr>
          <w:rFonts w:ascii="Times New Roman" w:hAnsi="Times New Roman" w:cs="Times New Roman"/>
          <w:sz w:val="28"/>
          <w:szCs w:val="28"/>
        </w:rPr>
        <w:t>Додатком XXXVII до Угоди про асоціацію передбачено імплементацію Директиви № 2007/65/ЄС від 11.12.2007 про аудіовізуальні медіа-послуги, що вносить зміни та доповнення до Директиви Ради № 89/552/ЄЕС про координацію деяких положень, визначених законодавством, нормативно-правовими чи адміністративними актами в державах-членах щодо ведення телерадіомовної діяльності, і скасовані Директивою № 2010/13/ЄС Європейського Парламенту та Ради від 10 березня 2010 року про узгодження деяких положень, встановлених законом, правилами або адміністративними діями у державах-членах, що стосуються надання ауді</w:t>
      </w:r>
      <w:r w:rsidR="00377C98">
        <w:rPr>
          <w:rFonts w:ascii="Times New Roman" w:hAnsi="Times New Roman" w:cs="Times New Roman"/>
          <w:sz w:val="28"/>
          <w:szCs w:val="28"/>
        </w:rPr>
        <w:t>овізуальних медіа-послуг</w:t>
      </w:r>
      <w:r w:rsidR="009F38B1">
        <w:rPr>
          <w:rFonts w:ascii="Times New Roman" w:hAnsi="Times New Roman" w:cs="Times New Roman"/>
          <w:sz w:val="28"/>
          <w:szCs w:val="28"/>
        </w:rPr>
        <w:t xml:space="preserve"> (в редакції Директиви № 2018/1808/ЄС, </w:t>
      </w:r>
      <w:r w:rsidR="009F38B1" w:rsidRPr="009F38B1">
        <w:rPr>
          <w:rFonts w:ascii="Times New Roman" w:hAnsi="Times New Roman" w:cs="Times New Roman"/>
          <w:sz w:val="28"/>
          <w:szCs w:val="28"/>
        </w:rPr>
        <w:t>OJ L 303, 28.11.2018, p. 69–92</w:t>
      </w:r>
      <w:r w:rsidR="009F38B1">
        <w:rPr>
          <w:rFonts w:ascii="Times New Roman" w:hAnsi="Times New Roman" w:cs="Times New Roman"/>
          <w:sz w:val="28"/>
          <w:szCs w:val="28"/>
        </w:rPr>
        <w:t>)</w:t>
      </w:r>
      <w:r w:rsidR="009B1BAB">
        <w:rPr>
          <w:rFonts w:ascii="Times New Roman" w:hAnsi="Times New Roman" w:cs="Times New Roman"/>
          <w:sz w:val="28"/>
          <w:szCs w:val="28"/>
        </w:rPr>
        <w:t xml:space="preserve"> </w:t>
      </w:r>
      <w:r w:rsidR="00377C98">
        <w:rPr>
          <w:rFonts w:ascii="Times New Roman" w:hAnsi="Times New Roman" w:cs="Times New Roman"/>
          <w:sz w:val="28"/>
          <w:szCs w:val="28"/>
        </w:rPr>
        <w:t xml:space="preserve">(далі – Директива </w:t>
      </w:r>
      <w:r w:rsidRPr="00377C98">
        <w:rPr>
          <w:rFonts w:ascii="Times New Roman" w:hAnsi="Times New Roman" w:cs="Times New Roman"/>
          <w:sz w:val="28"/>
          <w:szCs w:val="28"/>
        </w:rPr>
        <w:t>2010/13/ЄС).</w:t>
      </w:r>
    </w:p>
    <w:p w:rsidR="00275CFB" w:rsidRDefault="00275CFB" w:rsidP="0011155A">
      <w:pPr>
        <w:spacing w:after="0" w:line="276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75CFB">
        <w:rPr>
          <w:rFonts w:ascii="Times New Roman" w:hAnsi="Times New Roman" w:cs="Times New Roman"/>
          <w:sz w:val="28"/>
          <w:szCs w:val="28"/>
        </w:rPr>
        <w:t>Положення проекту Закону в цілому відповідають меті Директиви  2010/13/ЄС</w:t>
      </w:r>
      <w:r w:rsidR="009B1BAB">
        <w:rPr>
          <w:rFonts w:ascii="Times New Roman" w:hAnsi="Times New Roman" w:cs="Times New Roman"/>
          <w:sz w:val="28"/>
          <w:szCs w:val="28"/>
        </w:rPr>
        <w:t xml:space="preserve"> </w:t>
      </w:r>
      <w:r w:rsidRPr="00275CFB">
        <w:rPr>
          <w:rFonts w:ascii="Times New Roman" w:hAnsi="Times New Roman" w:cs="Times New Roman"/>
          <w:sz w:val="28"/>
          <w:szCs w:val="28"/>
        </w:rPr>
        <w:t xml:space="preserve"> щодо створення та забезпечення н</w:t>
      </w:r>
      <w:r w:rsidR="00B774FF">
        <w:rPr>
          <w:rFonts w:ascii="Times New Roman" w:hAnsi="Times New Roman" w:cs="Times New Roman"/>
          <w:sz w:val="28"/>
          <w:szCs w:val="28"/>
        </w:rPr>
        <w:t xml:space="preserve">алежного функціонування </w:t>
      </w:r>
      <w:r w:rsidRPr="00275CFB">
        <w:rPr>
          <w:rFonts w:ascii="Times New Roman" w:hAnsi="Times New Roman" w:cs="Times New Roman"/>
          <w:sz w:val="28"/>
          <w:szCs w:val="28"/>
        </w:rPr>
        <w:t xml:space="preserve">ринку аудіовізуальних медіа-послуг, </w:t>
      </w:r>
      <w:r>
        <w:rPr>
          <w:rFonts w:ascii="Times New Roman" w:hAnsi="Times New Roman" w:cs="Times New Roman"/>
          <w:sz w:val="28"/>
          <w:szCs w:val="28"/>
        </w:rPr>
        <w:t xml:space="preserve">функціонування національного регуляторного органу, запровадження спільного регулювання у сфері медіа, </w:t>
      </w:r>
      <w:r w:rsidRPr="00275CFB">
        <w:rPr>
          <w:rFonts w:ascii="Times New Roman" w:hAnsi="Times New Roman" w:cs="Times New Roman"/>
          <w:sz w:val="28"/>
          <w:szCs w:val="28"/>
        </w:rPr>
        <w:t>сприя</w:t>
      </w:r>
      <w:r>
        <w:rPr>
          <w:rFonts w:ascii="Times New Roman" w:hAnsi="Times New Roman" w:cs="Times New Roman"/>
          <w:sz w:val="28"/>
          <w:szCs w:val="28"/>
        </w:rPr>
        <w:t>ння</w:t>
      </w:r>
      <w:r w:rsidRPr="00275CFB">
        <w:rPr>
          <w:rFonts w:ascii="Times New Roman" w:hAnsi="Times New Roman" w:cs="Times New Roman"/>
          <w:sz w:val="28"/>
          <w:szCs w:val="28"/>
        </w:rPr>
        <w:t xml:space="preserve"> культурному різноманіттю</w:t>
      </w:r>
      <w:r w:rsidR="0058135F">
        <w:rPr>
          <w:rFonts w:ascii="Times New Roman" w:hAnsi="Times New Roman" w:cs="Times New Roman"/>
          <w:sz w:val="28"/>
          <w:szCs w:val="28"/>
        </w:rPr>
        <w:t xml:space="preserve">, </w:t>
      </w:r>
      <w:r w:rsidR="0058135F" w:rsidRPr="0058135F">
        <w:rPr>
          <w:rFonts w:ascii="Times New Roman" w:hAnsi="Times New Roman" w:cs="Times New Roman"/>
          <w:sz w:val="28"/>
          <w:szCs w:val="28"/>
        </w:rPr>
        <w:t>просува</w:t>
      </w:r>
      <w:r w:rsidR="0058135F">
        <w:rPr>
          <w:rFonts w:ascii="Times New Roman" w:hAnsi="Times New Roman" w:cs="Times New Roman"/>
          <w:sz w:val="28"/>
          <w:szCs w:val="28"/>
        </w:rPr>
        <w:t>ння</w:t>
      </w:r>
      <w:r w:rsidR="0058135F" w:rsidRPr="0058135F">
        <w:rPr>
          <w:rFonts w:ascii="Times New Roman" w:hAnsi="Times New Roman" w:cs="Times New Roman"/>
          <w:sz w:val="28"/>
          <w:szCs w:val="28"/>
        </w:rPr>
        <w:t xml:space="preserve"> та вжи</w:t>
      </w:r>
      <w:r w:rsidR="0058135F">
        <w:rPr>
          <w:rFonts w:ascii="Times New Roman" w:hAnsi="Times New Roman" w:cs="Times New Roman"/>
          <w:sz w:val="28"/>
          <w:szCs w:val="28"/>
        </w:rPr>
        <w:t>ття</w:t>
      </w:r>
      <w:r w:rsidR="0058135F" w:rsidRPr="0058135F">
        <w:rPr>
          <w:rFonts w:ascii="Times New Roman" w:hAnsi="Times New Roman" w:cs="Times New Roman"/>
          <w:sz w:val="28"/>
          <w:szCs w:val="28"/>
        </w:rPr>
        <w:t xml:space="preserve"> заходів із розвитку навичок </w:t>
      </w:r>
      <w:proofErr w:type="spellStart"/>
      <w:r w:rsidR="0058135F" w:rsidRPr="0058135F">
        <w:rPr>
          <w:rFonts w:ascii="Times New Roman" w:hAnsi="Times New Roman" w:cs="Times New Roman"/>
          <w:sz w:val="28"/>
          <w:szCs w:val="28"/>
        </w:rPr>
        <w:t>медіаграмотності</w:t>
      </w:r>
      <w:proofErr w:type="spellEnd"/>
      <w:r w:rsidR="0058135F">
        <w:rPr>
          <w:rFonts w:ascii="Times New Roman" w:hAnsi="Times New Roman" w:cs="Times New Roman"/>
          <w:sz w:val="28"/>
          <w:szCs w:val="28"/>
        </w:rPr>
        <w:t>.</w:t>
      </w:r>
    </w:p>
    <w:p w:rsidR="00A22A56" w:rsidRDefault="00275CFB" w:rsidP="0011155A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той же час, положення ст</w:t>
      </w:r>
      <w:r w:rsidR="00E54729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атей 25-27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47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E547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повною мірою враховують вимоги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частини 2 статті 5 Директиви 2010/13/ЄС, що </w:t>
      </w:r>
      <w:r w:rsidRPr="00275C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айдери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медіапослуг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які перебувають під </w:t>
      </w:r>
      <w:r w:rsidRPr="00275CFB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юрисдикцією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держав-учасниць</w:t>
      </w:r>
      <w:r w:rsidRPr="00275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надають доступ до інформації про свою структуру власності, у тому числі про </w:t>
      </w:r>
      <w:proofErr w:type="spellStart"/>
      <w:r w:rsidRPr="00275CF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бенефіціарних</w:t>
      </w:r>
      <w:proofErr w:type="spellEnd"/>
      <w:r w:rsidRPr="00275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власників. </w:t>
      </w:r>
      <w:r w:rsidRPr="00E547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Такі заходи мають забезпечувати дотримання фундаментальних прав, зокрема на приватне й сімейне життя </w:t>
      </w:r>
      <w:proofErr w:type="spellStart"/>
      <w:r w:rsidRPr="00E547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бенефіціарних</w:t>
      </w:r>
      <w:proofErr w:type="spellEnd"/>
      <w:r w:rsidRPr="00E547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547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власників.</w:t>
      </w:r>
      <w:r w:rsidRPr="00275C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Такі заходи мають бути необхідними та пропорційними, а також спрямовуватися на досягнення мети із забезпечення загального інтересу.</w:t>
      </w:r>
    </w:p>
    <w:p w:rsidR="007809DC" w:rsidRPr="009B1BAB" w:rsidRDefault="007809DC" w:rsidP="0058135F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Положеннями частини другої статті 6а Директиви 2010/13/ЄС визначено, що п</w:t>
      </w:r>
      <w:r w:rsidRPr="007809DC">
        <w:rPr>
          <w:rFonts w:ascii="Times New Roman" w:hAnsi="Times New Roman" w:cs="Times New Roman"/>
          <w:sz w:val="28"/>
          <w:szCs w:val="28"/>
        </w:rPr>
        <w:t>ерсональні дані неповнолітніх, зібрані чи ін</w:t>
      </w:r>
      <w:r>
        <w:rPr>
          <w:rFonts w:ascii="Times New Roman" w:hAnsi="Times New Roman" w:cs="Times New Roman"/>
          <w:sz w:val="28"/>
          <w:szCs w:val="28"/>
        </w:rPr>
        <w:t xml:space="preserve">шим чином отримані провайдерами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медіапослуг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забороняється опрацьовувати з </w:t>
      </w:r>
      <w:r w:rsidRPr="007809DC">
        <w:rPr>
          <w:rFonts w:ascii="Times New Roman" w:hAnsi="Times New Roman" w:cs="Times New Roman"/>
          <w:sz w:val="28"/>
          <w:szCs w:val="28"/>
        </w:rPr>
        <w:t>комерційною метою, зокрема для прямого маркетингу, профілювання та поведінкової</w:t>
      </w:r>
      <w:r>
        <w:rPr>
          <w:rFonts w:ascii="Times New Roman" w:hAnsi="Times New Roman" w:cs="Times New Roman"/>
          <w:sz w:val="28"/>
          <w:szCs w:val="28"/>
        </w:rPr>
        <w:t xml:space="preserve"> реклами. </w:t>
      </w:r>
      <w:r w:rsidRPr="009B1BAB">
        <w:rPr>
          <w:rFonts w:ascii="Times New Roman" w:hAnsi="Times New Roman" w:cs="Times New Roman"/>
          <w:i/>
          <w:sz w:val="28"/>
          <w:szCs w:val="28"/>
        </w:rPr>
        <w:t>Такі гарантії</w:t>
      </w:r>
      <w:r w:rsidR="009B1BAB">
        <w:rPr>
          <w:rFonts w:ascii="Times New Roman" w:hAnsi="Times New Roman" w:cs="Times New Roman"/>
          <w:i/>
          <w:sz w:val="28"/>
          <w:szCs w:val="28"/>
        </w:rPr>
        <w:t xml:space="preserve"> не враховано в положеннях</w:t>
      </w:r>
      <w:r w:rsidR="009B1BAB" w:rsidRPr="009B1B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B1BAB">
        <w:rPr>
          <w:rFonts w:ascii="Times New Roman" w:hAnsi="Times New Roman" w:cs="Times New Roman"/>
          <w:i/>
          <w:sz w:val="28"/>
          <w:szCs w:val="28"/>
        </w:rPr>
        <w:t>законопроекту.</w:t>
      </w:r>
    </w:p>
    <w:p w:rsidR="00C711F0" w:rsidRDefault="007809DC" w:rsidP="0011155A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Частиною п’ятою статті 7 Директиви 2010/13/ЄС передбачено, що д</w:t>
      </w:r>
      <w:r w:rsidRPr="007809DC">
        <w:rPr>
          <w:rFonts w:ascii="Times New Roman" w:hAnsi="Times New Roman" w:cs="Times New Roman"/>
          <w:sz w:val="28"/>
          <w:szCs w:val="28"/>
        </w:rPr>
        <w:t xml:space="preserve">ержави-учасниці повинні забезпечити, що надання інформації про надзвичайні події, в тому числі публічні </w:t>
      </w:r>
      <w:r w:rsidRPr="00F1193B">
        <w:rPr>
          <w:rFonts w:ascii="Times New Roman" w:hAnsi="Times New Roman" w:cs="Times New Roman"/>
          <w:sz w:val="28"/>
          <w:szCs w:val="28"/>
        </w:rPr>
        <w:t xml:space="preserve">повідомлення та оголошення під час стихійних лих, що стають відомими громадськості через аудіовізуальні </w:t>
      </w:r>
      <w:proofErr w:type="spellStart"/>
      <w:r w:rsidRPr="00F1193B">
        <w:rPr>
          <w:rFonts w:ascii="Times New Roman" w:hAnsi="Times New Roman" w:cs="Times New Roman"/>
          <w:sz w:val="28"/>
          <w:szCs w:val="28"/>
        </w:rPr>
        <w:t>медіапослуги</w:t>
      </w:r>
      <w:proofErr w:type="spellEnd"/>
      <w:r w:rsidRPr="00F1193B">
        <w:rPr>
          <w:rFonts w:ascii="Times New Roman" w:hAnsi="Times New Roman" w:cs="Times New Roman"/>
          <w:sz w:val="28"/>
          <w:szCs w:val="28"/>
        </w:rPr>
        <w:t>, повинне відбуватися у спосіб, доступний для осіб з інвалідністю.</w:t>
      </w:r>
      <w:r w:rsidR="001115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155A" w:rsidRPr="0011155A">
        <w:rPr>
          <w:rFonts w:ascii="Times New Roman" w:hAnsi="Times New Roman" w:cs="Times New Roman"/>
          <w:i/>
          <w:sz w:val="28"/>
          <w:szCs w:val="28"/>
        </w:rPr>
        <w:t>Норми, якими врегульовується зазначене питання відсутні в</w:t>
      </w:r>
      <w:r w:rsidR="0011155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B1BAB">
        <w:rPr>
          <w:rFonts w:ascii="Times New Roman" w:hAnsi="Times New Roman" w:cs="Times New Roman"/>
          <w:i/>
          <w:sz w:val="28"/>
          <w:szCs w:val="28"/>
        </w:rPr>
        <w:t>законопроекті</w:t>
      </w:r>
      <w:r w:rsidR="0011155A" w:rsidRPr="0011155A">
        <w:rPr>
          <w:rFonts w:ascii="Times New Roman" w:hAnsi="Times New Roman" w:cs="Times New Roman"/>
          <w:i/>
          <w:sz w:val="28"/>
          <w:szCs w:val="28"/>
        </w:rPr>
        <w:t>.</w:t>
      </w:r>
    </w:p>
    <w:p w:rsidR="00A701D6" w:rsidRPr="00A701D6" w:rsidRDefault="00A701D6" w:rsidP="00A701D6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статті</w:t>
      </w:r>
      <w:r w:rsidRPr="00A701D6">
        <w:rPr>
          <w:rFonts w:ascii="Times New Roman" w:hAnsi="Times New Roman" w:cs="Times New Roman"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</w:rPr>
        <w:t xml:space="preserve"> Директиви 2010/13/ЄС д</w:t>
      </w:r>
      <w:r w:rsidRPr="00A701D6">
        <w:rPr>
          <w:rFonts w:ascii="Times New Roman" w:hAnsi="Times New Roman" w:cs="Times New Roman"/>
          <w:sz w:val="28"/>
          <w:szCs w:val="28"/>
        </w:rPr>
        <w:t xml:space="preserve">ержави-учасниці повинні забезпечити, щоб провайдери </w:t>
      </w:r>
      <w:proofErr w:type="spellStart"/>
      <w:r w:rsidRPr="00A701D6">
        <w:rPr>
          <w:rFonts w:ascii="Times New Roman" w:hAnsi="Times New Roman" w:cs="Times New Roman"/>
          <w:sz w:val="28"/>
          <w:szCs w:val="28"/>
        </w:rPr>
        <w:t>медіапослуг</w:t>
      </w:r>
      <w:proofErr w:type="spellEnd"/>
      <w:r w:rsidRPr="00A701D6">
        <w:rPr>
          <w:rFonts w:ascii="Times New Roman" w:hAnsi="Times New Roman" w:cs="Times New Roman"/>
          <w:sz w:val="28"/>
          <w:szCs w:val="28"/>
        </w:rPr>
        <w:t>, які перебувають під їхньою юрисдикцією, не транслювали кінематографічні твори у строки, що перевищують строки, визначені з правовласниками.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01D6">
        <w:rPr>
          <w:rFonts w:ascii="Times New Roman" w:hAnsi="Times New Roman" w:cs="Times New Roman"/>
          <w:i/>
          <w:sz w:val="28"/>
          <w:szCs w:val="28"/>
        </w:rPr>
        <w:t>Такі гарантії відсутні в нормах законопроекту.</w:t>
      </w:r>
    </w:p>
    <w:p w:rsidR="00E91C2D" w:rsidRDefault="00E91C2D" w:rsidP="00E91C2D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Статтею 9 Директиви 2010/13/ЄС </w:t>
      </w:r>
      <w:r w:rsidRPr="00F1193B">
        <w:rPr>
          <w:rFonts w:ascii="Times New Roman" w:hAnsi="Times New Roman" w:cs="Times New Roman"/>
          <w:sz w:val="28"/>
          <w:szCs w:val="28"/>
        </w:rPr>
        <w:t>заборонено всі форми</w:t>
      </w:r>
      <w:r w:rsidRPr="00E91C2D">
        <w:rPr>
          <w:rFonts w:ascii="Times New Roman" w:hAnsi="Times New Roman" w:cs="Times New Roman"/>
          <w:sz w:val="28"/>
          <w:szCs w:val="28"/>
        </w:rPr>
        <w:t xml:space="preserve"> аудіовізуальних комерційних повідомлень про сигарети та інші тютюнові вироби, а також електронні</w:t>
      </w:r>
      <w:r>
        <w:rPr>
          <w:rFonts w:ascii="Times New Roman" w:hAnsi="Times New Roman" w:cs="Times New Roman"/>
          <w:sz w:val="28"/>
          <w:szCs w:val="28"/>
        </w:rPr>
        <w:t xml:space="preserve"> сигарети і заправні контейнери</w:t>
      </w:r>
      <w:r w:rsidR="0058135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135F" w:rsidRPr="0058135F">
        <w:rPr>
          <w:rFonts w:ascii="Times New Roman" w:hAnsi="Times New Roman" w:cs="Times New Roman"/>
          <w:sz w:val="28"/>
          <w:szCs w:val="28"/>
        </w:rPr>
        <w:t>забороняється спеціально спрямовувати аудіовізуальні комерційні повідомлення про алкогольні напої на неповнолітніх, а також заохочувати надмірне споживання таких напоїв</w:t>
      </w:r>
      <w:r w:rsidR="0058135F">
        <w:rPr>
          <w:rFonts w:ascii="Times New Roman" w:hAnsi="Times New Roman" w:cs="Times New Roman"/>
          <w:sz w:val="28"/>
          <w:szCs w:val="28"/>
        </w:rPr>
        <w:t xml:space="preserve">, </w:t>
      </w:r>
      <w:r w:rsidR="0058135F" w:rsidRPr="0058135F">
        <w:rPr>
          <w:rFonts w:ascii="Times New Roman" w:hAnsi="Times New Roman" w:cs="Times New Roman"/>
          <w:i/>
          <w:sz w:val="28"/>
          <w:szCs w:val="28"/>
        </w:rPr>
        <w:t>що не враховано в положеннях законопроекту.</w:t>
      </w:r>
    </w:p>
    <w:p w:rsidR="00A701D6" w:rsidRPr="002845F8" w:rsidRDefault="002845F8" w:rsidP="002845F8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5F8">
        <w:rPr>
          <w:rFonts w:ascii="Times New Roman" w:hAnsi="Times New Roman" w:cs="Times New Roman"/>
          <w:sz w:val="28"/>
          <w:szCs w:val="28"/>
        </w:rPr>
        <w:t>Нормами статті</w:t>
      </w:r>
      <w:r w:rsidR="00A701D6" w:rsidRPr="002845F8">
        <w:rPr>
          <w:rFonts w:ascii="Times New Roman" w:hAnsi="Times New Roman" w:cs="Times New Roman"/>
          <w:sz w:val="28"/>
          <w:szCs w:val="28"/>
        </w:rPr>
        <w:t xml:space="preserve"> 21</w:t>
      </w:r>
      <w:r w:rsidRPr="002845F8">
        <w:rPr>
          <w:rFonts w:ascii="Times New Roman" w:hAnsi="Times New Roman" w:cs="Times New Roman"/>
          <w:sz w:val="28"/>
          <w:szCs w:val="28"/>
        </w:rPr>
        <w:t xml:space="preserve"> Директиви 2010/13/ЄС заборонено</w:t>
      </w:r>
      <w:r w:rsidR="00A701D6" w:rsidRPr="00284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01D6" w:rsidRPr="002845F8">
        <w:rPr>
          <w:rFonts w:ascii="Times New Roman" w:hAnsi="Times New Roman" w:cs="Times New Roman"/>
          <w:sz w:val="28"/>
          <w:szCs w:val="28"/>
        </w:rPr>
        <w:t>телепродаж</w:t>
      </w:r>
      <w:proofErr w:type="spellEnd"/>
      <w:r w:rsidR="00A701D6" w:rsidRPr="002845F8">
        <w:rPr>
          <w:rFonts w:ascii="Times New Roman" w:hAnsi="Times New Roman" w:cs="Times New Roman"/>
          <w:sz w:val="28"/>
          <w:szCs w:val="28"/>
        </w:rPr>
        <w:t xml:space="preserve"> лікарських препаратів, що підлягають маркетинговій авторизації у розумінні Директиви 2001/83/EC, а також </w:t>
      </w:r>
      <w:proofErr w:type="spellStart"/>
      <w:r w:rsidR="00A701D6" w:rsidRPr="002845F8">
        <w:rPr>
          <w:rFonts w:ascii="Times New Roman" w:hAnsi="Times New Roman" w:cs="Times New Roman"/>
          <w:sz w:val="28"/>
          <w:szCs w:val="28"/>
        </w:rPr>
        <w:t>телепродаж</w:t>
      </w:r>
      <w:proofErr w:type="spellEnd"/>
      <w:r w:rsidR="00A701D6" w:rsidRPr="002845F8">
        <w:rPr>
          <w:rFonts w:ascii="Times New Roman" w:hAnsi="Times New Roman" w:cs="Times New Roman"/>
          <w:sz w:val="28"/>
          <w:szCs w:val="28"/>
        </w:rPr>
        <w:t xml:space="preserve"> медичного лікування.</w:t>
      </w:r>
      <w:r w:rsidRPr="002845F8">
        <w:rPr>
          <w:rFonts w:ascii="Times New Roman" w:hAnsi="Times New Roman" w:cs="Times New Roman"/>
          <w:sz w:val="28"/>
          <w:szCs w:val="28"/>
        </w:rPr>
        <w:t xml:space="preserve"> </w:t>
      </w:r>
      <w:r w:rsidRPr="002845F8">
        <w:rPr>
          <w:rFonts w:ascii="Times New Roman" w:hAnsi="Times New Roman" w:cs="Times New Roman"/>
          <w:i/>
          <w:sz w:val="28"/>
          <w:szCs w:val="28"/>
        </w:rPr>
        <w:t>Така норма відсутня в законопроекті.</w:t>
      </w:r>
    </w:p>
    <w:p w:rsidR="002845F8" w:rsidRPr="008C0467" w:rsidRDefault="008C0467" w:rsidP="008C0467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Частиною третьою статті 30 Директиви 2010/13/ЄС визначено, що д</w:t>
      </w:r>
      <w:r w:rsidRPr="008C0467">
        <w:rPr>
          <w:rFonts w:ascii="Times New Roman" w:hAnsi="Times New Roman" w:cs="Times New Roman"/>
          <w:sz w:val="28"/>
          <w:szCs w:val="28"/>
        </w:rPr>
        <w:t xml:space="preserve">ержави-учасниці повинні забезпечити </w:t>
      </w:r>
      <w:r w:rsidRPr="008C0467">
        <w:rPr>
          <w:rFonts w:ascii="Times New Roman" w:hAnsi="Times New Roman" w:cs="Times New Roman"/>
          <w:sz w:val="28"/>
          <w:szCs w:val="28"/>
          <w:u w:val="single"/>
        </w:rPr>
        <w:t>чітке</w:t>
      </w:r>
      <w:r w:rsidRPr="008C0467">
        <w:rPr>
          <w:rFonts w:ascii="Times New Roman" w:hAnsi="Times New Roman" w:cs="Times New Roman"/>
          <w:sz w:val="28"/>
          <w:szCs w:val="28"/>
        </w:rPr>
        <w:t xml:space="preserve"> визначення у законодавстві компетенції та повноважень національних регуляторних установ чи органів, а також способи їхньої підзвітності.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0467">
        <w:rPr>
          <w:rFonts w:ascii="Times New Roman" w:hAnsi="Times New Roman" w:cs="Times New Roman"/>
          <w:i/>
          <w:sz w:val="28"/>
          <w:szCs w:val="28"/>
        </w:rPr>
        <w:t>В той  же час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8C0467">
        <w:rPr>
          <w:rFonts w:ascii="Times New Roman" w:hAnsi="Times New Roman" w:cs="Times New Roman"/>
          <w:i/>
          <w:sz w:val="28"/>
          <w:szCs w:val="28"/>
        </w:rPr>
        <w:t xml:space="preserve"> в статті 90 законопроекту </w:t>
      </w:r>
      <w:r>
        <w:rPr>
          <w:rFonts w:ascii="Times New Roman" w:hAnsi="Times New Roman" w:cs="Times New Roman"/>
          <w:i/>
          <w:sz w:val="28"/>
          <w:szCs w:val="28"/>
        </w:rPr>
        <w:t xml:space="preserve">наведено </w:t>
      </w:r>
      <w:r w:rsidRPr="008C0467">
        <w:rPr>
          <w:rFonts w:ascii="Times New Roman" w:hAnsi="Times New Roman" w:cs="Times New Roman"/>
          <w:i/>
          <w:sz w:val="28"/>
          <w:szCs w:val="28"/>
        </w:rPr>
        <w:t>перелік повноважень Національної ради</w:t>
      </w:r>
      <w:r w:rsidRPr="008C0467">
        <w:t xml:space="preserve"> </w:t>
      </w:r>
      <w:r w:rsidRPr="008C0467">
        <w:rPr>
          <w:rFonts w:ascii="Times New Roman" w:hAnsi="Times New Roman" w:cs="Times New Roman"/>
          <w:i/>
          <w:sz w:val="28"/>
          <w:szCs w:val="28"/>
        </w:rPr>
        <w:t>України з питань телебачення і радіомовлення</w:t>
      </w:r>
      <w:r>
        <w:rPr>
          <w:rFonts w:ascii="Times New Roman" w:hAnsi="Times New Roman" w:cs="Times New Roman"/>
          <w:i/>
          <w:sz w:val="28"/>
          <w:szCs w:val="28"/>
        </w:rPr>
        <w:t>, який не є вичерпним.</w:t>
      </w:r>
    </w:p>
    <w:p w:rsidR="001F0091" w:rsidRPr="001F0091" w:rsidRDefault="001423BE" w:rsidP="00077B7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Додатково необхідно зазначити, що в </w:t>
      </w:r>
      <w:r w:rsidR="00BC7AD8">
        <w:rPr>
          <w:rFonts w:ascii="Times New Roman" w:hAnsi="Times New Roman" w:cs="Times New Roman"/>
          <w:sz w:val="28"/>
          <w:szCs w:val="28"/>
        </w:rPr>
        <w:t>Рекомендаціях</w:t>
      </w:r>
      <w:r w:rsidR="00BC7AD8" w:rsidRPr="00BC7AD8">
        <w:rPr>
          <w:rFonts w:ascii="Times New Roman" w:hAnsi="Times New Roman" w:cs="Times New Roman"/>
          <w:sz w:val="28"/>
          <w:szCs w:val="28"/>
        </w:rPr>
        <w:t xml:space="preserve"> Комітету Міністрів Ради Європи (2011)7 щодо нового визначення медіа</w:t>
      </w:r>
      <w:r w:rsidR="00BC7A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7AD8" w:rsidRPr="00BC7AD8">
        <w:rPr>
          <w:rFonts w:ascii="Times New Roman" w:hAnsi="Times New Roman" w:cs="Times New Roman"/>
          <w:sz w:val="28"/>
          <w:szCs w:val="28"/>
        </w:rPr>
        <w:t>міст</w:t>
      </w:r>
      <w:r w:rsidR="00BC7AD8">
        <w:rPr>
          <w:rFonts w:ascii="Times New Roman" w:hAnsi="Times New Roman" w:cs="Times New Roman"/>
          <w:sz w:val="28"/>
          <w:szCs w:val="28"/>
        </w:rPr>
        <w:t>яться</w:t>
      </w:r>
      <w:r w:rsidR="00BC7AD8" w:rsidRPr="00BC7AD8">
        <w:rPr>
          <w:rFonts w:ascii="Times New Roman" w:hAnsi="Times New Roman" w:cs="Times New Roman"/>
          <w:sz w:val="28"/>
          <w:szCs w:val="28"/>
        </w:rPr>
        <w:t xml:space="preserve"> досить чіткі критерії щодо віднесення певної діяльності, послуг чи утворень до медіа, враховуючи новітні реалії.</w:t>
      </w:r>
    </w:p>
    <w:p w:rsidR="00364E23" w:rsidRDefault="00364E23" w:rsidP="00BC7AD8">
      <w:pPr>
        <w:spacing w:after="0" w:line="276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C3623" w:rsidRDefault="002C3623" w:rsidP="00BC7AD8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Також необхідно зазначити, що Директива 2010/13/ЄС не врегульовує питання діяльності друкованих та онлайн-медіа.</w:t>
      </w:r>
    </w:p>
    <w:p w:rsidR="002C3623" w:rsidRDefault="002C3623" w:rsidP="00BC7AD8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AD8" w:rsidRDefault="002D5498" w:rsidP="00BC7AD8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огляду на зазначене, проект Закону </w:t>
      </w:r>
      <w:r w:rsidRPr="002D54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метою не суперечить</w:t>
      </w:r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54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зобов’язанням України відповідно до Угоди про асоціацію,</w:t>
      </w:r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54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 потребує доопрацювання, оскільки не повною мірою враховує положення Директиви 2010/13/ЄС</w:t>
      </w:r>
      <w:r w:rsidR="009D11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0" w:name="_GoBack"/>
      <w:r w:rsidR="009D11A9" w:rsidRPr="009D11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ре</w:t>
      </w:r>
      <w:r w:rsidR="009D11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дакції Директиви № 2018/1808/ЄС (OJ L 303, 28.11.2018, p. 69–92)</w:t>
      </w:r>
      <w:bookmarkEnd w:id="0"/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зокрема, в частині визначення повноважень національного регуляторного органу; сприяння більш широкому доступу осіб з інвалідністю до послуг, що надаються провайдерами </w:t>
      </w:r>
      <w:proofErr w:type="spellStart"/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медіапослуг</w:t>
      </w:r>
      <w:proofErr w:type="spellEnd"/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заборони обробляти персональні дані неповнолітніх, зібрані чи іншим чином отримані провайдерами з комерційною метою, в </w:t>
      </w:r>
      <w:proofErr w:type="spellStart"/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прямого маркетингу, профілювання та поведінкової </w:t>
      </w:r>
      <w:proofErr w:type="spellStart"/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таргетованої</w:t>
      </w:r>
      <w:proofErr w:type="spellEnd"/>
      <w:r w:rsidRPr="002D5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реклами.</w:t>
      </w:r>
    </w:p>
    <w:p w:rsidR="002D5498" w:rsidRDefault="002D5498" w:rsidP="00BC7AD8">
      <w:pPr>
        <w:spacing w:after="0" w:line="276" w:lineRule="auto"/>
        <w:ind w:firstLine="567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246DF0" w:rsidRDefault="00246DF0" w:rsidP="00BC7AD8">
      <w:pPr>
        <w:spacing w:after="0" w:line="276" w:lineRule="auto"/>
        <w:ind w:firstLine="567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C64F13" w:rsidRPr="00BC7AD8" w:rsidRDefault="00246DF0" w:rsidP="00BC7AD8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485A">
        <w:rPr>
          <w:rFonts w:ascii="Times New Roman" w:hAnsi="Times New Roman" w:cs="Times New Roman"/>
          <w:b/>
          <w:sz w:val="28"/>
          <w:szCs w:val="28"/>
        </w:rPr>
        <w:t>Голова Комітету                                               І.О. КЛИМПУШ-ЦИНЦАДЗЕ</w:t>
      </w:r>
    </w:p>
    <w:sectPr w:rsidR="00C64F13" w:rsidRPr="00BC7AD8" w:rsidSect="009B6357">
      <w:headerReference w:type="default" r:id="rId9"/>
      <w:headerReference w:type="first" r:id="rId10"/>
      <w:pgSz w:w="11906" w:h="16838"/>
      <w:pgMar w:top="426" w:right="850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C5E" w:rsidRDefault="00EF2C5E" w:rsidP="008A5974">
      <w:pPr>
        <w:spacing w:after="0" w:line="240" w:lineRule="auto"/>
      </w:pPr>
      <w:r>
        <w:separator/>
      </w:r>
    </w:p>
  </w:endnote>
  <w:endnote w:type="continuationSeparator" w:id="0">
    <w:p w:rsidR="00EF2C5E" w:rsidRDefault="00EF2C5E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C5E" w:rsidRDefault="00EF2C5E" w:rsidP="008A5974">
      <w:pPr>
        <w:spacing w:after="0" w:line="240" w:lineRule="auto"/>
      </w:pPr>
      <w:r>
        <w:separator/>
      </w:r>
    </w:p>
  </w:footnote>
  <w:footnote w:type="continuationSeparator" w:id="0">
    <w:p w:rsidR="00EF2C5E" w:rsidRDefault="00EF2C5E" w:rsidP="008A5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EndPr/>
    <w:sdtContent>
      <w:p w:rsidR="008A5974" w:rsidRDefault="008A597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11A9">
          <w:rPr>
            <w:noProof/>
          </w:rPr>
          <w:t>4</w:t>
        </w:r>
        <w:r>
          <w:fldChar w:fldCharType="end"/>
        </w:r>
      </w:p>
    </w:sdtContent>
  </w:sdt>
  <w:p w:rsidR="008A5974" w:rsidRDefault="008A597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62" w:rsidRPr="004E0F28" w:rsidRDefault="00DC3562" w:rsidP="00DC3562">
    <w:pPr>
      <w:pStyle w:val="a5"/>
      <w:jc w:val="right"/>
      <w:rPr>
        <w:rFonts w:ascii="Times New Roman" w:hAnsi="Times New Roman" w:cs="Times New Roman"/>
        <w:b/>
        <w:color w:val="FF0000"/>
        <w:sz w:val="28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E6D06"/>
    <w:multiLevelType w:val="hybridMultilevel"/>
    <w:tmpl w:val="A79EC5B4"/>
    <w:lvl w:ilvl="0" w:tplc="582C1CEA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0CA5058"/>
    <w:multiLevelType w:val="hybridMultilevel"/>
    <w:tmpl w:val="DD023D30"/>
    <w:lvl w:ilvl="0" w:tplc="4D60DC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E72F5"/>
    <w:multiLevelType w:val="hybridMultilevel"/>
    <w:tmpl w:val="29505128"/>
    <w:lvl w:ilvl="0" w:tplc="E8AEE80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D3224A9"/>
    <w:multiLevelType w:val="hybridMultilevel"/>
    <w:tmpl w:val="581CA774"/>
    <w:lvl w:ilvl="0" w:tplc="CA6413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F037E"/>
    <w:multiLevelType w:val="hybridMultilevel"/>
    <w:tmpl w:val="D3061C78"/>
    <w:lvl w:ilvl="0" w:tplc="A1C46D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5A92694"/>
    <w:multiLevelType w:val="hybridMultilevel"/>
    <w:tmpl w:val="05366782"/>
    <w:lvl w:ilvl="0" w:tplc="4914FCF0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5F75E39"/>
    <w:multiLevelType w:val="hybridMultilevel"/>
    <w:tmpl w:val="E398FDBE"/>
    <w:lvl w:ilvl="0" w:tplc="68E46B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4CC53B6"/>
    <w:multiLevelType w:val="hybridMultilevel"/>
    <w:tmpl w:val="744AD482"/>
    <w:lvl w:ilvl="0" w:tplc="E946DC7E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110AA"/>
    <w:multiLevelType w:val="hybridMultilevel"/>
    <w:tmpl w:val="3BE8AD26"/>
    <w:lvl w:ilvl="0" w:tplc="71E6F622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2"/>
  </w:num>
  <w:num w:numId="4">
    <w:abstractNumId w:val="5"/>
  </w:num>
  <w:num w:numId="5">
    <w:abstractNumId w:val="11"/>
  </w:num>
  <w:num w:numId="6">
    <w:abstractNumId w:val="4"/>
  </w:num>
  <w:num w:numId="7">
    <w:abstractNumId w:val="6"/>
  </w:num>
  <w:num w:numId="8">
    <w:abstractNumId w:val="3"/>
  </w:num>
  <w:num w:numId="9">
    <w:abstractNumId w:val="7"/>
  </w:num>
  <w:num w:numId="10">
    <w:abstractNumId w:val="12"/>
  </w:num>
  <w:num w:numId="11">
    <w:abstractNumId w:val="9"/>
  </w:num>
  <w:num w:numId="12">
    <w:abstractNumId w:val="0"/>
  </w:num>
  <w:num w:numId="13">
    <w:abstractNumId w:val="8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12B42"/>
    <w:rsid w:val="000350A4"/>
    <w:rsid w:val="000404FC"/>
    <w:rsid w:val="00042672"/>
    <w:rsid w:val="00045A57"/>
    <w:rsid w:val="000713E8"/>
    <w:rsid w:val="00077B7E"/>
    <w:rsid w:val="00090188"/>
    <w:rsid w:val="00093432"/>
    <w:rsid w:val="0009456C"/>
    <w:rsid w:val="000A6EB1"/>
    <w:rsid w:val="000C0C7F"/>
    <w:rsid w:val="000C2FCA"/>
    <w:rsid w:val="000E4390"/>
    <w:rsid w:val="000F788B"/>
    <w:rsid w:val="00105F68"/>
    <w:rsid w:val="0011155A"/>
    <w:rsid w:val="0011284D"/>
    <w:rsid w:val="0012685C"/>
    <w:rsid w:val="0013359B"/>
    <w:rsid w:val="00141B35"/>
    <w:rsid w:val="001420B5"/>
    <w:rsid w:val="001423BE"/>
    <w:rsid w:val="0016128F"/>
    <w:rsid w:val="00165313"/>
    <w:rsid w:val="00172243"/>
    <w:rsid w:val="00181763"/>
    <w:rsid w:val="00186931"/>
    <w:rsid w:val="00196CBA"/>
    <w:rsid w:val="001B1E02"/>
    <w:rsid w:val="001B4B66"/>
    <w:rsid w:val="001C5F6A"/>
    <w:rsid w:val="001C7070"/>
    <w:rsid w:val="001D201A"/>
    <w:rsid w:val="001D76B2"/>
    <w:rsid w:val="001E3F1B"/>
    <w:rsid w:val="001E5D0B"/>
    <w:rsid w:val="001F0091"/>
    <w:rsid w:val="001F6E5A"/>
    <w:rsid w:val="00213DD7"/>
    <w:rsid w:val="00214D39"/>
    <w:rsid w:val="00221FA1"/>
    <w:rsid w:val="0022520C"/>
    <w:rsid w:val="00237958"/>
    <w:rsid w:val="0024458A"/>
    <w:rsid w:val="00246DF0"/>
    <w:rsid w:val="00275CFB"/>
    <w:rsid w:val="00283B93"/>
    <w:rsid w:val="002845F8"/>
    <w:rsid w:val="00285458"/>
    <w:rsid w:val="00285853"/>
    <w:rsid w:val="0029087B"/>
    <w:rsid w:val="00293717"/>
    <w:rsid w:val="00293F12"/>
    <w:rsid w:val="0029766D"/>
    <w:rsid w:val="002A6059"/>
    <w:rsid w:val="002B2488"/>
    <w:rsid w:val="002B446C"/>
    <w:rsid w:val="002C3623"/>
    <w:rsid w:val="002D5498"/>
    <w:rsid w:val="002F417B"/>
    <w:rsid w:val="00310819"/>
    <w:rsid w:val="00310E3E"/>
    <w:rsid w:val="003126AB"/>
    <w:rsid w:val="003207EC"/>
    <w:rsid w:val="00325678"/>
    <w:rsid w:val="00335085"/>
    <w:rsid w:val="003417C7"/>
    <w:rsid w:val="0035170C"/>
    <w:rsid w:val="00356995"/>
    <w:rsid w:val="00360895"/>
    <w:rsid w:val="00364E23"/>
    <w:rsid w:val="00377C98"/>
    <w:rsid w:val="00384409"/>
    <w:rsid w:val="003C0D9C"/>
    <w:rsid w:val="003C7FD5"/>
    <w:rsid w:val="003D246D"/>
    <w:rsid w:val="003D49F6"/>
    <w:rsid w:val="003D5517"/>
    <w:rsid w:val="00402CFB"/>
    <w:rsid w:val="00410F0A"/>
    <w:rsid w:val="00416D33"/>
    <w:rsid w:val="00426AC7"/>
    <w:rsid w:val="00433932"/>
    <w:rsid w:val="00436F99"/>
    <w:rsid w:val="00451257"/>
    <w:rsid w:val="00486767"/>
    <w:rsid w:val="00490B8F"/>
    <w:rsid w:val="004928BF"/>
    <w:rsid w:val="00494C5F"/>
    <w:rsid w:val="00496036"/>
    <w:rsid w:val="004A0A08"/>
    <w:rsid w:val="004A41FC"/>
    <w:rsid w:val="004B1B79"/>
    <w:rsid w:val="004B2D2E"/>
    <w:rsid w:val="004B71DE"/>
    <w:rsid w:val="004C2B83"/>
    <w:rsid w:val="004C44B9"/>
    <w:rsid w:val="004D01D8"/>
    <w:rsid w:val="004E0F28"/>
    <w:rsid w:val="004E3305"/>
    <w:rsid w:val="004F0300"/>
    <w:rsid w:val="004F5AE0"/>
    <w:rsid w:val="00505D0B"/>
    <w:rsid w:val="00511ADD"/>
    <w:rsid w:val="005252F3"/>
    <w:rsid w:val="005350F4"/>
    <w:rsid w:val="00542242"/>
    <w:rsid w:val="005438EA"/>
    <w:rsid w:val="00550B14"/>
    <w:rsid w:val="00554E16"/>
    <w:rsid w:val="00561982"/>
    <w:rsid w:val="00567F37"/>
    <w:rsid w:val="00567F82"/>
    <w:rsid w:val="00570D77"/>
    <w:rsid w:val="0057278A"/>
    <w:rsid w:val="0058135F"/>
    <w:rsid w:val="00590187"/>
    <w:rsid w:val="005B2BAB"/>
    <w:rsid w:val="005C4FF3"/>
    <w:rsid w:val="005D27FB"/>
    <w:rsid w:val="005D2EE4"/>
    <w:rsid w:val="00653AA5"/>
    <w:rsid w:val="006757BE"/>
    <w:rsid w:val="00695337"/>
    <w:rsid w:val="0069769A"/>
    <w:rsid w:val="006C2167"/>
    <w:rsid w:val="006C2B2F"/>
    <w:rsid w:val="006C3961"/>
    <w:rsid w:val="006C4225"/>
    <w:rsid w:val="006D7C09"/>
    <w:rsid w:val="006F7145"/>
    <w:rsid w:val="007049A1"/>
    <w:rsid w:val="007228F7"/>
    <w:rsid w:val="0072459E"/>
    <w:rsid w:val="00725B7B"/>
    <w:rsid w:val="00727B09"/>
    <w:rsid w:val="00734ED3"/>
    <w:rsid w:val="007358FA"/>
    <w:rsid w:val="00764E7A"/>
    <w:rsid w:val="00765872"/>
    <w:rsid w:val="00771477"/>
    <w:rsid w:val="0077514E"/>
    <w:rsid w:val="00776AE8"/>
    <w:rsid w:val="007809DC"/>
    <w:rsid w:val="00782DD7"/>
    <w:rsid w:val="007851F9"/>
    <w:rsid w:val="00796CB2"/>
    <w:rsid w:val="007A3A08"/>
    <w:rsid w:val="007B14F8"/>
    <w:rsid w:val="007D00D9"/>
    <w:rsid w:val="007E1E76"/>
    <w:rsid w:val="007E5AF3"/>
    <w:rsid w:val="00813B30"/>
    <w:rsid w:val="00814D5E"/>
    <w:rsid w:val="00853550"/>
    <w:rsid w:val="0085361C"/>
    <w:rsid w:val="008752B8"/>
    <w:rsid w:val="008814BE"/>
    <w:rsid w:val="008827CB"/>
    <w:rsid w:val="0088488B"/>
    <w:rsid w:val="00896EBE"/>
    <w:rsid w:val="008A5683"/>
    <w:rsid w:val="008A5974"/>
    <w:rsid w:val="008B0FBE"/>
    <w:rsid w:val="008B4546"/>
    <w:rsid w:val="008B5ED5"/>
    <w:rsid w:val="008B7021"/>
    <w:rsid w:val="008C0467"/>
    <w:rsid w:val="008D4F02"/>
    <w:rsid w:val="008D72CA"/>
    <w:rsid w:val="008F196E"/>
    <w:rsid w:val="008F21DC"/>
    <w:rsid w:val="009073C8"/>
    <w:rsid w:val="00911615"/>
    <w:rsid w:val="00920C62"/>
    <w:rsid w:val="00924188"/>
    <w:rsid w:val="00953734"/>
    <w:rsid w:val="00963074"/>
    <w:rsid w:val="0098362C"/>
    <w:rsid w:val="009852A5"/>
    <w:rsid w:val="00995F48"/>
    <w:rsid w:val="009965A5"/>
    <w:rsid w:val="009A44B3"/>
    <w:rsid w:val="009B1BAB"/>
    <w:rsid w:val="009B6357"/>
    <w:rsid w:val="009B65D6"/>
    <w:rsid w:val="009C7921"/>
    <w:rsid w:val="009D11A9"/>
    <w:rsid w:val="009F0819"/>
    <w:rsid w:val="009F0B61"/>
    <w:rsid w:val="009F38B1"/>
    <w:rsid w:val="00A16A98"/>
    <w:rsid w:val="00A22A56"/>
    <w:rsid w:val="00A417AF"/>
    <w:rsid w:val="00A45BEF"/>
    <w:rsid w:val="00A524E0"/>
    <w:rsid w:val="00A61C75"/>
    <w:rsid w:val="00A701D6"/>
    <w:rsid w:val="00A73495"/>
    <w:rsid w:val="00A82F14"/>
    <w:rsid w:val="00A95F1F"/>
    <w:rsid w:val="00AA6462"/>
    <w:rsid w:val="00AB1C4A"/>
    <w:rsid w:val="00AB32BE"/>
    <w:rsid w:val="00AC0198"/>
    <w:rsid w:val="00AD1699"/>
    <w:rsid w:val="00AE1B96"/>
    <w:rsid w:val="00AF565B"/>
    <w:rsid w:val="00B23919"/>
    <w:rsid w:val="00B25D66"/>
    <w:rsid w:val="00B31C5C"/>
    <w:rsid w:val="00B37E58"/>
    <w:rsid w:val="00B46A8D"/>
    <w:rsid w:val="00B50742"/>
    <w:rsid w:val="00B535F9"/>
    <w:rsid w:val="00B633F7"/>
    <w:rsid w:val="00B6384B"/>
    <w:rsid w:val="00B71F50"/>
    <w:rsid w:val="00B75C66"/>
    <w:rsid w:val="00B774FF"/>
    <w:rsid w:val="00B86E61"/>
    <w:rsid w:val="00B87CF7"/>
    <w:rsid w:val="00B91FE6"/>
    <w:rsid w:val="00B96D39"/>
    <w:rsid w:val="00BA388A"/>
    <w:rsid w:val="00BB4959"/>
    <w:rsid w:val="00BB6CF7"/>
    <w:rsid w:val="00BC1C94"/>
    <w:rsid w:val="00BC6A15"/>
    <w:rsid w:val="00BC7AD8"/>
    <w:rsid w:val="00BD5E97"/>
    <w:rsid w:val="00BE78E2"/>
    <w:rsid w:val="00C02AD1"/>
    <w:rsid w:val="00C102E5"/>
    <w:rsid w:val="00C107DD"/>
    <w:rsid w:val="00C16949"/>
    <w:rsid w:val="00C30C93"/>
    <w:rsid w:val="00C42961"/>
    <w:rsid w:val="00C5485A"/>
    <w:rsid w:val="00C64F13"/>
    <w:rsid w:val="00C711F0"/>
    <w:rsid w:val="00C7589D"/>
    <w:rsid w:val="00C932C3"/>
    <w:rsid w:val="00CA1B39"/>
    <w:rsid w:val="00CA56D2"/>
    <w:rsid w:val="00CB7DB1"/>
    <w:rsid w:val="00CC0049"/>
    <w:rsid w:val="00CD3897"/>
    <w:rsid w:val="00CF386F"/>
    <w:rsid w:val="00D0274B"/>
    <w:rsid w:val="00D11F8F"/>
    <w:rsid w:val="00D22764"/>
    <w:rsid w:val="00D23353"/>
    <w:rsid w:val="00D24663"/>
    <w:rsid w:val="00D30295"/>
    <w:rsid w:val="00D4227F"/>
    <w:rsid w:val="00D74E14"/>
    <w:rsid w:val="00D862AD"/>
    <w:rsid w:val="00DC01DB"/>
    <w:rsid w:val="00DC0698"/>
    <w:rsid w:val="00DC3562"/>
    <w:rsid w:val="00DE468F"/>
    <w:rsid w:val="00DF06C5"/>
    <w:rsid w:val="00DF50BC"/>
    <w:rsid w:val="00E00A31"/>
    <w:rsid w:val="00E11FF0"/>
    <w:rsid w:val="00E263CB"/>
    <w:rsid w:val="00E354E4"/>
    <w:rsid w:val="00E35569"/>
    <w:rsid w:val="00E45426"/>
    <w:rsid w:val="00E54729"/>
    <w:rsid w:val="00E60689"/>
    <w:rsid w:val="00E91C2D"/>
    <w:rsid w:val="00E96506"/>
    <w:rsid w:val="00EA154A"/>
    <w:rsid w:val="00EB020E"/>
    <w:rsid w:val="00EC4F52"/>
    <w:rsid w:val="00ED22AC"/>
    <w:rsid w:val="00EF0C44"/>
    <w:rsid w:val="00EF148D"/>
    <w:rsid w:val="00EF2C5E"/>
    <w:rsid w:val="00F076B3"/>
    <w:rsid w:val="00F1193B"/>
    <w:rsid w:val="00F13D03"/>
    <w:rsid w:val="00F217B6"/>
    <w:rsid w:val="00F25E85"/>
    <w:rsid w:val="00F65A2E"/>
    <w:rsid w:val="00F676FD"/>
    <w:rsid w:val="00F7069D"/>
    <w:rsid w:val="00F75B8E"/>
    <w:rsid w:val="00F7668B"/>
    <w:rsid w:val="00F84676"/>
    <w:rsid w:val="00F906AC"/>
    <w:rsid w:val="00F90955"/>
    <w:rsid w:val="00F9343B"/>
    <w:rsid w:val="00F94EBE"/>
    <w:rsid w:val="00FD0583"/>
    <w:rsid w:val="00FE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4D4BF"/>
  <w15:chartTrackingRefBased/>
  <w15:docId w15:val="{68344BA7-B535-4EE4-AECF-5165F3CE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E54729"/>
    <w:pPr>
      <w:keepNext/>
      <w:keepLines/>
      <w:numPr>
        <w:numId w:val="14"/>
      </w:numPr>
      <w:suppressAutoHyphens/>
      <w:spacing w:before="480" w:after="120" w:line="276" w:lineRule="auto"/>
      <w:contextualSpacing/>
      <w:outlineLvl w:val="0"/>
    </w:pPr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E54729"/>
    <w:pPr>
      <w:keepNext/>
      <w:keepLines/>
      <w:numPr>
        <w:ilvl w:val="1"/>
        <w:numId w:val="14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paragraph" w:styleId="3">
    <w:name w:val="heading 3"/>
    <w:basedOn w:val="a"/>
    <w:link w:val="30"/>
    <w:qFormat/>
    <w:rsid w:val="00E54729"/>
    <w:pPr>
      <w:keepNext/>
      <w:keepLines/>
      <w:numPr>
        <w:ilvl w:val="2"/>
        <w:numId w:val="14"/>
      </w:numPr>
      <w:suppressAutoHyphens/>
      <w:spacing w:after="0" w:line="240" w:lineRule="auto"/>
      <w:contextualSpacing/>
      <w:jc w:val="center"/>
      <w:outlineLvl w:val="2"/>
    </w:pPr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E54729"/>
    <w:pPr>
      <w:keepNext/>
      <w:keepLines/>
      <w:numPr>
        <w:ilvl w:val="3"/>
        <w:numId w:val="14"/>
      </w:numPr>
      <w:suppressAutoHyphens/>
      <w:spacing w:before="240" w:after="40" w:line="276" w:lineRule="auto"/>
      <w:contextualSpacing/>
      <w:outlineLvl w:val="3"/>
    </w:pPr>
    <w:rPr>
      <w:rFonts w:ascii="Times New Roman" w:eastAsia="Times New Roman" w:hAnsi="Times New Roman" w:cs="Arial"/>
      <w:b/>
      <w:color w:val="000000"/>
      <w:szCs w:val="24"/>
      <w:lang w:eastAsia="zh-CN"/>
    </w:rPr>
  </w:style>
  <w:style w:type="paragraph" w:styleId="5">
    <w:name w:val="heading 5"/>
    <w:basedOn w:val="a"/>
    <w:link w:val="50"/>
    <w:qFormat/>
    <w:rsid w:val="00E54729"/>
    <w:pPr>
      <w:keepNext/>
      <w:keepLines/>
      <w:numPr>
        <w:ilvl w:val="4"/>
        <w:numId w:val="14"/>
      </w:numPr>
      <w:suppressAutoHyphens/>
      <w:spacing w:before="220" w:after="40" w:line="276" w:lineRule="auto"/>
      <w:contextualSpacing/>
      <w:outlineLvl w:val="4"/>
    </w:pPr>
    <w:rPr>
      <w:rFonts w:ascii="Times New Roman" w:eastAsia="Times New Roman" w:hAnsi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E54729"/>
    <w:pPr>
      <w:keepNext/>
      <w:keepLines/>
      <w:numPr>
        <w:ilvl w:val="5"/>
        <w:numId w:val="14"/>
      </w:numPr>
      <w:suppressAutoHyphens/>
      <w:spacing w:before="200" w:after="40" w:line="276" w:lineRule="auto"/>
      <w:contextualSpacing/>
      <w:outlineLvl w:val="5"/>
    </w:pPr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E54729"/>
    <w:pPr>
      <w:keepNext/>
      <w:keepLines/>
      <w:numPr>
        <w:ilvl w:val="6"/>
        <w:numId w:val="14"/>
      </w:numPr>
      <w:suppressAutoHyphens/>
      <w:spacing w:before="60" w:after="60" w:line="276" w:lineRule="auto"/>
      <w:outlineLvl w:val="6"/>
    </w:pPr>
    <w:rPr>
      <w:rFonts w:ascii="Times New Roman" w:eastAsia="Times New Roman" w:hAnsi="Times New Roman" w:cs="Arial"/>
      <w:b/>
      <w:bCs/>
      <w:color w:val="000000"/>
      <w:spacing w:val="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E54729"/>
    <w:pPr>
      <w:keepNext/>
      <w:keepLines/>
      <w:numPr>
        <w:ilvl w:val="7"/>
        <w:numId w:val="14"/>
      </w:numPr>
      <w:suppressAutoHyphens/>
      <w:spacing w:before="60" w:after="60" w:line="276" w:lineRule="auto"/>
      <w:outlineLvl w:val="7"/>
    </w:pPr>
    <w:rPr>
      <w:rFonts w:ascii="Times New Roman" w:eastAsia="Times New Roman" w:hAnsi="Times New Roman" w:cs="Arial"/>
      <w:b/>
      <w:bCs/>
      <w:i/>
      <w:iCs/>
      <w:color w:val="000000"/>
      <w:spacing w:val="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E54729"/>
    <w:pPr>
      <w:keepNext/>
      <w:keepLines/>
      <w:numPr>
        <w:ilvl w:val="8"/>
        <w:numId w:val="14"/>
      </w:numPr>
      <w:suppressAutoHyphens/>
      <w:spacing w:before="60" w:after="60" w:line="276" w:lineRule="auto"/>
      <w:outlineLvl w:val="8"/>
    </w:pPr>
    <w:rPr>
      <w:rFonts w:ascii="Times New Roman" w:eastAsia="Times New Roman" w:hAnsi="Times New Roman" w:cs="Arial"/>
      <w:b/>
      <w:bCs/>
      <w:color w:val="000000"/>
      <w:spacing w:val="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1"/>
    <w:link w:val="a5"/>
    <w:uiPriority w:val="99"/>
    <w:rsid w:val="008A5974"/>
  </w:style>
  <w:style w:type="paragraph" w:styleId="a7">
    <w:name w:val="footer"/>
    <w:basedOn w:val="a"/>
    <w:link w:val="a8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1"/>
    <w:link w:val="a7"/>
    <w:uiPriority w:val="99"/>
    <w:rsid w:val="008A5974"/>
  </w:style>
  <w:style w:type="paragraph" w:styleId="a9">
    <w:name w:val="Balloon Text"/>
    <w:basedOn w:val="a"/>
    <w:link w:val="aa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1"/>
    <w:link w:val="a9"/>
    <w:uiPriority w:val="99"/>
    <w:semiHidden/>
    <w:rsid w:val="007358FA"/>
    <w:rPr>
      <w:rFonts w:ascii="Segoe UI" w:hAnsi="Segoe UI" w:cs="Segoe UI"/>
      <w:sz w:val="18"/>
      <w:szCs w:val="18"/>
    </w:rPr>
  </w:style>
  <w:style w:type="table" w:styleId="ab">
    <w:name w:val="Table Grid"/>
    <w:basedOn w:val="a2"/>
    <w:uiPriority w:val="39"/>
    <w:rsid w:val="00AF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unhideWhenUsed/>
    <w:rsid w:val="001B4B66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1"/>
    <w:link w:val="ac"/>
    <w:uiPriority w:val="99"/>
    <w:semiHidden/>
    <w:rsid w:val="001B4B66"/>
    <w:rPr>
      <w:sz w:val="20"/>
      <w:szCs w:val="20"/>
    </w:rPr>
  </w:style>
  <w:style w:type="character" w:styleId="ae">
    <w:name w:val="footnote reference"/>
    <w:basedOn w:val="a1"/>
    <w:uiPriority w:val="99"/>
    <w:semiHidden/>
    <w:unhideWhenUsed/>
    <w:rsid w:val="001B4B66"/>
    <w:rPr>
      <w:vertAlign w:val="superscript"/>
    </w:rPr>
  </w:style>
  <w:style w:type="character" w:styleId="af">
    <w:name w:val="Hyperlink"/>
    <w:basedOn w:val="a1"/>
    <w:uiPriority w:val="99"/>
    <w:unhideWhenUsed/>
    <w:rsid w:val="008F196E"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rsid w:val="00E54729"/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character" w:customStyle="1" w:styleId="20">
    <w:name w:val="Заголовок 2 Знак"/>
    <w:basedOn w:val="a1"/>
    <w:link w:val="2"/>
    <w:rsid w:val="00E54729"/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character" w:customStyle="1" w:styleId="30">
    <w:name w:val="Заголовок 3 Знак"/>
    <w:basedOn w:val="a1"/>
    <w:link w:val="3"/>
    <w:rsid w:val="00E54729"/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character" w:customStyle="1" w:styleId="40">
    <w:name w:val="Заголовок 4 Знак"/>
    <w:basedOn w:val="a1"/>
    <w:link w:val="4"/>
    <w:rsid w:val="00E54729"/>
    <w:rPr>
      <w:rFonts w:ascii="Times New Roman" w:eastAsia="Times New Roman" w:hAnsi="Times New Roman" w:cs="Arial"/>
      <w:b/>
      <w:color w:val="000000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E54729"/>
    <w:rPr>
      <w:rFonts w:ascii="Times New Roman" w:eastAsia="Times New Roman" w:hAnsi="Times New Roman" w:cs="Arial"/>
      <w:color w:val="000000"/>
      <w:sz w:val="20"/>
      <w:lang w:eastAsia="zh-CN"/>
    </w:rPr>
  </w:style>
  <w:style w:type="character" w:customStyle="1" w:styleId="60">
    <w:name w:val="Заголовок 6 Знак"/>
    <w:basedOn w:val="a1"/>
    <w:link w:val="6"/>
    <w:rsid w:val="00E54729"/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character" w:customStyle="1" w:styleId="70">
    <w:name w:val="Заголовок 7 Знак"/>
    <w:basedOn w:val="a1"/>
    <w:link w:val="7"/>
    <w:rsid w:val="00E54729"/>
    <w:rPr>
      <w:rFonts w:ascii="Times New Roman" w:eastAsia="Times New Roman" w:hAnsi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1"/>
    <w:link w:val="8"/>
    <w:rsid w:val="00E54729"/>
    <w:rPr>
      <w:rFonts w:ascii="Times New Roman" w:eastAsia="Times New Roman" w:hAnsi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1"/>
    <w:link w:val="9"/>
    <w:rsid w:val="00E54729"/>
    <w:rPr>
      <w:rFonts w:ascii="Times New Roman" w:eastAsia="Times New Roman" w:hAnsi="Times New Roman" w:cs="Arial"/>
      <w:b/>
      <w:bCs/>
      <w:color w:val="000000"/>
      <w:sz w:val="54"/>
      <w:szCs w:val="54"/>
      <w:lang w:eastAsia="zh-CN"/>
    </w:rPr>
  </w:style>
  <w:style w:type="paragraph" w:styleId="a0">
    <w:name w:val="Title"/>
    <w:basedOn w:val="a"/>
    <w:next w:val="a"/>
    <w:link w:val="af0"/>
    <w:uiPriority w:val="10"/>
    <w:qFormat/>
    <w:rsid w:val="00E5472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 Знак"/>
    <w:basedOn w:val="a1"/>
    <w:link w:val="a0"/>
    <w:uiPriority w:val="10"/>
    <w:rsid w:val="00E5472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B9BC2-9F35-41C9-97FB-D67224144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4</Pages>
  <Words>5049</Words>
  <Characters>2878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34</cp:revision>
  <cp:lastPrinted>2020-07-14T08:40:00Z</cp:lastPrinted>
  <dcterms:created xsi:type="dcterms:W3CDTF">2020-07-06T06:37:00Z</dcterms:created>
  <dcterms:modified xsi:type="dcterms:W3CDTF">2020-07-14T09:52:00Z</dcterms:modified>
</cp:coreProperties>
</file>