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EAB" w:rsidRPr="006A2EAB" w:rsidRDefault="006A2EAB" w:rsidP="006A2EAB">
      <w:pPr>
        <w:spacing w:after="6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6A2EA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ВИСНОВОК</w:t>
      </w:r>
    </w:p>
    <w:p w:rsidR="006A2EAB" w:rsidRDefault="006A2EAB" w:rsidP="006A2EA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6A2EA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Комітету Верховної Ради </w:t>
      </w:r>
      <w:r w:rsidRPr="006A2EAB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України з питань інтеграції</w:t>
      </w:r>
    </w:p>
    <w:p w:rsidR="006A2EAB" w:rsidRPr="006A2EAB" w:rsidRDefault="006A2EAB" w:rsidP="006A2EA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6A2EAB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України з Європейським Союзом</w:t>
      </w:r>
    </w:p>
    <w:p w:rsidR="006A2EAB" w:rsidRPr="006A2EAB" w:rsidRDefault="006A2EAB" w:rsidP="006A2EA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6A2EAB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щодо проекту Закону «</w:t>
      </w:r>
      <w:r w:rsidRPr="006A2EA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Про самоврядування медичних професій в Україні</w:t>
      </w:r>
      <w:r w:rsidRPr="006A2EAB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»</w:t>
      </w:r>
    </w:p>
    <w:p w:rsidR="006A2EAB" w:rsidRPr="006A2EAB" w:rsidRDefault="006A2EAB" w:rsidP="006A2EA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6A2EA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(реєстр. № 2445-д від 03.07.2020 р., внесений народними депутатами України </w:t>
      </w:r>
      <w:proofErr w:type="spellStart"/>
      <w:r w:rsidRPr="006A2EA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А.В.Дубновим</w:t>
      </w:r>
      <w:proofErr w:type="spellEnd"/>
      <w:r w:rsidRPr="006A2EA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, </w:t>
      </w:r>
      <w:proofErr w:type="spellStart"/>
      <w:r w:rsidRPr="006A2EA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М.Б.Радуцьким</w:t>
      </w:r>
      <w:proofErr w:type="spellEnd"/>
      <w:r w:rsidRPr="006A2EA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та іншими)</w:t>
      </w:r>
    </w:p>
    <w:p w:rsidR="006A2EAB" w:rsidRPr="006A2EAB" w:rsidRDefault="006A2EAB" w:rsidP="006A2EA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6A2EAB" w:rsidRPr="006A2EAB" w:rsidRDefault="006A2EAB" w:rsidP="006A2EAB">
      <w:pPr>
        <w:numPr>
          <w:ilvl w:val="0"/>
          <w:numId w:val="5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6A2EA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Загальна характеристика законопроекту.</w:t>
      </w:r>
    </w:p>
    <w:p w:rsidR="006A2EAB" w:rsidRPr="006A2EAB" w:rsidRDefault="006A2EAB" w:rsidP="006A2EA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A2EAB" w:rsidRPr="006A2EAB" w:rsidRDefault="006A2EAB" w:rsidP="006A2EA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A2EAB">
        <w:rPr>
          <w:rFonts w:ascii="Times New Roman" w:eastAsia="Times New Roman" w:hAnsi="Times New Roman"/>
          <w:sz w:val="28"/>
          <w:szCs w:val="28"/>
          <w:lang w:val="uk-UA" w:eastAsia="ru-RU"/>
        </w:rPr>
        <w:t>Проектом Закону пропонується законодавчо закріпити та врегулювати поняття, види, форми та механізми правового регулювання медичної та фармацевтичної діяльності в Україні, систему, засади, гарантії, принципи професійного самоврядування медичних професій та повноваження органів професійного самоврядування медичних професій в Україні.</w:t>
      </w:r>
    </w:p>
    <w:p w:rsidR="006A2EAB" w:rsidRPr="006A2EAB" w:rsidRDefault="006A2EAB" w:rsidP="006A2EA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4"/>
          <w:shd w:val="clear" w:color="auto" w:fill="FFFFFF"/>
          <w:lang w:val="uk-UA" w:eastAsia="ru-RU"/>
        </w:rPr>
      </w:pPr>
    </w:p>
    <w:p w:rsidR="006A2EAB" w:rsidRPr="006A2EAB" w:rsidRDefault="006A2EAB" w:rsidP="006A2EAB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4"/>
          <w:lang w:val="uk-UA" w:eastAsia="ru-RU"/>
        </w:rPr>
      </w:pPr>
      <w:r w:rsidRPr="006A2EAB">
        <w:rPr>
          <w:rFonts w:ascii="Times New Roman" w:eastAsia="Verdana" w:hAnsi="Times New Roman"/>
          <w:b/>
          <w:sz w:val="28"/>
          <w:szCs w:val="24"/>
          <w:lang w:val="uk-UA" w:eastAsia="ru-RU"/>
        </w:rPr>
        <w:t xml:space="preserve">2. </w:t>
      </w:r>
      <w:r w:rsidRPr="006A2EAB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Належність законопроекту за предметом правового регулювання до сфери дії права Європейського Союзу та Ради Європи.</w:t>
      </w:r>
    </w:p>
    <w:p w:rsidR="006A2EAB" w:rsidRPr="006A2EAB" w:rsidRDefault="006A2EAB" w:rsidP="006A2EAB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6A2EAB" w:rsidRPr="006A2EAB" w:rsidRDefault="006A2EAB" w:rsidP="006A2EA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6A2EA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Правовідносини, що належать до сфери правового регулювання законопроекту регулюються наступними актами </w:t>
      </w:r>
      <w:proofErr w:type="spellStart"/>
      <w:r w:rsidRPr="006A2EAB">
        <w:rPr>
          <w:rFonts w:ascii="Times New Roman" w:eastAsia="Times New Roman" w:hAnsi="Times New Roman"/>
          <w:bCs/>
          <w:sz w:val="28"/>
          <w:szCs w:val="28"/>
          <w:lang w:val="uk-UA"/>
        </w:rPr>
        <w:t>acquis</w:t>
      </w:r>
      <w:proofErr w:type="spellEnd"/>
      <w:r w:rsidRPr="006A2EA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ЄС:</w:t>
      </w:r>
    </w:p>
    <w:p w:rsidR="006A2EAB" w:rsidRPr="006A2EAB" w:rsidRDefault="006A2EAB" w:rsidP="006A2EAB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6A2EAB" w:rsidRPr="006A2EAB" w:rsidRDefault="006A2EAB" w:rsidP="006A2EAB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6A2EAB">
        <w:rPr>
          <w:rFonts w:ascii="Times New Roman" w:eastAsia="Times New Roman" w:hAnsi="Times New Roman"/>
          <w:bCs/>
          <w:sz w:val="28"/>
          <w:szCs w:val="28"/>
          <w:lang w:val="uk-UA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від 27.06.2014 р. (далі - Угода про асоціацію);</w:t>
      </w:r>
    </w:p>
    <w:p w:rsidR="006A2EAB" w:rsidRPr="006A2EAB" w:rsidRDefault="006A2EAB" w:rsidP="006A2EAB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6A2EA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Директивою 2005/36/ЄС Європейського Парламенту та Ради від 7 вересня 2005 р «Про визнання професійної кваліфікації» зі змінами, внесеними Директивою 2013/55/ЄС </w:t>
      </w:r>
      <w:r w:rsidRPr="006A2EAB">
        <w:rPr>
          <w:rFonts w:ascii="Times New Roman" w:eastAsia="Times New Roman" w:hAnsi="Times New Roman"/>
          <w:color w:val="000000"/>
          <w:szCs w:val="28"/>
          <w:lang w:val="uk-UA" w:eastAsia="ru-RU"/>
        </w:rPr>
        <w:t>(</w:t>
      </w:r>
      <w:r w:rsidRPr="006A2EAB">
        <w:rPr>
          <w:rFonts w:ascii="Times New Roman" w:eastAsia="Times New Roman" w:hAnsi="Times New Roman"/>
          <w:bCs/>
          <w:sz w:val="28"/>
          <w:szCs w:val="28"/>
          <w:lang w:val="uk-UA"/>
        </w:rPr>
        <w:t>далі – Директива</w:t>
      </w:r>
      <w:r w:rsidRPr="006A2EAB">
        <w:rPr>
          <w:rFonts w:ascii="Times New Roman" w:eastAsia="Times New Roman" w:hAnsi="Times New Roman"/>
          <w:color w:val="000000"/>
          <w:szCs w:val="28"/>
          <w:lang w:val="uk-UA" w:eastAsia="ru-RU"/>
        </w:rPr>
        <w:t>)</w:t>
      </w:r>
      <w:r w:rsidRPr="006A2EA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. </w:t>
      </w:r>
    </w:p>
    <w:p w:rsidR="006A2EAB" w:rsidRPr="006A2EAB" w:rsidRDefault="006A2EAB" w:rsidP="006A2EAB">
      <w:pPr>
        <w:numPr>
          <w:ilvl w:val="0"/>
          <w:numId w:val="6"/>
        </w:numPr>
        <w:suppressAutoHyphens/>
        <w:spacing w:before="120" w:after="0" w:line="240" w:lineRule="auto"/>
        <w:contextualSpacing/>
        <w:jc w:val="both"/>
        <w:rPr>
          <w:rFonts w:ascii="Times New Roman" w:eastAsia="Verdana" w:hAnsi="Times New Roman"/>
          <w:b/>
          <w:sz w:val="28"/>
          <w:szCs w:val="24"/>
          <w:lang w:val="uk-UA" w:eastAsia="ru-RU"/>
        </w:rPr>
      </w:pPr>
      <w:r w:rsidRPr="006A2EAB">
        <w:rPr>
          <w:rFonts w:ascii="Times New Roman" w:eastAsia="Verdana" w:hAnsi="Times New Roman"/>
          <w:b/>
          <w:sz w:val="28"/>
          <w:szCs w:val="24"/>
          <w:lang w:val="uk-UA" w:eastAsia="ru-RU"/>
        </w:rPr>
        <w:t>Відповідність законопроекту праву ЄС та зобов’язанням України в рамках Ради Європи.</w:t>
      </w:r>
    </w:p>
    <w:p w:rsidR="006A2EAB" w:rsidRPr="006A2EAB" w:rsidRDefault="006A2EAB" w:rsidP="006A2EAB">
      <w:pPr>
        <w:spacing w:after="0" w:line="240" w:lineRule="auto"/>
        <w:ind w:firstLine="567"/>
        <w:jc w:val="both"/>
        <w:rPr>
          <w:rFonts w:ascii="Times New Roman" w:eastAsia="Verdana" w:hAnsi="Times New Roman"/>
          <w:sz w:val="28"/>
          <w:szCs w:val="24"/>
          <w:lang w:val="uk-UA" w:eastAsia="ru-RU"/>
        </w:rPr>
      </w:pPr>
    </w:p>
    <w:p w:rsidR="006A2EAB" w:rsidRPr="006A2EAB" w:rsidRDefault="006A2EAB" w:rsidP="006A2EAB">
      <w:pPr>
        <w:shd w:val="clear" w:color="auto" w:fill="FFFFFF"/>
        <w:spacing w:before="150" w:after="15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bookmarkStart w:id="0" w:name="n2574"/>
      <w:bookmarkEnd w:id="0"/>
      <w:r w:rsidRPr="006A2EA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Відповідно до статті 426 Угоди про асоціацію </w:t>
      </w:r>
      <w:bookmarkStart w:id="1" w:name="n2575"/>
      <w:bookmarkEnd w:id="1"/>
      <w:r w:rsidRPr="006A2EA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Сторони розвивають співробітництво в галузі охорони здоров’я з метою підвищення рівня його безпеки та захисту здоров’я людини як передумови сталого розвитку та економічного зростання.</w:t>
      </w:r>
      <w:bookmarkStart w:id="2" w:name="n2576"/>
      <w:bookmarkEnd w:id="2"/>
      <w:r w:rsidRPr="006A2EA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Також згідно зі статтею 432 Угоди про асоціацію</w:t>
      </w:r>
      <w:bookmarkStart w:id="3" w:name="n2601"/>
      <w:bookmarkEnd w:id="3"/>
      <w:r w:rsidRPr="006A2EA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Сторони здійснюють заходи, спрямовані на активізацію обміну інформацією, </w:t>
      </w:r>
      <w:r w:rsidRPr="006A2EA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практикою та досвідом, для заохочення більш тісного співробітництва в галузі професійно-технічної освіти та навчання, зокрема з метою:</w:t>
      </w:r>
      <w:bookmarkStart w:id="4" w:name="n2602"/>
      <w:bookmarkEnd w:id="4"/>
      <w:r w:rsidRPr="006A2EA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розвитку систем професійно-технічної освіти та навчання, подальшого підвищення кваліфікації протягом трудової діяльності/життя, що відповідає реаліям в контексті змін на ринку праці</w:t>
      </w:r>
      <w:bookmarkStart w:id="5" w:name="n2603"/>
      <w:bookmarkEnd w:id="5"/>
      <w:r w:rsidRPr="006A2EA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з метою створення національних механізмів з метою покращення прозорості та визнання кваліфікацій та компетенцій, використовуючи, коли це можливо, досвід ЄС.</w:t>
      </w:r>
    </w:p>
    <w:p w:rsidR="006A2EAB" w:rsidRPr="006A2EAB" w:rsidRDefault="006A2EAB" w:rsidP="006A2EAB">
      <w:pPr>
        <w:shd w:val="clear" w:color="auto" w:fill="FFFFFF"/>
        <w:spacing w:before="150" w:after="15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A2EA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 ЄС питання визнання професійної кваліфікації, зокрема, і медичних працівників врегульовано Директивою 2005/36/ЄС Європейського Парламенту та Ради від 7 вересня 2005 р «Про визнання професійної кваліфікації» зі змінами, внесеними Директивою 2013/55/ЄС (далі – Директива). Директива визначає засади системи визнання професійної кваліфікації представників різних професій в Європейському Союзі, загальні та мінімальні стандарти професійної підготовки. </w:t>
      </w:r>
    </w:p>
    <w:p w:rsidR="006A2EAB" w:rsidRPr="006A2EAB" w:rsidRDefault="006A2EAB" w:rsidP="006A2E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A2EA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Стаття 9 законопроекту передбачає здійснення медичної та фармацевтичної діяльності особами, які пройшли медичну та фармацевтичну підготовку в навчальних закладах іноземних країн. Відповідні особи допускатимуться до здійснення відповідної діяльності в Україні в порядку, визначеному відповідною  організацією професійного самоврядування медичних професій в Україні. Зазначене положення законопроекту </w:t>
      </w:r>
      <w:r w:rsidRPr="006A2EA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не суперечить</w:t>
      </w:r>
      <w:r w:rsidRPr="006A2EA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статті 21 Директиви, в якій визначено мінімальні вимоги до професійної підготовки, за яких держави-члени повинні визнавати професійну кваліфікацію медичних працівників з інших держав-членів ЄС.</w:t>
      </w:r>
    </w:p>
    <w:p w:rsidR="006A2EAB" w:rsidRPr="006A2EAB" w:rsidRDefault="006A2EAB" w:rsidP="006A2EAB">
      <w:pPr>
        <w:spacing w:before="60"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</w:pPr>
      <w:r w:rsidRPr="006A2EAB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ru-RU"/>
        </w:rPr>
        <w:t xml:space="preserve">Правовідносини, які є предметом правового регулювання решти положень законопроекту, регулюються </w:t>
      </w:r>
      <w:r w:rsidRPr="006A2EAB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  <w:t>на рівні національного законодавства</w:t>
      </w:r>
      <w:r w:rsidRPr="006A2EAB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ru-RU"/>
        </w:rPr>
        <w:t xml:space="preserve"> держав-членів ЄС</w:t>
      </w:r>
      <w:r w:rsidRPr="006A2EAB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.</w:t>
      </w:r>
    </w:p>
    <w:p w:rsidR="006A2EAB" w:rsidRPr="006A2EAB" w:rsidRDefault="006A2EAB" w:rsidP="006A2EA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A2EA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Зокрема, держави – члени самі визначають чи буде здійснюватися процедура реєстрації або ліцензування лікарів і хто її має здійснювати – державний орган чи самоврядні організації. Наприклад, в таких країнах як Австрія, Мальта, Румунія, Словенія, Іспанія, Велика Британія існують </w:t>
      </w:r>
      <w:proofErr w:type="spellStart"/>
      <w:r w:rsidRPr="006A2EAB">
        <w:rPr>
          <w:rFonts w:ascii="Times New Roman" w:eastAsia="Times New Roman" w:hAnsi="Times New Roman"/>
          <w:sz w:val="28"/>
          <w:szCs w:val="28"/>
          <w:lang w:val="uk-UA" w:eastAsia="ru-RU"/>
        </w:rPr>
        <w:t>самоврядівні</w:t>
      </w:r>
      <w:proofErr w:type="spellEnd"/>
      <w:r w:rsidRPr="006A2EA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організації, які мають повноваження надавати право на медичну практику. В Данії, Естонії, Фінляндії, Угорщині, Нідерландах держава залишає за собою всі повноваження у сфері надання права на медичну практику лікарям. В Бельгії, Німеччині та Італії організації самоврядування діють під прямим контролем держави  (згідно з дослідження Королівського медичного коледжу Великої Британії (</w:t>
      </w:r>
      <w:proofErr w:type="spellStart"/>
      <w:r w:rsidRPr="006A2EAB">
        <w:rPr>
          <w:rFonts w:ascii="Times New Roman" w:eastAsia="Times New Roman" w:hAnsi="Times New Roman"/>
          <w:sz w:val="28"/>
          <w:szCs w:val="28"/>
          <w:lang w:val="uk-UA" w:eastAsia="ru-RU"/>
        </w:rPr>
        <w:t>Royal</w:t>
      </w:r>
      <w:proofErr w:type="spellEnd"/>
      <w:r w:rsidRPr="006A2EA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6A2EAB">
        <w:rPr>
          <w:rFonts w:ascii="Times New Roman" w:eastAsia="Times New Roman" w:hAnsi="Times New Roman"/>
          <w:sz w:val="28"/>
          <w:szCs w:val="28"/>
          <w:lang w:val="uk-UA" w:eastAsia="ru-RU"/>
        </w:rPr>
        <w:t>College</w:t>
      </w:r>
      <w:proofErr w:type="spellEnd"/>
      <w:r w:rsidRPr="006A2EA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of </w:t>
      </w:r>
      <w:proofErr w:type="spellStart"/>
      <w:r w:rsidRPr="006A2EAB">
        <w:rPr>
          <w:rFonts w:ascii="Times New Roman" w:eastAsia="Times New Roman" w:hAnsi="Times New Roman"/>
          <w:sz w:val="28"/>
          <w:szCs w:val="28"/>
          <w:lang w:val="uk-UA" w:eastAsia="ru-RU"/>
        </w:rPr>
        <w:t>Physicians</w:t>
      </w:r>
      <w:proofErr w:type="spellEnd"/>
      <w:r w:rsidRPr="006A2EAB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6A2EAB">
        <w:rPr>
          <w:rFonts w:ascii="Times New Roman" w:eastAsia="Times New Roman" w:hAnsi="Times New Roman"/>
          <w:sz w:val="20"/>
          <w:szCs w:val="20"/>
          <w:lang w:val="uk-UA" w:eastAsia="ru-RU"/>
        </w:rPr>
        <w:footnoteReference w:id="1"/>
      </w:r>
      <w:r w:rsidRPr="006A2EAB">
        <w:rPr>
          <w:rFonts w:ascii="Times New Roman" w:eastAsia="Times New Roman" w:hAnsi="Times New Roman"/>
          <w:sz w:val="20"/>
          <w:szCs w:val="20"/>
          <w:lang w:val="uk-UA" w:eastAsia="ru-RU"/>
        </w:rPr>
        <w:t>.</w:t>
      </w:r>
      <w:r w:rsidRPr="006A2EA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той же час незалежно від того чи державні органи чи самоврядні організації будуть здійснювати вищезазначені функції, вони всі </w:t>
      </w:r>
      <w:r w:rsidRPr="006A2EA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є підзвітними перед державними органами</w:t>
      </w:r>
      <w:r w:rsidRPr="006A2EAB">
        <w:rPr>
          <w:rFonts w:ascii="Times New Roman" w:eastAsia="Times New Roman" w:hAnsi="Times New Roman"/>
          <w:sz w:val="28"/>
          <w:szCs w:val="28"/>
          <w:lang w:val="uk-UA" w:eastAsia="ru-RU"/>
        </w:rPr>
        <w:t>, наприклад, міністерством охорони здоров’я або департаментом юстиції, або парламентом.</w:t>
      </w:r>
    </w:p>
    <w:p w:rsidR="006A2EAB" w:rsidRPr="006A2EAB" w:rsidRDefault="006A2EAB" w:rsidP="006A2EAB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2EA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Крім того, органи професійного самоврядування </w:t>
      </w:r>
      <w:r w:rsidRPr="006A2EA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не наділяються державно-владними повноваженнями. </w:t>
      </w:r>
    </w:p>
    <w:p w:rsidR="006A2EAB" w:rsidRPr="006A2EAB" w:rsidRDefault="006A2EAB" w:rsidP="006A2EAB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2EAB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 xml:space="preserve">Положення законопроекту </w:t>
      </w:r>
      <w:r w:rsidRPr="006A2EAB">
        <w:rPr>
          <w:rFonts w:ascii="Times New Roman" w:eastAsia="Times New Roman" w:hAnsi="Times New Roman"/>
          <w:b/>
          <w:iCs/>
          <w:color w:val="000000"/>
          <w:sz w:val="28"/>
          <w:szCs w:val="24"/>
          <w:lang w:val="uk-UA" w:eastAsia="ru-RU"/>
        </w:rPr>
        <w:t>повинні відповідати принципу правової визначеності</w:t>
      </w:r>
      <w:r w:rsidRPr="006A2EAB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 xml:space="preserve"> </w:t>
      </w:r>
      <w:r w:rsidRPr="006A2EAB">
        <w:rPr>
          <w:rFonts w:ascii="Times New Roman" w:eastAsia="Times New Roman" w:hAnsi="Times New Roman"/>
          <w:sz w:val="28"/>
          <w:szCs w:val="24"/>
          <w:lang w:val="uk-UA" w:eastAsia="ru-RU"/>
        </w:rPr>
        <w:t>(«</w:t>
      </w:r>
      <w:proofErr w:type="spellStart"/>
      <w:r w:rsidRPr="006A2EAB">
        <w:rPr>
          <w:rFonts w:ascii="Times New Roman" w:eastAsia="Times New Roman" w:hAnsi="Times New Roman"/>
          <w:sz w:val="28"/>
          <w:szCs w:val="24"/>
          <w:lang w:eastAsia="ru-RU"/>
        </w:rPr>
        <w:t>leg</w:t>
      </w:r>
      <w:proofErr w:type="spellEnd"/>
      <w:r w:rsidRPr="006A2EAB">
        <w:rPr>
          <w:rFonts w:ascii="Times New Roman" w:eastAsia="Times New Roman" w:hAnsi="Times New Roman"/>
          <w:sz w:val="28"/>
          <w:szCs w:val="24"/>
          <w:lang w:val="uk-UA" w:eastAsia="ru-RU"/>
        </w:rPr>
        <w:t>а</w:t>
      </w:r>
      <w:r w:rsidRPr="006A2EAB">
        <w:rPr>
          <w:rFonts w:ascii="Times New Roman" w:eastAsia="Times New Roman" w:hAnsi="Times New Roman"/>
          <w:sz w:val="28"/>
          <w:szCs w:val="24"/>
          <w:lang w:eastAsia="ru-RU"/>
        </w:rPr>
        <w:t>l</w:t>
      </w:r>
      <w:r w:rsidRPr="006A2EAB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proofErr w:type="spellStart"/>
      <w:r w:rsidRPr="006A2EAB">
        <w:rPr>
          <w:rFonts w:ascii="Times New Roman" w:eastAsia="Times New Roman" w:hAnsi="Times New Roman"/>
          <w:sz w:val="28"/>
          <w:szCs w:val="24"/>
          <w:lang w:eastAsia="ru-RU"/>
        </w:rPr>
        <w:t>certainty</w:t>
      </w:r>
      <w:proofErr w:type="spellEnd"/>
      <w:r w:rsidRPr="006A2EAB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») (рішення Суду ЄС у справі С-208/90 </w:t>
      </w:r>
      <w:proofErr w:type="spellStart"/>
      <w:r w:rsidRPr="006A2EAB">
        <w:rPr>
          <w:rFonts w:ascii="Times New Roman" w:eastAsia="Times New Roman" w:hAnsi="Times New Roman"/>
          <w:sz w:val="28"/>
          <w:szCs w:val="24"/>
          <w:lang w:eastAsia="ru-RU"/>
        </w:rPr>
        <w:t>Emott</w:t>
      </w:r>
      <w:proofErr w:type="spellEnd"/>
      <w:r w:rsidRPr="006A2EAB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(1991), </w:t>
      </w:r>
      <w:r w:rsidRPr="006A2EAB">
        <w:rPr>
          <w:rFonts w:ascii="Times New Roman" w:eastAsia="Times New Roman" w:hAnsi="Times New Roman"/>
          <w:sz w:val="28"/>
          <w:szCs w:val="24"/>
          <w:lang w:eastAsia="ru-RU"/>
        </w:rPr>
        <w:t>ECR</w:t>
      </w:r>
      <w:r w:rsidRPr="006A2EAB">
        <w:rPr>
          <w:rFonts w:ascii="Times New Roman" w:eastAsia="Times New Roman" w:hAnsi="Times New Roman"/>
          <w:sz w:val="28"/>
          <w:szCs w:val="24"/>
          <w:lang w:val="uk-UA" w:eastAsia="ru-RU"/>
        </w:rPr>
        <w:t>-</w:t>
      </w:r>
      <w:r w:rsidRPr="006A2EAB">
        <w:rPr>
          <w:rFonts w:ascii="Times New Roman" w:eastAsia="Times New Roman" w:hAnsi="Times New Roman"/>
          <w:sz w:val="28"/>
          <w:szCs w:val="24"/>
          <w:lang w:eastAsia="ru-RU"/>
        </w:rPr>
        <w:t>I</w:t>
      </w:r>
      <w:r w:rsidRPr="006A2EAB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-4269). Відповідно до цього принципу закон, як нормативно-правовий акт, що регулює найбільш важливі суспільні відносини, повинен бути внутрішньо узгодженим, мати </w:t>
      </w:r>
      <w:proofErr w:type="spellStart"/>
      <w:r w:rsidRPr="006A2EAB">
        <w:rPr>
          <w:rFonts w:ascii="Times New Roman" w:eastAsia="Times New Roman" w:hAnsi="Times New Roman"/>
          <w:sz w:val="28"/>
          <w:szCs w:val="24"/>
          <w:lang w:val="uk-UA" w:eastAsia="ru-RU"/>
        </w:rPr>
        <w:t>логічно</w:t>
      </w:r>
      <w:proofErr w:type="spellEnd"/>
      <w:r w:rsidRPr="006A2EAB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побудовану структуру.</w:t>
      </w:r>
      <w:r w:rsidRPr="006A2EAB">
        <w:rPr>
          <w:rFonts w:ascii="Times New Roman" w:eastAsia="Times New Roman" w:hAnsi="Times New Roman"/>
          <w:kern w:val="2"/>
          <w:sz w:val="28"/>
          <w:szCs w:val="24"/>
          <w:lang w:val="uk-UA" w:eastAsia="ru-RU"/>
        </w:rPr>
        <w:t xml:space="preserve"> Також принцип правової визначеності вимагає чіткості, зрозумілості й однозначності правових норм, їх передбачуваності і стабільності.</w:t>
      </w:r>
    </w:p>
    <w:p w:rsidR="006A2EAB" w:rsidRPr="006A2EAB" w:rsidRDefault="006A2EAB" w:rsidP="006A2EAB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A2EAB" w:rsidRPr="006A2EAB" w:rsidRDefault="006A2EAB" w:rsidP="006A2EAB">
      <w:pPr>
        <w:spacing w:before="160"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6A2EAB">
        <w:rPr>
          <w:rFonts w:ascii="Times New Roman" w:eastAsia="Verdana" w:hAnsi="Times New Roman"/>
          <w:b/>
          <w:bCs/>
          <w:sz w:val="28"/>
          <w:szCs w:val="24"/>
          <w:lang w:val="uk-UA" w:eastAsia="ru-RU"/>
        </w:rPr>
        <w:t xml:space="preserve">4. </w:t>
      </w:r>
      <w:r w:rsidRPr="006A2EAB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Висновок Комітету з питань інтеграції України з Європейським Союзом. </w:t>
      </w:r>
    </w:p>
    <w:p w:rsidR="006A2EAB" w:rsidRPr="006A2EAB" w:rsidRDefault="006A2EAB" w:rsidP="006A2EAB">
      <w:pPr>
        <w:spacing w:after="0" w:line="100" w:lineRule="atLeast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6A2EAB">
        <w:rPr>
          <w:rFonts w:ascii="Times New Roman" w:eastAsia="Times New Roman" w:hAnsi="Times New Roman"/>
          <w:kern w:val="1"/>
          <w:sz w:val="28"/>
          <w:szCs w:val="24"/>
          <w:lang w:val="uk-UA" w:eastAsia="ru-RU"/>
        </w:rPr>
        <w:t xml:space="preserve">Проект Закону у частині </w:t>
      </w:r>
      <w:r w:rsidRPr="006A2EA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здійснення медичної та фармацевтичної діяльності особами, які пройшли медичну та фармацевтичну підготовку в навчальних закладах іноземних країн</w:t>
      </w:r>
      <w:r w:rsidRPr="006A2EAB">
        <w:rPr>
          <w:rFonts w:ascii="Times New Roman" w:eastAsia="Times New Roman" w:hAnsi="Times New Roman"/>
          <w:kern w:val="1"/>
          <w:sz w:val="28"/>
          <w:szCs w:val="24"/>
          <w:lang w:val="uk-UA" w:eastAsia="ru-RU"/>
        </w:rPr>
        <w:t xml:space="preserve"> не суперечить </w:t>
      </w:r>
      <w:r w:rsidRPr="006A2EA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статті 21 Директиви 2005/36/ЄС, в</w:t>
      </w:r>
      <w:r w:rsidRPr="006A2EAB">
        <w:rPr>
          <w:rFonts w:ascii="Times New Roman" w:eastAsia="Times New Roman" w:hAnsi="Times New Roman"/>
          <w:kern w:val="1"/>
          <w:sz w:val="28"/>
          <w:szCs w:val="24"/>
          <w:lang w:val="uk-UA" w:eastAsia="ru-RU"/>
        </w:rPr>
        <w:t>одночас, положення законопроекту, згідно з якими незалежні і непідзвітні жодному державному органу самоврядні організації наділяються повноваженнями органів державної влади, не відповідають</w:t>
      </w:r>
      <w:r w:rsidR="00417327">
        <w:rPr>
          <w:rFonts w:ascii="Times New Roman" w:eastAsia="Times New Roman" w:hAnsi="Times New Roman"/>
          <w:kern w:val="2"/>
          <w:sz w:val="28"/>
          <w:szCs w:val="24"/>
          <w:lang w:val="uk-UA" w:eastAsia="ru-RU"/>
        </w:rPr>
        <w:t xml:space="preserve"> принцип</w:t>
      </w:r>
      <w:r w:rsidR="00C629C1">
        <w:rPr>
          <w:rFonts w:ascii="Times New Roman" w:eastAsia="Times New Roman" w:hAnsi="Times New Roman"/>
          <w:kern w:val="2"/>
          <w:sz w:val="28"/>
          <w:szCs w:val="24"/>
          <w:lang w:val="uk-UA" w:eastAsia="ru-RU"/>
        </w:rPr>
        <w:t xml:space="preserve">ам верховенства права – </w:t>
      </w:r>
      <w:r w:rsidR="00417327">
        <w:rPr>
          <w:rFonts w:ascii="Times New Roman" w:eastAsia="Times New Roman" w:hAnsi="Times New Roman"/>
          <w:kern w:val="2"/>
          <w:sz w:val="28"/>
          <w:szCs w:val="24"/>
          <w:lang w:val="uk-UA" w:eastAsia="ru-RU"/>
        </w:rPr>
        <w:t>зокрема</w:t>
      </w:r>
      <w:r w:rsidR="00C629C1">
        <w:rPr>
          <w:rFonts w:ascii="Times New Roman" w:eastAsia="Times New Roman" w:hAnsi="Times New Roman"/>
          <w:kern w:val="2"/>
          <w:sz w:val="28"/>
          <w:szCs w:val="24"/>
          <w:lang w:val="uk-UA" w:eastAsia="ru-RU"/>
        </w:rPr>
        <w:t>,</w:t>
      </w:r>
      <w:r w:rsidRPr="006A2EAB">
        <w:rPr>
          <w:rFonts w:ascii="Times New Roman" w:eastAsia="Times New Roman" w:hAnsi="Times New Roman"/>
          <w:kern w:val="2"/>
          <w:sz w:val="28"/>
          <w:szCs w:val="24"/>
          <w:lang w:val="uk-UA" w:eastAsia="ru-RU"/>
        </w:rPr>
        <w:t xml:space="preserve"> принципу правової визначеності, який вимагає чіткості, зрозумілості й однозначності правових норм, їх </w:t>
      </w:r>
      <w:r w:rsidR="00010E12">
        <w:rPr>
          <w:rFonts w:ascii="Times New Roman" w:eastAsia="Times New Roman" w:hAnsi="Times New Roman"/>
          <w:kern w:val="2"/>
          <w:sz w:val="28"/>
          <w:szCs w:val="24"/>
          <w:lang w:val="uk-UA" w:eastAsia="ru-RU"/>
        </w:rPr>
        <w:t xml:space="preserve">передбачуваності і стабільності, а також не відповідає </w:t>
      </w:r>
      <w:r w:rsidR="00A34E52">
        <w:rPr>
          <w:rFonts w:ascii="Times New Roman" w:eastAsia="Times New Roman" w:hAnsi="Times New Roman"/>
          <w:kern w:val="2"/>
          <w:sz w:val="28"/>
          <w:szCs w:val="24"/>
          <w:lang w:val="uk-UA" w:eastAsia="ru-RU"/>
        </w:rPr>
        <w:t xml:space="preserve">принципу </w:t>
      </w:r>
      <w:bookmarkStart w:id="6" w:name="_GoBack"/>
      <w:bookmarkEnd w:id="6"/>
      <w:r w:rsidR="00010E12" w:rsidRPr="006A2EAB">
        <w:rPr>
          <w:rFonts w:ascii="Times New Roman" w:eastAsia="Times New Roman" w:hAnsi="Times New Roman"/>
          <w:kern w:val="2"/>
          <w:sz w:val="28"/>
          <w:szCs w:val="24"/>
          <w:lang w:val="uk-UA" w:eastAsia="ru-RU"/>
        </w:rPr>
        <w:t>роз</w:t>
      </w:r>
      <w:r w:rsidR="00010E12">
        <w:rPr>
          <w:rFonts w:ascii="Times New Roman" w:eastAsia="Times New Roman" w:hAnsi="Times New Roman"/>
          <w:kern w:val="2"/>
          <w:sz w:val="28"/>
          <w:szCs w:val="24"/>
          <w:lang w:val="uk-UA" w:eastAsia="ru-RU"/>
        </w:rPr>
        <w:t>поділу</w:t>
      </w:r>
      <w:r w:rsidR="00010E12" w:rsidRPr="006A2EAB">
        <w:rPr>
          <w:rFonts w:ascii="Times New Roman" w:eastAsia="Times New Roman" w:hAnsi="Times New Roman"/>
          <w:kern w:val="2"/>
          <w:sz w:val="28"/>
          <w:szCs w:val="24"/>
          <w:lang w:val="uk-UA" w:eastAsia="ru-RU"/>
        </w:rPr>
        <w:t xml:space="preserve"> повноважень між гілками влади</w:t>
      </w:r>
      <w:r w:rsidR="00010E12">
        <w:rPr>
          <w:rFonts w:ascii="Times New Roman" w:eastAsia="Times New Roman" w:hAnsi="Times New Roman"/>
          <w:kern w:val="2"/>
          <w:sz w:val="28"/>
          <w:szCs w:val="24"/>
          <w:lang w:val="uk-UA" w:eastAsia="ru-RU"/>
        </w:rPr>
        <w:t>.</w:t>
      </w:r>
      <w:r w:rsidRPr="006A2EAB">
        <w:rPr>
          <w:rFonts w:ascii="Times New Roman" w:eastAsia="Times New Roman" w:hAnsi="Times New Roman"/>
          <w:kern w:val="2"/>
          <w:sz w:val="28"/>
          <w:szCs w:val="24"/>
          <w:lang w:val="uk-UA" w:eastAsia="ru-RU"/>
        </w:rPr>
        <w:t xml:space="preserve"> Тому законопроект </w:t>
      </w:r>
      <w:r w:rsidRPr="006A2EAB">
        <w:rPr>
          <w:rFonts w:ascii="Times New Roman" w:eastAsia="Times New Roman" w:hAnsi="Times New Roman"/>
          <w:kern w:val="1"/>
          <w:sz w:val="28"/>
          <w:szCs w:val="24"/>
          <w:lang w:val="uk-UA" w:eastAsia="ru-RU"/>
        </w:rPr>
        <w:t xml:space="preserve">потребує суттєвого доопрацювання з метою дотримання принципу верховенства права та врахування найкращих практик держав-членів ЄС. </w:t>
      </w:r>
    </w:p>
    <w:p w:rsidR="006A2EAB" w:rsidRPr="006A2EAB" w:rsidRDefault="006A2EAB" w:rsidP="006A2EAB">
      <w:pPr>
        <w:spacing w:after="0" w:line="240" w:lineRule="auto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A7635E" w:rsidRPr="00A01D30" w:rsidRDefault="00A7635E" w:rsidP="00A01D30">
      <w:pPr>
        <w:rPr>
          <w:lang w:val="uk-UA"/>
        </w:rPr>
      </w:pPr>
    </w:p>
    <w:sectPr w:rsidR="00A7635E" w:rsidRPr="00A01D30" w:rsidSect="001E4421">
      <w:headerReference w:type="default" r:id="rId8"/>
      <w:headerReference w:type="first" r:id="rId9"/>
      <w:pgSz w:w="11906" w:h="16838"/>
      <w:pgMar w:top="1134" w:right="851" w:bottom="993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CE9" w:rsidRDefault="00215CE9" w:rsidP="005E306B">
      <w:pPr>
        <w:spacing w:after="0" w:line="240" w:lineRule="auto"/>
      </w:pPr>
      <w:r>
        <w:separator/>
      </w:r>
    </w:p>
  </w:endnote>
  <w:endnote w:type="continuationSeparator" w:id="0">
    <w:p w:rsidR="00215CE9" w:rsidRDefault="00215CE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CE9" w:rsidRDefault="00215CE9" w:rsidP="005E306B">
      <w:pPr>
        <w:spacing w:after="0" w:line="240" w:lineRule="auto"/>
      </w:pPr>
      <w:r>
        <w:separator/>
      </w:r>
    </w:p>
  </w:footnote>
  <w:footnote w:type="continuationSeparator" w:id="0">
    <w:p w:rsidR="00215CE9" w:rsidRDefault="00215CE9" w:rsidP="005E306B">
      <w:pPr>
        <w:spacing w:after="0" w:line="240" w:lineRule="auto"/>
      </w:pPr>
      <w:r>
        <w:continuationSeparator/>
      </w:r>
    </w:p>
  </w:footnote>
  <w:footnote w:id="1">
    <w:p w:rsidR="006A2EAB" w:rsidRDefault="006A2EAB" w:rsidP="006A2EAB">
      <w:pPr>
        <w:pStyle w:val="ab"/>
        <w:ind w:left="2" w:hanging="2"/>
        <w:rPr>
          <w:lang w:val="en-US"/>
        </w:rPr>
      </w:pPr>
      <w:r>
        <w:rPr>
          <w:rStyle w:val="ad"/>
        </w:rPr>
        <w:footnoteRef/>
      </w:r>
      <w:r>
        <w:t xml:space="preserve"> </w:t>
      </w:r>
      <w:r w:rsidRPr="00D51198">
        <w:rPr>
          <w:sz w:val="21"/>
          <w:szCs w:val="21"/>
          <w:shd w:val="clear" w:color="auto" w:fill="FFFFFF"/>
          <w:lang w:val="en-US"/>
        </w:rPr>
        <w:t xml:space="preserve">Kovacs E, Schmidt AE, </w:t>
      </w:r>
      <w:proofErr w:type="spellStart"/>
      <w:r w:rsidRPr="00D51198">
        <w:rPr>
          <w:sz w:val="21"/>
          <w:szCs w:val="21"/>
          <w:shd w:val="clear" w:color="auto" w:fill="FFFFFF"/>
          <w:lang w:val="en-US"/>
        </w:rPr>
        <w:t>Szocska</w:t>
      </w:r>
      <w:proofErr w:type="spellEnd"/>
      <w:r w:rsidRPr="00D51198">
        <w:rPr>
          <w:sz w:val="21"/>
          <w:szCs w:val="21"/>
          <w:shd w:val="clear" w:color="auto" w:fill="FFFFFF"/>
          <w:lang w:val="en-US"/>
        </w:rPr>
        <w:t xml:space="preserve"> G, et al. Licensing procedures and registration of medical doctors in the European Union. Clinical Medicine (London, England). 2014 Jun</w:t>
      </w:r>
      <w:proofErr w:type="gramStart"/>
      <w:r w:rsidRPr="00D51198">
        <w:rPr>
          <w:sz w:val="21"/>
          <w:szCs w:val="21"/>
          <w:shd w:val="clear" w:color="auto" w:fill="FFFFFF"/>
          <w:lang w:val="en-US"/>
        </w:rPr>
        <w:t>;14</w:t>
      </w:r>
      <w:proofErr w:type="gramEnd"/>
      <w:r w:rsidRPr="00D51198">
        <w:rPr>
          <w:sz w:val="21"/>
          <w:szCs w:val="21"/>
          <w:shd w:val="clear" w:color="auto" w:fill="FFFFFF"/>
          <w:lang w:val="en-US"/>
        </w:rPr>
        <w:t>(3):229-238. DOI: 10.7861/clinmedicine.14-3-229.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caps w:val="0"/>
        <w:smallCaps w:val="0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1D27225"/>
    <w:multiLevelType w:val="hybridMultilevel"/>
    <w:tmpl w:val="AC2C8E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2894555"/>
    <w:multiLevelType w:val="hybridMultilevel"/>
    <w:tmpl w:val="1B0C0716"/>
    <w:lvl w:ilvl="0" w:tplc="0E94C8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C24C49"/>
    <w:multiLevelType w:val="hybridMultilevel"/>
    <w:tmpl w:val="C2E691EC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3D3724C"/>
    <w:multiLevelType w:val="hybridMultilevel"/>
    <w:tmpl w:val="5AC006D2"/>
    <w:lvl w:ilvl="0" w:tplc="F5242D4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3CC26D4"/>
    <w:multiLevelType w:val="hybridMultilevel"/>
    <w:tmpl w:val="88441A6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7B942F2"/>
    <w:multiLevelType w:val="singleLevel"/>
    <w:tmpl w:val="C4ACAB3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  <w:b/>
        <w:bCs/>
      </w:rPr>
    </w:lvl>
  </w:abstractNum>
  <w:abstractNum w:abstractNumId="8" w15:restartNumberingAfterBreak="0">
    <w:nsid w:val="77FD70B6"/>
    <w:multiLevelType w:val="hybridMultilevel"/>
    <w:tmpl w:val="8828E1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0B07"/>
    <w:rsid w:val="00010E12"/>
    <w:rsid w:val="000163C3"/>
    <w:rsid w:val="000F1586"/>
    <w:rsid w:val="001113C3"/>
    <w:rsid w:val="00126B7B"/>
    <w:rsid w:val="00141617"/>
    <w:rsid w:val="0019108F"/>
    <w:rsid w:val="001966F0"/>
    <w:rsid w:val="001B36A3"/>
    <w:rsid w:val="001D3C24"/>
    <w:rsid w:val="001E4421"/>
    <w:rsid w:val="00202AD5"/>
    <w:rsid w:val="0021032F"/>
    <w:rsid w:val="00215CE9"/>
    <w:rsid w:val="00235CD7"/>
    <w:rsid w:val="002A5D4C"/>
    <w:rsid w:val="002B5FC1"/>
    <w:rsid w:val="002C1239"/>
    <w:rsid w:val="002D0561"/>
    <w:rsid w:val="002E0A18"/>
    <w:rsid w:val="002E31BF"/>
    <w:rsid w:val="002E44DA"/>
    <w:rsid w:val="00315A50"/>
    <w:rsid w:val="00361D7D"/>
    <w:rsid w:val="003D0996"/>
    <w:rsid w:val="003D1CBA"/>
    <w:rsid w:val="00417327"/>
    <w:rsid w:val="00451750"/>
    <w:rsid w:val="00467C02"/>
    <w:rsid w:val="004852FA"/>
    <w:rsid w:val="004922D1"/>
    <w:rsid w:val="004A0F33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1E93"/>
    <w:rsid w:val="00626A3E"/>
    <w:rsid w:val="00641FBC"/>
    <w:rsid w:val="00660B13"/>
    <w:rsid w:val="0066623D"/>
    <w:rsid w:val="006704A8"/>
    <w:rsid w:val="006A2EAB"/>
    <w:rsid w:val="006F10E8"/>
    <w:rsid w:val="00713E93"/>
    <w:rsid w:val="0073224C"/>
    <w:rsid w:val="0075224D"/>
    <w:rsid w:val="0077224D"/>
    <w:rsid w:val="007A0252"/>
    <w:rsid w:val="007F5D91"/>
    <w:rsid w:val="0080545D"/>
    <w:rsid w:val="0082685D"/>
    <w:rsid w:val="0084269F"/>
    <w:rsid w:val="008514AD"/>
    <w:rsid w:val="008847CD"/>
    <w:rsid w:val="00934613"/>
    <w:rsid w:val="00940DAA"/>
    <w:rsid w:val="00945B68"/>
    <w:rsid w:val="00957D31"/>
    <w:rsid w:val="009865D4"/>
    <w:rsid w:val="009A720A"/>
    <w:rsid w:val="009B2C7C"/>
    <w:rsid w:val="00A00059"/>
    <w:rsid w:val="00A01D30"/>
    <w:rsid w:val="00A34E52"/>
    <w:rsid w:val="00A36AD9"/>
    <w:rsid w:val="00A456DC"/>
    <w:rsid w:val="00A60747"/>
    <w:rsid w:val="00A7635E"/>
    <w:rsid w:val="00A76A60"/>
    <w:rsid w:val="00A833C8"/>
    <w:rsid w:val="00A93B08"/>
    <w:rsid w:val="00AA165C"/>
    <w:rsid w:val="00AD7F82"/>
    <w:rsid w:val="00B311E8"/>
    <w:rsid w:val="00B55DE0"/>
    <w:rsid w:val="00B74DD2"/>
    <w:rsid w:val="00BB1827"/>
    <w:rsid w:val="00BD0801"/>
    <w:rsid w:val="00BF1E95"/>
    <w:rsid w:val="00C0724F"/>
    <w:rsid w:val="00C11FB6"/>
    <w:rsid w:val="00C27AE9"/>
    <w:rsid w:val="00C629C1"/>
    <w:rsid w:val="00C66409"/>
    <w:rsid w:val="00C86266"/>
    <w:rsid w:val="00CA280F"/>
    <w:rsid w:val="00CA7044"/>
    <w:rsid w:val="00CC39A1"/>
    <w:rsid w:val="00CD4A38"/>
    <w:rsid w:val="00CE3E1B"/>
    <w:rsid w:val="00CE6A4B"/>
    <w:rsid w:val="00D22048"/>
    <w:rsid w:val="00D242C2"/>
    <w:rsid w:val="00D37FA2"/>
    <w:rsid w:val="00D43421"/>
    <w:rsid w:val="00D44D60"/>
    <w:rsid w:val="00D52549"/>
    <w:rsid w:val="00D57E1B"/>
    <w:rsid w:val="00DF0115"/>
    <w:rsid w:val="00E7025B"/>
    <w:rsid w:val="00E870BB"/>
    <w:rsid w:val="00F02C3C"/>
    <w:rsid w:val="00F3499E"/>
    <w:rsid w:val="00F55423"/>
    <w:rsid w:val="00F91DD3"/>
    <w:rsid w:val="00F92EB4"/>
    <w:rsid w:val="00F9602C"/>
    <w:rsid w:val="00FC3DF4"/>
    <w:rsid w:val="00FD3375"/>
    <w:rsid w:val="00FE131B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F992C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1B36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footnote text"/>
    <w:basedOn w:val="a"/>
    <w:link w:val="ac"/>
    <w:rsid w:val="00D44D60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Текст виноски Знак"/>
    <w:basedOn w:val="a0"/>
    <w:link w:val="ab"/>
    <w:rsid w:val="00D44D60"/>
    <w:rPr>
      <w:rFonts w:ascii="Times New Roman" w:eastAsia="Times New Roman" w:hAnsi="Times New Roman"/>
      <w:sz w:val="20"/>
      <w:szCs w:val="20"/>
      <w:lang w:val="uk-UA" w:eastAsia="ru-RU"/>
    </w:rPr>
  </w:style>
  <w:style w:type="character" w:styleId="ad">
    <w:name w:val="footnote reference"/>
    <w:basedOn w:val="a0"/>
    <w:uiPriority w:val="99"/>
    <w:rsid w:val="00D44D60"/>
    <w:rPr>
      <w:vertAlign w:val="superscript"/>
    </w:rPr>
  </w:style>
  <w:style w:type="paragraph" w:customStyle="1" w:styleId="1">
    <w:name w:val="Абзац списку1"/>
    <w:basedOn w:val="a"/>
    <w:qFormat/>
    <w:rsid w:val="00D44D60"/>
    <w:pPr>
      <w:spacing w:after="200" w:line="276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D44D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D44D60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rvps2">
    <w:name w:val="rvps2"/>
    <w:basedOn w:val="a"/>
    <w:uiPriority w:val="99"/>
    <w:rsid w:val="001E44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link w:val="af"/>
    <w:uiPriority w:val="34"/>
    <w:qFormat/>
    <w:rsid w:val="001E442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styleId="af0">
    <w:name w:val="Emphasis"/>
    <w:basedOn w:val="a0"/>
    <w:uiPriority w:val="99"/>
    <w:qFormat/>
    <w:locked/>
    <w:rsid w:val="001E4421"/>
    <w:rPr>
      <w:i/>
      <w:iCs/>
    </w:rPr>
  </w:style>
  <w:style w:type="character" w:customStyle="1" w:styleId="st">
    <w:name w:val="st"/>
    <w:basedOn w:val="a0"/>
    <w:rsid w:val="001E4421"/>
  </w:style>
  <w:style w:type="character" w:customStyle="1" w:styleId="30">
    <w:name w:val="Заголовок 3 Знак"/>
    <w:basedOn w:val="a0"/>
    <w:link w:val="3"/>
    <w:uiPriority w:val="9"/>
    <w:rsid w:val="001B36A3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1B36A3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31">
    <w:name w:val="Body Text Indent 3"/>
    <w:basedOn w:val="a"/>
    <w:link w:val="32"/>
    <w:uiPriority w:val="99"/>
    <w:unhideWhenUsed/>
    <w:rsid w:val="001B36A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1B36A3"/>
    <w:rPr>
      <w:rFonts w:ascii="Times New Roman" w:eastAsia="Times New Roman" w:hAnsi="Times New Roman"/>
      <w:sz w:val="16"/>
      <w:szCs w:val="16"/>
      <w:lang w:val="uk-UA" w:eastAsia="ru-RU"/>
    </w:rPr>
  </w:style>
  <w:style w:type="paragraph" w:customStyle="1" w:styleId="af1">
    <w:name w:val="Нормальний текст"/>
    <w:basedOn w:val="a"/>
    <w:rsid w:val="00126B7B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character" w:customStyle="1" w:styleId="rvts9">
    <w:name w:val="rvts9"/>
    <w:basedOn w:val="a0"/>
    <w:rsid w:val="00126B7B"/>
  </w:style>
  <w:style w:type="character" w:customStyle="1" w:styleId="rvts11">
    <w:name w:val="rvts11"/>
    <w:basedOn w:val="a0"/>
    <w:rsid w:val="00126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DE3DA-F922-42EA-9706-A9512DE1D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3700</Words>
  <Characters>2110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5</cp:revision>
  <cp:lastPrinted>2020-11-02T10:32:00Z</cp:lastPrinted>
  <dcterms:created xsi:type="dcterms:W3CDTF">2020-11-02T10:13:00Z</dcterms:created>
  <dcterms:modified xsi:type="dcterms:W3CDTF">2020-11-02T11:44:00Z</dcterms:modified>
</cp:coreProperties>
</file>