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844" w:rsidRPr="00E12F68" w:rsidRDefault="00DC5844" w:rsidP="009D13DD">
      <w:pPr>
        <w:jc w:val="both"/>
        <w:rPr>
          <w:b/>
          <w:i/>
          <w:sz w:val="28"/>
          <w:szCs w:val="28"/>
        </w:rPr>
      </w:pPr>
    </w:p>
    <w:p w:rsidR="009D13DD" w:rsidRPr="00E12F68" w:rsidRDefault="009D13DD" w:rsidP="009D13DD">
      <w:pPr>
        <w:jc w:val="both"/>
        <w:rPr>
          <w:b/>
          <w:i/>
          <w:sz w:val="28"/>
          <w:szCs w:val="28"/>
        </w:rPr>
      </w:pPr>
    </w:p>
    <w:p w:rsidR="009D13DD" w:rsidRPr="00E12F68" w:rsidRDefault="009D13DD" w:rsidP="009D13DD">
      <w:pPr>
        <w:jc w:val="both"/>
        <w:rPr>
          <w:b/>
          <w:i/>
          <w:sz w:val="28"/>
          <w:szCs w:val="28"/>
        </w:rPr>
      </w:pPr>
    </w:p>
    <w:p w:rsidR="009D13DD" w:rsidRPr="00E12F68" w:rsidRDefault="009D13DD" w:rsidP="009D13DD">
      <w:pPr>
        <w:jc w:val="both"/>
        <w:rPr>
          <w:b/>
          <w:i/>
          <w:sz w:val="28"/>
          <w:szCs w:val="28"/>
        </w:rPr>
      </w:pPr>
    </w:p>
    <w:p w:rsidR="00EE28F5" w:rsidRPr="00E12F68" w:rsidRDefault="00EE28F5" w:rsidP="009D13DD">
      <w:pPr>
        <w:jc w:val="center"/>
        <w:rPr>
          <w:b/>
          <w:sz w:val="28"/>
          <w:szCs w:val="28"/>
        </w:rPr>
      </w:pPr>
    </w:p>
    <w:p w:rsidR="00EE28F5" w:rsidRDefault="00EE28F5" w:rsidP="009D13DD">
      <w:pPr>
        <w:jc w:val="center"/>
        <w:rPr>
          <w:b/>
          <w:sz w:val="28"/>
          <w:szCs w:val="28"/>
        </w:rPr>
      </w:pPr>
    </w:p>
    <w:p w:rsidR="008306FA" w:rsidRDefault="008306FA" w:rsidP="009D13DD">
      <w:pPr>
        <w:jc w:val="center"/>
        <w:rPr>
          <w:b/>
          <w:sz w:val="28"/>
          <w:szCs w:val="28"/>
        </w:rPr>
      </w:pPr>
    </w:p>
    <w:p w:rsidR="00EE28F5" w:rsidRPr="00D42EAE" w:rsidRDefault="00EE28F5" w:rsidP="009D13DD">
      <w:pPr>
        <w:jc w:val="center"/>
        <w:rPr>
          <w:b/>
          <w:sz w:val="28"/>
          <w:szCs w:val="28"/>
        </w:rPr>
      </w:pPr>
    </w:p>
    <w:p w:rsidR="009D13DD" w:rsidRPr="00D42EAE" w:rsidRDefault="009D13DD" w:rsidP="009D13DD">
      <w:pPr>
        <w:jc w:val="center"/>
        <w:rPr>
          <w:b/>
          <w:sz w:val="28"/>
          <w:szCs w:val="28"/>
        </w:rPr>
      </w:pPr>
      <w:r w:rsidRPr="00D42EAE">
        <w:rPr>
          <w:b/>
          <w:sz w:val="28"/>
          <w:szCs w:val="28"/>
        </w:rPr>
        <w:t xml:space="preserve">ВИСНОВОК </w:t>
      </w:r>
    </w:p>
    <w:p w:rsidR="00EE28F5" w:rsidRPr="00D42EAE" w:rsidRDefault="00EE28F5" w:rsidP="009D13DD">
      <w:pPr>
        <w:pStyle w:val="a5"/>
        <w:spacing w:before="0" w:after="0"/>
        <w:rPr>
          <w:rFonts w:ascii="Times New Roman" w:hAnsi="Times New Roman"/>
          <w:sz w:val="28"/>
          <w:szCs w:val="28"/>
        </w:rPr>
      </w:pPr>
      <w:r w:rsidRPr="00D42EAE">
        <w:rPr>
          <w:rFonts w:ascii="Times New Roman" w:hAnsi="Times New Roman"/>
          <w:sz w:val="28"/>
          <w:szCs w:val="28"/>
        </w:rPr>
        <w:t>н</w:t>
      </w:r>
      <w:r w:rsidR="009D13DD" w:rsidRPr="00D42EAE">
        <w:rPr>
          <w:rFonts w:ascii="Times New Roman" w:hAnsi="Times New Roman"/>
          <w:sz w:val="28"/>
          <w:szCs w:val="28"/>
        </w:rPr>
        <w:t xml:space="preserve">а проект Закону України «Про внесення змін до Закону України </w:t>
      </w:r>
      <w:r w:rsidRPr="00D42EAE">
        <w:rPr>
          <w:rFonts w:ascii="Times New Roman" w:hAnsi="Times New Roman"/>
          <w:sz w:val="28"/>
          <w:szCs w:val="28"/>
        </w:rPr>
        <w:br/>
      </w:r>
      <w:r w:rsidR="009D13DD" w:rsidRPr="00D42EAE">
        <w:rPr>
          <w:rFonts w:ascii="Times New Roman" w:hAnsi="Times New Roman"/>
          <w:sz w:val="28"/>
          <w:szCs w:val="28"/>
        </w:rPr>
        <w:t xml:space="preserve">«Про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щодо забезпечення </w:t>
      </w:r>
    </w:p>
    <w:p w:rsidR="009D13DD" w:rsidRPr="00D42EAE" w:rsidRDefault="009D13DD" w:rsidP="009D13DD">
      <w:pPr>
        <w:pStyle w:val="a5"/>
        <w:spacing w:before="0" w:after="0"/>
        <w:rPr>
          <w:rFonts w:ascii="Times New Roman" w:hAnsi="Times New Roman"/>
          <w:sz w:val="28"/>
          <w:szCs w:val="28"/>
        </w:rPr>
      </w:pPr>
      <w:r w:rsidRPr="00D42EAE">
        <w:rPr>
          <w:rFonts w:ascii="Times New Roman" w:hAnsi="Times New Roman"/>
          <w:sz w:val="28"/>
          <w:szCs w:val="28"/>
        </w:rPr>
        <w:t>ефективного функціонування експортно-кредитного агентства»</w:t>
      </w:r>
    </w:p>
    <w:p w:rsidR="009D13DD" w:rsidRPr="00D42EAE" w:rsidRDefault="009D13DD" w:rsidP="009D13DD">
      <w:pPr>
        <w:jc w:val="both"/>
        <w:rPr>
          <w:b/>
          <w:i/>
          <w:sz w:val="28"/>
          <w:szCs w:val="28"/>
        </w:rPr>
      </w:pPr>
    </w:p>
    <w:p w:rsidR="0061460C" w:rsidRPr="00D42EAE" w:rsidRDefault="00DC46F6" w:rsidP="0061460C">
      <w:pPr>
        <w:pStyle w:val="HTML"/>
        <w:shd w:val="clear" w:color="auto" w:fill="FFFFFF"/>
        <w:tabs>
          <w:tab w:val="clear" w:pos="916"/>
          <w:tab w:val="left" w:pos="709"/>
        </w:tabs>
        <w:ind w:firstLine="660"/>
        <w:jc w:val="both"/>
        <w:textAlignment w:val="baseline"/>
        <w:rPr>
          <w:rFonts w:ascii="Times New Roman" w:hAnsi="Times New Roman" w:cs="Times New Roman"/>
          <w:sz w:val="28"/>
          <w:szCs w:val="28"/>
        </w:rPr>
      </w:pPr>
      <w:r w:rsidRPr="00D42EAE">
        <w:rPr>
          <w:rFonts w:ascii="Times New Roman" w:hAnsi="Times New Roman" w:cs="Times New Roman"/>
          <w:sz w:val="28"/>
          <w:szCs w:val="28"/>
        </w:rPr>
        <w:t xml:space="preserve">У законопроекті шляхом внесення змін до Закону України </w:t>
      </w:r>
      <w:r w:rsidR="00C56252" w:rsidRPr="00D42EAE">
        <w:rPr>
          <w:rFonts w:ascii="Times New Roman" w:hAnsi="Times New Roman" w:cs="Times New Roman"/>
          <w:sz w:val="28"/>
          <w:szCs w:val="28"/>
        </w:rPr>
        <w:br/>
      </w:r>
      <w:r w:rsidRPr="00D42EAE">
        <w:rPr>
          <w:rFonts w:ascii="Times New Roman" w:hAnsi="Times New Roman" w:cs="Times New Roman"/>
          <w:sz w:val="28"/>
          <w:szCs w:val="28"/>
        </w:rPr>
        <w:t>«Про забезпечення масштабної експансії експорту товарів (робіт, послуг) українського походження шляхом страхування, гарантування та зде</w:t>
      </w:r>
      <w:r w:rsidR="005F43A9" w:rsidRPr="00D42EAE">
        <w:rPr>
          <w:rFonts w:ascii="Times New Roman" w:hAnsi="Times New Roman" w:cs="Times New Roman"/>
          <w:sz w:val="28"/>
          <w:szCs w:val="28"/>
        </w:rPr>
        <w:t xml:space="preserve">шевлення кредитування експорту» (далі – Закон) </w:t>
      </w:r>
      <w:r w:rsidR="0061460C" w:rsidRPr="00D42EAE">
        <w:rPr>
          <w:rFonts w:ascii="Times New Roman" w:hAnsi="Times New Roman" w:cs="Times New Roman"/>
          <w:sz w:val="28"/>
          <w:szCs w:val="28"/>
        </w:rPr>
        <w:t>пропонується</w:t>
      </w:r>
      <w:r w:rsidR="00B83EC3" w:rsidRPr="00D42EAE">
        <w:rPr>
          <w:rFonts w:ascii="Times New Roman" w:hAnsi="Times New Roman" w:cs="Times New Roman"/>
          <w:sz w:val="28"/>
          <w:szCs w:val="28"/>
        </w:rPr>
        <w:t>, зокрема:</w:t>
      </w:r>
      <w:r w:rsidR="00AB7F5F" w:rsidRPr="00D42EAE">
        <w:rPr>
          <w:rFonts w:ascii="Times New Roman" w:hAnsi="Times New Roman" w:cs="Times New Roman"/>
          <w:sz w:val="28"/>
          <w:szCs w:val="28"/>
        </w:rPr>
        <w:t xml:space="preserve"> </w:t>
      </w:r>
      <w:r w:rsidR="00D75EE5" w:rsidRPr="00D42EAE">
        <w:rPr>
          <w:rFonts w:ascii="Times New Roman" w:hAnsi="Times New Roman" w:cs="Times New Roman"/>
          <w:sz w:val="28"/>
          <w:szCs w:val="28"/>
        </w:rPr>
        <w:t xml:space="preserve">розширити </w:t>
      </w:r>
      <w:r w:rsidR="0061460C" w:rsidRPr="00D42EAE">
        <w:rPr>
          <w:rFonts w:ascii="Times New Roman" w:hAnsi="Times New Roman" w:cs="Times New Roman"/>
          <w:sz w:val="28"/>
          <w:szCs w:val="28"/>
        </w:rPr>
        <w:t xml:space="preserve">можливість Експортно-кредитного агентства (далі – ЕКА) здійснювати страхування та перестрахування експортного факторингу; привести норми Закону стосовно корпоративного управління ЕКА у відповідність із нормами Закону України «Про управління об’єктами державної власності»; передати право ініціативи до правління ЕКА, залишивши обов’язкове погодження наглядовою радою; збільшити розмір початкового статутного капіталу ЕКА до не менш як 2 млрд. грн., що формується за рахунок коштів державного бюджету; розширити сферу підтримки українського експорту; залишити лише один вид державної допомоги – державні гарантії для забезпечення виконання боргових зобов'язань ЕКА; забезпечити окремий облік відповідних цільових внесків та донорської допомоги; скасувати такий інструмент, як </w:t>
      </w:r>
      <w:proofErr w:type="spellStart"/>
      <w:r w:rsidR="0061460C" w:rsidRPr="00D42EAE">
        <w:rPr>
          <w:rFonts w:ascii="Times New Roman" w:hAnsi="Times New Roman" w:cs="Times New Roman"/>
          <w:sz w:val="28"/>
          <w:szCs w:val="28"/>
        </w:rPr>
        <w:t>сек’юритизаційна</w:t>
      </w:r>
      <w:proofErr w:type="spellEnd"/>
      <w:r w:rsidR="0061460C" w:rsidRPr="00D42EAE">
        <w:rPr>
          <w:rFonts w:ascii="Times New Roman" w:hAnsi="Times New Roman" w:cs="Times New Roman"/>
          <w:sz w:val="28"/>
          <w:szCs w:val="28"/>
        </w:rPr>
        <w:t xml:space="preserve"> гарантія; уточнити термінологію Закону, усунувши у ньому дублювання з іншими законодавчими актами</w:t>
      </w:r>
      <w:r w:rsidR="002E5702" w:rsidRPr="00D42EAE">
        <w:rPr>
          <w:rFonts w:ascii="Times New Roman" w:hAnsi="Times New Roman" w:cs="Times New Roman"/>
          <w:sz w:val="28"/>
          <w:szCs w:val="28"/>
        </w:rPr>
        <w:t>,</w:t>
      </w:r>
      <w:r w:rsidR="0061460C" w:rsidRPr="00D42EAE">
        <w:rPr>
          <w:rFonts w:ascii="Times New Roman" w:hAnsi="Times New Roman" w:cs="Times New Roman"/>
          <w:sz w:val="28"/>
          <w:szCs w:val="28"/>
        </w:rPr>
        <w:t xml:space="preserve"> тощо.</w:t>
      </w:r>
    </w:p>
    <w:p w:rsidR="00AB7F5F" w:rsidRPr="00D42EAE" w:rsidRDefault="00AB7F5F" w:rsidP="00AB7F5F">
      <w:pPr>
        <w:pStyle w:val="HTML"/>
        <w:shd w:val="clear" w:color="auto" w:fill="FFFFFF"/>
        <w:tabs>
          <w:tab w:val="clear" w:pos="916"/>
          <w:tab w:val="left" w:pos="709"/>
        </w:tabs>
        <w:ind w:firstLine="660"/>
        <w:jc w:val="both"/>
        <w:textAlignment w:val="baseline"/>
        <w:rPr>
          <w:rFonts w:ascii="Times New Roman" w:hAnsi="Times New Roman" w:cs="Times New Roman"/>
          <w:sz w:val="28"/>
          <w:szCs w:val="28"/>
        </w:rPr>
      </w:pPr>
      <w:r w:rsidRPr="00D42EAE">
        <w:rPr>
          <w:rFonts w:ascii="Times New Roman" w:hAnsi="Times New Roman" w:cs="Times New Roman"/>
          <w:sz w:val="28"/>
          <w:szCs w:val="28"/>
        </w:rPr>
        <w:t>Метою законопроекту, як зазначається у пояснювальній записці до нього</w:t>
      </w:r>
      <w:r w:rsidR="00C56252" w:rsidRPr="00D42EAE">
        <w:rPr>
          <w:rFonts w:ascii="Times New Roman" w:hAnsi="Times New Roman" w:cs="Times New Roman"/>
          <w:sz w:val="28"/>
          <w:szCs w:val="28"/>
        </w:rPr>
        <w:t>,</w:t>
      </w:r>
      <w:r w:rsidRPr="00D42EAE">
        <w:rPr>
          <w:rFonts w:ascii="Times New Roman" w:hAnsi="Times New Roman" w:cs="Times New Roman"/>
          <w:sz w:val="28"/>
          <w:szCs w:val="28"/>
        </w:rPr>
        <w:t xml:space="preserve">  є врегулювання питань діяльності </w:t>
      </w:r>
      <w:r w:rsidR="00C56252" w:rsidRPr="00D42EAE">
        <w:rPr>
          <w:rFonts w:ascii="Times New Roman" w:hAnsi="Times New Roman" w:cs="Times New Roman"/>
          <w:sz w:val="28"/>
          <w:szCs w:val="28"/>
        </w:rPr>
        <w:t>ЕКА,</w:t>
      </w:r>
      <w:r w:rsidRPr="00D42EAE">
        <w:rPr>
          <w:rFonts w:ascii="Times New Roman" w:hAnsi="Times New Roman" w:cs="Times New Roman"/>
          <w:sz w:val="28"/>
          <w:szCs w:val="28"/>
        </w:rPr>
        <w:t xml:space="preserve"> забезпечення </w:t>
      </w:r>
      <w:r w:rsidR="00C56252" w:rsidRPr="00D42EAE">
        <w:rPr>
          <w:rFonts w:ascii="Times New Roman" w:hAnsi="Times New Roman" w:cs="Times New Roman"/>
          <w:sz w:val="28"/>
          <w:szCs w:val="28"/>
        </w:rPr>
        <w:t xml:space="preserve">його </w:t>
      </w:r>
      <w:r w:rsidRPr="00D42EAE">
        <w:rPr>
          <w:rFonts w:ascii="Times New Roman" w:hAnsi="Times New Roman" w:cs="Times New Roman"/>
          <w:sz w:val="28"/>
          <w:szCs w:val="28"/>
        </w:rPr>
        <w:t>ефективного функціонування, надання стимулів для розвитку експорту.</w:t>
      </w:r>
    </w:p>
    <w:p w:rsidR="00CC3623" w:rsidRPr="00D42EAE" w:rsidRDefault="00AB7F5F" w:rsidP="00CC3623">
      <w:pPr>
        <w:pStyle w:val="HTML"/>
        <w:shd w:val="clear" w:color="auto" w:fill="FFFFFF"/>
        <w:tabs>
          <w:tab w:val="clear" w:pos="916"/>
          <w:tab w:val="left" w:pos="709"/>
        </w:tabs>
        <w:ind w:firstLine="660"/>
        <w:jc w:val="both"/>
        <w:textAlignment w:val="baseline"/>
        <w:rPr>
          <w:rFonts w:ascii="Times New Roman" w:hAnsi="Times New Roman" w:cs="Times New Roman"/>
          <w:sz w:val="28"/>
          <w:szCs w:val="28"/>
        </w:rPr>
      </w:pPr>
      <w:r w:rsidRPr="00D42EAE">
        <w:rPr>
          <w:rFonts w:ascii="Times New Roman" w:hAnsi="Times New Roman" w:cs="Times New Roman"/>
          <w:sz w:val="28"/>
          <w:szCs w:val="28"/>
        </w:rPr>
        <w:t xml:space="preserve">Головне управління, розглянувши законопроект, вважає за доцільне </w:t>
      </w:r>
      <w:r w:rsidR="00C56252" w:rsidRPr="00D42EAE">
        <w:rPr>
          <w:rFonts w:ascii="Times New Roman" w:hAnsi="Times New Roman" w:cs="Times New Roman"/>
          <w:sz w:val="28"/>
          <w:szCs w:val="28"/>
        </w:rPr>
        <w:t xml:space="preserve">з приводу його положень </w:t>
      </w:r>
      <w:r w:rsidRPr="00D42EAE">
        <w:rPr>
          <w:rFonts w:ascii="Times New Roman" w:hAnsi="Times New Roman" w:cs="Times New Roman"/>
          <w:sz w:val="28"/>
          <w:szCs w:val="28"/>
        </w:rPr>
        <w:t>висловити так</w:t>
      </w:r>
      <w:r w:rsidR="00C56252" w:rsidRPr="00D42EAE">
        <w:rPr>
          <w:rFonts w:ascii="Times New Roman" w:hAnsi="Times New Roman" w:cs="Times New Roman"/>
          <w:sz w:val="28"/>
          <w:szCs w:val="28"/>
        </w:rPr>
        <w:t>і зауваження</w:t>
      </w:r>
      <w:r w:rsidRPr="00D42EAE">
        <w:rPr>
          <w:rFonts w:ascii="Times New Roman" w:hAnsi="Times New Roman" w:cs="Times New Roman"/>
          <w:sz w:val="28"/>
          <w:szCs w:val="28"/>
        </w:rPr>
        <w:t>.</w:t>
      </w:r>
    </w:p>
    <w:p w:rsidR="006C7E05" w:rsidRPr="00D42EAE" w:rsidRDefault="00A87FD8" w:rsidP="002E5702">
      <w:pPr>
        <w:pStyle w:val="aa"/>
        <w:numPr>
          <w:ilvl w:val="0"/>
          <w:numId w:val="5"/>
        </w:numPr>
        <w:tabs>
          <w:tab w:val="left" w:pos="993"/>
        </w:tabs>
        <w:ind w:left="0" w:firstLine="709"/>
        <w:rPr>
          <w:sz w:val="28"/>
          <w:szCs w:val="28"/>
          <w:lang w:val="uk-UA"/>
        </w:rPr>
      </w:pPr>
      <w:r w:rsidRPr="00D42EAE">
        <w:rPr>
          <w:sz w:val="28"/>
          <w:szCs w:val="28"/>
          <w:lang w:val="uk-UA"/>
        </w:rPr>
        <w:t xml:space="preserve">Частину 1 ст. 1 Закону пропонується доповнити визначенням терміну «експортний факторинг», який </w:t>
      </w:r>
      <w:r w:rsidR="009466B0" w:rsidRPr="00D42EAE">
        <w:rPr>
          <w:sz w:val="28"/>
          <w:szCs w:val="28"/>
          <w:lang w:val="uk-UA"/>
        </w:rPr>
        <w:t xml:space="preserve">кваліфікується </w:t>
      </w:r>
      <w:r w:rsidRPr="00D42EAE">
        <w:rPr>
          <w:sz w:val="28"/>
          <w:szCs w:val="28"/>
          <w:lang w:val="uk-UA"/>
        </w:rPr>
        <w:t xml:space="preserve">як «фінансова комісійна операція, при якій експортер переуступає дебіторську заборгованість банку (далі – фактор) з метою миттєвого отримання більшої частини платежу та гарантії повного погашення заборгованості». Вважаємо, що запропоноване у проекті визначення експортного </w:t>
      </w:r>
      <w:r w:rsidRPr="00B257DE">
        <w:rPr>
          <w:sz w:val="28"/>
          <w:szCs w:val="28"/>
          <w:lang w:val="uk-UA"/>
        </w:rPr>
        <w:t xml:space="preserve">факторингу як певної операції не відповідає визначенню факторингу як договору згідно </w:t>
      </w:r>
      <w:r w:rsidR="00D41D5C" w:rsidRPr="00B257DE">
        <w:rPr>
          <w:sz w:val="28"/>
          <w:szCs w:val="28"/>
          <w:lang w:val="uk-UA"/>
        </w:rPr>
        <w:t>зі</w:t>
      </w:r>
      <w:r w:rsidRPr="00B257DE">
        <w:rPr>
          <w:sz w:val="28"/>
          <w:szCs w:val="28"/>
          <w:lang w:val="uk-UA"/>
        </w:rPr>
        <w:t xml:space="preserve"> ст.</w:t>
      </w:r>
      <w:r w:rsidRPr="00D42EAE">
        <w:rPr>
          <w:sz w:val="28"/>
          <w:szCs w:val="28"/>
          <w:lang w:val="uk-UA"/>
        </w:rPr>
        <w:t xml:space="preserve"> 1077 Цивільного кодексу України. </w:t>
      </w:r>
    </w:p>
    <w:p w:rsidR="00A87FD8" w:rsidRPr="00B257DE" w:rsidRDefault="0005596D" w:rsidP="006C7E05">
      <w:pPr>
        <w:ind w:firstLine="709"/>
        <w:jc w:val="both"/>
        <w:rPr>
          <w:sz w:val="28"/>
          <w:szCs w:val="28"/>
        </w:rPr>
      </w:pPr>
      <w:r w:rsidRPr="00D42EAE">
        <w:rPr>
          <w:sz w:val="28"/>
          <w:szCs w:val="28"/>
        </w:rPr>
        <w:lastRenderedPageBreak/>
        <w:t>З</w:t>
      </w:r>
      <w:r w:rsidR="00A87FD8" w:rsidRPr="00D42EAE">
        <w:rPr>
          <w:sz w:val="28"/>
          <w:szCs w:val="28"/>
        </w:rPr>
        <w:t xml:space="preserve">апропоноване визначення </w:t>
      </w:r>
      <w:r w:rsidRPr="00D42EAE">
        <w:rPr>
          <w:sz w:val="28"/>
          <w:szCs w:val="28"/>
        </w:rPr>
        <w:t xml:space="preserve">також </w:t>
      </w:r>
      <w:r w:rsidR="00A87FD8" w:rsidRPr="00D42EAE">
        <w:rPr>
          <w:sz w:val="28"/>
          <w:szCs w:val="28"/>
        </w:rPr>
        <w:t xml:space="preserve">не узгоджується </w:t>
      </w:r>
      <w:r w:rsidR="006C7E05" w:rsidRPr="00D42EAE">
        <w:rPr>
          <w:sz w:val="28"/>
          <w:szCs w:val="28"/>
        </w:rPr>
        <w:t xml:space="preserve">з </w:t>
      </w:r>
      <w:r w:rsidR="00A87FD8" w:rsidRPr="00D42EAE">
        <w:rPr>
          <w:sz w:val="28"/>
          <w:szCs w:val="28"/>
        </w:rPr>
        <w:t>Конвенцією УНІДРУА про міжнародний факторинг, вчине</w:t>
      </w:r>
      <w:r w:rsidR="006C7E05" w:rsidRPr="00D42EAE">
        <w:rPr>
          <w:sz w:val="28"/>
          <w:szCs w:val="28"/>
        </w:rPr>
        <w:t>ною</w:t>
      </w:r>
      <w:r w:rsidR="00A87FD8" w:rsidRPr="00D42EAE">
        <w:rPr>
          <w:sz w:val="28"/>
          <w:szCs w:val="28"/>
        </w:rPr>
        <w:t xml:space="preserve"> 28.05.1988 в м. Оттава </w:t>
      </w:r>
      <w:r w:rsidR="007928E6" w:rsidRPr="00D42EAE">
        <w:rPr>
          <w:sz w:val="28"/>
          <w:szCs w:val="28"/>
        </w:rPr>
        <w:br/>
      </w:r>
      <w:r w:rsidR="00A87FD8" w:rsidRPr="00D42EAE">
        <w:rPr>
          <w:sz w:val="28"/>
          <w:szCs w:val="28"/>
        </w:rPr>
        <w:t>(далі –</w:t>
      </w:r>
      <w:r w:rsidR="007928E6" w:rsidRPr="00D42EAE">
        <w:rPr>
          <w:sz w:val="28"/>
          <w:szCs w:val="28"/>
        </w:rPr>
        <w:t xml:space="preserve"> </w:t>
      </w:r>
      <w:r w:rsidR="00A87FD8" w:rsidRPr="00D42EAE">
        <w:rPr>
          <w:sz w:val="28"/>
          <w:szCs w:val="28"/>
        </w:rPr>
        <w:t xml:space="preserve">Конвенція) (до якої Україна </w:t>
      </w:r>
      <w:r w:rsidR="00A87FD8" w:rsidRPr="00B257DE">
        <w:rPr>
          <w:sz w:val="28"/>
          <w:szCs w:val="28"/>
        </w:rPr>
        <w:t xml:space="preserve">приєдналася 11.01.2006 на підставі відповідного Закону України від 11.01.2006 </w:t>
      </w:r>
      <w:r w:rsidR="006C7E05" w:rsidRPr="00B257DE">
        <w:rPr>
          <w:sz w:val="28"/>
          <w:szCs w:val="28"/>
        </w:rPr>
        <w:t xml:space="preserve">№ </w:t>
      </w:r>
      <w:r w:rsidR="00A87FD8" w:rsidRPr="00B257DE">
        <w:rPr>
          <w:sz w:val="28"/>
          <w:szCs w:val="28"/>
        </w:rPr>
        <w:t>3302-ІV)</w:t>
      </w:r>
      <w:r w:rsidR="00D41D5C" w:rsidRPr="00B257DE">
        <w:rPr>
          <w:sz w:val="28"/>
          <w:szCs w:val="28"/>
        </w:rPr>
        <w:t>,</w:t>
      </w:r>
      <w:r w:rsidR="00A87FD8" w:rsidRPr="00B257DE">
        <w:rPr>
          <w:sz w:val="28"/>
          <w:szCs w:val="28"/>
        </w:rPr>
        <w:t xml:space="preserve"> і яка регулює питання міжнародного факторингу</w:t>
      </w:r>
      <w:r w:rsidR="006C7E05" w:rsidRPr="00B257DE">
        <w:rPr>
          <w:sz w:val="28"/>
          <w:szCs w:val="28"/>
        </w:rPr>
        <w:t>,</w:t>
      </w:r>
      <w:r w:rsidR="00A87FD8" w:rsidRPr="00B257DE">
        <w:rPr>
          <w:sz w:val="28"/>
          <w:szCs w:val="28"/>
        </w:rPr>
        <w:t xml:space="preserve"> пов’язаного з розвитком міжнародної торгівлі. Так, згідно з ч. 2 ст. 1 цієї Конвенції ««договір факторингу» означає договір, укладений між однією стороною (постачальником) та іншою стороною (фактором), відповідно до якого:</w:t>
      </w:r>
      <w:r w:rsidR="007928E6" w:rsidRPr="00B257DE">
        <w:rPr>
          <w:sz w:val="28"/>
          <w:szCs w:val="28"/>
        </w:rPr>
        <w:t xml:space="preserve"> </w:t>
      </w:r>
      <w:r w:rsidR="00A87FD8" w:rsidRPr="00B257DE">
        <w:rPr>
          <w:sz w:val="28"/>
          <w:szCs w:val="28"/>
        </w:rPr>
        <w:t>(a) постачальник відступає або може відступати фактору право грошової вимоги, яке випливає з договорів купівлі-продажу товарів, укладених між постачальником та його покупцями (боржниками</w:t>
      </w:r>
      <w:r w:rsidR="00A87FD8" w:rsidRPr="00D42EAE">
        <w:rPr>
          <w:sz w:val="28"/>
          <w:szCs w:val="28"/>
        </w:rPr>
        <w:t xml:space="preserve">), крім договорів купівлі-продажу товарів, придбаних в першу чергу для їхнього особистого, сімейного або домашнього використання; (b) фактор має виконувати принаймні дві з таких функцій: фінансування постачальника, включаючи надання позики та здійснення авансових платежів; ведення обліку (головної бухгалтерської книги) щодо дебіторської заборгованості; пред'явлення до сплати грошових вимог; </w:t>
      </w:r>
      <w:r w:rsidR="00A87FD8" w:rsidRPr="00B257DE">
        <w:rPr>
          <w:sz w:val="28"/>
          <w:szCs w:val="28"/>
        </w:rPr>
        <w:t xml:space="preserve">захист від </w:t>
      </w:r>
      <w:proofErr w:type="spellStart"/>
      <w:r w:rsidR="00A87FD8" w:rsidRPr="00B257DE">
        <w:rPr>
          <w:sz w:val="28"/>
          <w:szCs w:val="28"/>
        </w:rPr>
        <w:t>несплат</w:t>
      </w:r>
      <w:proofErr w:type="spellEnd"/>
      <w:r w:rsidR="00A87FD8" w:rsidRPr="00B257DE">
        <w:rPr>
          <w:sz w:val="28"/>
          <w:szCs w:val="28"/>
        </w:rPr>
        <w:t xml:space="preserve"> боржників; (с) боржники повинні бути повідомлені про відступлення права грошової вимоги». </w:t>
      </w:r>
    </w:p>
    <w:p w:rsidR="00A87FD8" w:rsidRPr="00B257DE" w:rsidRDefault="00A87FD8" w:rsidP="00F60DA1">
      <w:pPr>
        <w:pStyle w:val="aa"/>
        <w:numPr>
          <w:ilvl w:val="0"/>
          <w:numId w:val="6"/>
        </w:numPr>
        <w:tabs>
          <w:tab w:val="left" w:pos="993"/>
        </w:tabs>
        <w:ind w:left="0" w:firstLine="709"/>
        <w:rPr>
          <w:sz w:val="28"/>
          <w:szCs w:val="28"/>
          <w:lang w:val="uk-UA"/>
        </w:rPr>
      </w:pPr>
      <w:r w:rsidRPr="00B257DE">
        <w:rPr>
          <w:sz w:val="28"/>
          <w:szCs w:val="28"/>
          <w:lang w:val="uk-UA"/>
        </w:rPr>
        <w:t>Звертаємо увагу</w:t>
      </w:r>
      <w:r w:rsidR="00D41D5C" w:rsidRPr="00B257DE">
        <w:rPr>
          <w:sz w:val="28"/>
          <w:szCs w:val="28"/>
          <w:lang w:val="uk-UA"/>
        </w:rPr>
        <w:t xml:space="preserve"> на те</w:t>
      </w:r>
      <w:r w:rsidRPr="00B257DE">
        <w:rPr>
          <w:sz w:val="28"/>
          <w:szCs w:val="28"/>
          <w:lang w:val="uk-UA"/>
        </w:rPr>
        <w:t xml:space="preserve">, що виключення </w:t>
      </w:r>
      <w:r w:rsidR="007928E6" w:rsidRPr="00B257DE">
        <w:rPr>
          <w:sz w:val="28"/>
          <w:szCs w:val="28"/>
          <w:lang w:val="uk-UA"/>
        </w:rPr>
        <w:t>і</w:t>
      </w:r>
      <w:r w:rsidRPr="00B257DE">
        <w:rPr>
          <w:sz w:val="28"/>
          <w:szCs w:val="28"/>
          <w:lang w:val="uk-UA"/>
        </w:rPr>
        <w:t xml:space="preserve">з </w:t>
      </w:r>
      <w:r w:rsidR="007928E6" w:rsidRPr="00B257DE">
        <w:rPr>
          <w:sz w:val="28"/>
          <w:szCs w:val="28"/>
          <w:lang w:val="uk-UA"/>
        </w:rPr>
        <w:t xml:space="preserve">ч. 1 </w:t>
      </w:r>
      <w:r w:rsidRPr="00B257DE">
        <w:rPr>
          <w:sz w:val="28"/>
          <w:szCs w:val="28"/>
          <w:lang w:val="uk-UA"/>
        </w:rPr>
        <w:t xml:space="preserve">ст. 1 Закону </w:t>
      </w:r>
      <w:r w:rsidR="007928E6" w:rsidRPr="00B257DE">
        <w:rPr>
          <w:sz w:val="28"/>
          <w:szCs w:val="28"/>
          <w:lang w:val="uk-UA"/>
        </w:rPr>
        <w:t>положень, у</w:t>
      </w:r>
      <w:r w:rsidRPr="00B257DE">
        <w:rPr>
          <w:sz w:val="28"/>
          <w:szCs w:val="28"/>
          <w:lang w:val="uk-UA"/>
        </w:rPr>
        <w:t xml:space="preserve"> яких визначаються терміни «страхування договірних банківських гарантій», «страхування зовнішньоекономічних договорів (контрактів)», «страхування експортних кредитів», «страхування підтверджених</w:t>
      </w:r>
      <w:r w:rsidRPr="00D42EAE">
        <w:rPr>
          <w:sz w:val="28"/>
          <w:szCs w:val="28"/>
          <w:lang w:val="uk-UA"/>
        </w:rPr>
        <w:t xml:space="preserve"> акредитивів», «страхування </w:t>
      </w:r>
      <w:r w:rsidRPr="00B257DE">
        <w:rPr>
          <w:sz w:val="28"/>
          <w:szCs w:val="28"/>
          <w:lang w:val="uk-UA"/>
        </w:rPr>
        <w:t>прямих інвестицій з України»</w:t>
      </w:r>
      <w:r w:rsidR="007928E6" w:rsidRPr="00B257DE">
        <w:rPr>
          <w:sz w:val="28"/>
          <w:szCs w:val="28"/>
          <w:lang w:val="uk-UA"/>
        </w:rPr>
        <w:t xml:space="preserve"> (</w:t>
      </w:r>
      <w:proofErr w:type="spellStart"/>
      <w:r w:rsidR="007928E6" w:rsidRPr="00B257DE">
        <w:rPr>
          <w:sz w:val="28"/>
          <w:szCs w:val="28"/>
          <w:lang w:val="uk-UA"/>
        </w:rPr>
        <w:t>п.п</w:t>
      </w:r>
      <w:proofErr w:type="spellEnd"/>
      <w:r w:rsidR="007928E6" w:rsidRPr="00B257DE">
        <w:rPr>
          <w:sz w:val="28"/>
          <w:szCs w:val="28"/>
          <w:lang w:val="uk-UA"/>
        </w:rPr>
        <w:t>. 7-11)</w:t>
      </w:r>
      <w:r w:rsidRPr="00B257DE">
        <w:rPr>
          <w:sz w:val="28"/>
          <w:szCs w:val="28"/>
          <w:lang w:val="uk-UA"/>
        </w:rPr>
        <w:t xml:space="preserve">, не узгоджується з преамбулою </w:t>
      </w:r>
      <w:r w:rsidR="007928E6" w:rsidRPr="00B257DE">
        <w:rPr>
          <w:sz w:val="28"/>
          <w:szCs w:val="28"/>
          <w:lang w:val="uk-UA"/>
        </w:rPr>
        <w:br/>
      </w:r>
      <w:r w:rsidRPr="00B257DE">
        <w:rPr>
          <w:sz w:val="28"/>
          <w:szCs w:val="28"/>
          <w:lang w:val="uk-UA"/>
        </w:rPr>
        <w:t xml:space="preserve">Закону України «Про страхування», згідно з якою його дія не поширюється на ЕКА, діяльність якого регулюється Законом. Слід зазначити, що здійснення операцій ЕКА зі страхування та перестрахування, згідно з п. 2 ч. 2 ст. 3 Закону, є одним </w:t>
      </w:r>
      <w:r w:rsidR="00D41D5C" w:rsidRPr="00B257DE">
        <w:rPr>
          <w:sz w:val="28"/>
          <w:szCs w:val="28"/>
          <w:lang w:val="uk-UA"/>
        </w:rPr>
        <w:t>і</w:t>
      </w:r>
      <w:r w:rsidRPr="00B257DE">
        <w:rPr>
          <w:sz w:val="28"/>
          <w:szCs w:val="28"/>
          <w:lang w:val="uk-UA"/>
        </w:rPr>
        <w:t xml:space="preserve">з основних напрямів державної підтримки експортної діяльності. </w:t>
      </w:r>
    </w:p>
    <w:p w:rsidR="00F60DA1" w:rsidRPr="00D42EAE" w:rsidRDefault="00F60DA1" w:rsidP="00F60DA1">
      <w:pPr>
        <w:pStyle w:val="rvps6"/>
        <w:tabs>
          <w:tab w:val="left" w:pos="993"/>
          <w:tab w:val="left" w:pos="1134"/>
        </w:tabs>
        <w:spacing w:before="0" w:beforeAutospacing="0" w:after="0" w:afterAutospacing="0"/>
        <w:ind w:firstLine="709"/>
        <w:jc w:val="both"/>
        <w:rPr>
          <w:sz w:val="28"/>
          <w:szCs w:val="28"/>
        </w:rPr>
      </w:pPr>
      <w:r w:rsidRPr="00B257DE">
        <w:rPr>
          <w:sz w:val="28"/>
          <w:szCs w:val="28"/>
        </w:rPr>
        <w:t>Зазначимо також, що виключення визначень понять «</w:t>
      </w:r>
      <w:proofErr w:type="spellStart"/>
      <w:r w:rsidRPr="00B257DE">
        <w:rPr>
          <w:sz w:val="28"/>
          <w:szCs w:val="28"/>
        </w:rPr>
        <w:t>сек'юритизаційна</w:t>
      </w:r>
      <w:proofErr w:type="spellEnd"/>
      <w:r w:rsidRPr="00B257DE">
        <w:rPr>
          <w:sz w:val="28"/>
          <w:szCs w:val="28"/>
        </w:rPr>
        <w:t xml:space="preserve"> гарантія, страхування договірних банківських гарантій, страхування зовнішньоекономічних договорів (контрактів), страхування експортних кредитів, страхування підтверджених акредитивів, страхування прямих інвестицій з України» у супровідних</w:t>
      </w:r>
      <w:r w:rsidRPr="00D42EAE">
        <w:rPr>
          <w:sz w:val="28"/>
          <w:szCs w:val="28"/>
        </w:rPr>
        <w:t xml:space="preserve"> до проекту документах пояснюється необхідністю «уникнення різночитання термінів, оскільки такі терміни вже містяться в інших нормативних актах та законах» (п. 3 пояснювальної записки). Разом із тим, </w:t>
      </w:r>
      <w:r w:rsidR="000007E1" w:rsidRPr="00D42EAE">
        <w:rPr>
          <w:sz w:val="28"/>
          <w:szCs w:val="28"/>
        </w:rPr>
        <w:t>вказані терміни визначаються лише у Законі.</w:t>
      </w:r>
    </w:p>
    <w:p w:rsidR="00C75ACE" w:rsidRPr="00D42EAE" w:rsidRDefault="00C75ACE" w:rsidP="00745E8A">
      <w:pPr>
        <w:pStyle w:val="3"/>
        <w:widowControl w:val="0"/>
        <w:numPr>
          <w:ilvl w:val="0"/>
          <w:numId w:val="6"/>
        </w:numPr>
        <w:tabs>
          <w:tab w:val="left" w:pos="993"/>
          <w:tab w:val="left" w:pos="1134"/>
        </w:tabs>
        <w:spacing w:before="0" w:beforeAutospacing="0" w:after="0" w:afterAutospacing="0"/>
        <w:ind w:left="0" w:firstLine="709"/>
        <w:jc w:val="both"/>
        <w:rPr>
          <w:b w:val="0"/>
          <w:sz w:val="28"/>
          <w:szCs w:val="28"/>
        </w:rPr>
      </w:pPr>
      <w:r w:rsidRPr="00D42EAE">
        <w:rPr>
          <w:b w:val="0"/>
          <w:sz w:val="28"/>
          <w:szCs w:val="28"/>
        </w:rPr>
        <w:t xml:space="preserve">Пропозиція оновленого </w:t>
      </w:r>
      <w:proofErr w:type="spellStart"/>
      <w:r w:rsidRPr="00D42EAE">
        <w:rPr>
          <w:b w:val="0"/>
          <w:sz w:val="28"/>
          <w:szCs w:val="28"/>
        </w:rPr>
        <w:t>абз</w:t>
      </w:r>
      <w:proofErr w:type="spellEnd"/>
      <w:r w:rsidRPr="00D42EAE">
        <w:rPr>
          <w:b w:val="0"/>
          <w:sz w:val="28"/>
          <w:szCs w:val="28"/>
        </w:rPr>
        <w:t xml:space="preserve">. 2 ч. 4 ст. 2 Закону збільшити початковий статутний капітал ЕКА, який формується за рахунок коштів державного бюджету, з 200 млн. грн. до не менш як 2 млрд. грн. </w:t>
      </w:r>
      <w:r w:rsidR="00F2072E" w:rsidRPr="00D42EAE">
        <w:rPr>
          <w:b w:val="0"/>
          <w:sz w:val="28"/>
          <w:szCs w:val="28"/>
        </w:rPr>
        <w:t xml:space="preserve">(тобто, у 10 разів) </w:t>
      </w:r>
      <w:r w:rsidRPr="00D42EAE">
        <w:rPr>
          <w:b w:val="0"/>
          <w:sz w:val="28"/>
          <w:szCs w:val="28"/>
        </w:rPr>
        <w:t>своїм наслідком має збільшення витрат бюджету</w:t>
      </w:r>
      <w:r w:rsidR="00E91191" w:rsidRPr="00D42EAE">
        <w:rPr>
          <w:b w:val="0"/>
          <w:sz w:val="28"/>
          <w:szCs w:val="28"/>
        </w:rPr>
        <w:t xml:space="preserve"> (</w:t>
      </w:r>
      <w:r w:rsidR="00E91191" w:rsidRPr="00B257DE">
        <w:rPr>
          <w:b w:val="0"/>
          <w:sz w:val="28"/>
          <w:szCs w:val="28"/>
        </w:rPr>
        <w:t xml:space="preserve">хоча у пояснювальній записці до проекту </w:t>
      </w:r>
      <w:r w:rsidR="003D44F8" w:rsidRPr="00B257DE">
        <w:rPr>
          <w:b w:val="0"/>
          <w:sz w:val="28"/>
          <w:szCs w:val="28"/>
        </w:rPr>
        <w:t>зазначається, що «р</w:t>
      </w:r>
      <w:r w:rsidR="00E91191" w:rsidRPr="00B257DE">
        <w:rPr>
          <w:b w:val="0"/>
          <w:sz w:val="28"/>
          <w:szCs w:val="28"/>
        </w:rPr>
        <w:t>еалізація законопроекту не потребуватиме додаткових видатків з Державного бюджету України та місцевих бюджетів</w:t>
      </w:r>
      <w:r w:rsidR="00D41D5C" w:rsidRPr="00B257DE">
        <w:rPr>
          <w:b w:val="0"/>
          <w:sz w:val="28"/>
          <w:szCs w:val="28"/>
        </w:rPr>
        <w:t>»</w:t>
      </w:r>
      <w:r w:rsidR="003D44F8" w:rsidRPr="00B257DE">
        <w:rPr>
          <w:b w:val="0"/>
          <w:sz w:val="28"/>
          <w:szCs w:val="28"/>
        </w:rPr>
        <w:t xml:space="preserve"> </w:t>
      </w:r>
      <w:r w:rsidR="00DB0A85" w:rsidRPr="00B257DE">
        <w:rPr>
          <w:b w:val="0"/>
          <w:sz w:val="28"/>
          <w:szCs w:val="28"/>
        </w:rPr>
        <w:br/>
      </w:r>
      <w:r w:rsidR="003D44F8" w:rsidRPr="00B257DE">
        <w:rPr>
          <w:b w:val="0"/>
          <w:sz w:val="28"/>
          <w:szCs w:val="28"/>
        </w:rPr>
        <w:t xml:space="preserve">(п. 4)). </w:t>
      </w:r>
      <w:r w:rsidRPr="00B257DE">
        <w:rPr>
          <w:b w:val="0"/>
          <w:sz w:val="28"/>
          <w:szCs w:val="28"/>
        </w:rPr>
        <w:t xml:space="preserve"> При цьому, до проекту, всупереч вимогам ч. 1 ст. 27 Бюджетного кодексу України та ч. 3 ст. 91 Регламенту Верховної Ради України, не надано належного фінансово-економічного обґрунтування (з відповідними розрахунками), пропозицій змін до законодавчих актів щодо скорочення витрат бюджету та/або </w:t>
      </w:r>
      <w:r w:rsidRPr="00B257DE">
        <w:rPr>
          <w:b w:val="0"/>
          <w:sz w:val="28"/>
          <w:szCs w:val="28"/>
        </w:rPr>
        <w:lastRenderedPageBreak/>
        <w:t>джерел додаткових надходжень бюджету для досягнення збалансованості</w:t>
      </w:r>
      <w:r w:rsidRPr="00D42EAE">
        <w:rPr>
          <w:b w:val="0"/>
          <w:sz w:val="28"/>
          <w:szCs w:val="28"/>
        </w:rPr>
        <w:t xml:space="preserve"> бюджету.</w:t>
      </w:r>
    </w:p>
    <w:p w:rsidR="00C75ACE" w:rsidRPr="00D42EAE" w:rsidRDefault="00C75ACE" w:rsidP="00C75ACE">
      <w:pPr>
        <w:pStyle w:val="3"/>
        <w:spacing w:before="0" w:beforeAutospacing="0" w:after="0" w:afterAutospacing="0"/>
        <w:ind w:firstLine="709"/>
        <w:jc w:val="both"/>
        <w:rPr>
          <w:b w:val="0"/>
          <w:sz w:val="28"/>
          <w:szCs w:val="28"/>
        </w:rPr>
      </w:pPr>
      <w:r w:rsidRPr="00B257DE">
        <w:rPr>
          <w:b w:val="0"/>
          <w:sz w:val="28"/>
          <w:szCs w:val="28"/>
        </w:rPr>
        <w:t>Також, враховуючи, що відповідно до п. 1 розділу II проекту «цей Закон набирає чинності з дня, наступного за днем його опублікування», звертаємо увагу</w:t>
      </w:r>
      <w:r w:rsidR="00D41D5C" w:rsidRPr="00B257DE">
        <w:rPr>
          <w:b w:val="0"/>
          <w:sz w:val="28"/>
          <w:szCs w:val="28"/>
        </w:rPr>
        <w:t xml:space="preserve"> на те</w:t>
      </w:r>
      <w:r w:rsidRPr="00B257DE">
        <w:rPr>
          <w:b w:val="0"/>
          <w:sz w:val="28"/>
          <w:szCs w:val="28"/>
        </w:rPr>
        <w:t>, що згідно з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w:t>
      </w:r>
      <w:r w:rsidRPr="00D42EAE">
        <w:rPr>
          <w:b w:val="0"/>
          <w:sz w:val="28"/>
          <w:szCs w:val="28"/>
        </w:rPr>
        <w:t>; після 15 липня року, що передує плановому, вводяться в дію не раніше початку бюджетного періоду, що настає за плановим».</w:t>
      </w:r>
    </w:p>
    <w:p w:rsidR="00A87FD8" w:rsidRPr="00D42EAE" w:rsidRDefault="0005596D" w:rsidP="00A87FD8">
      <w:pPr>
        <w:ind w:firstLine="709"/>
        <w:jc w:val="both"/>
        <w:rPr>
          <w:sz w:val="28"/>
          <w:szCs w:val="28"/>
        </w:rPr>
      </w:pPr>
      <w:r w:rsidRPr="00D42EAE">
        <w:rPr>
          <w:b/>
          <w:sz w:val="28"/>
          <w:szCs w:val="28"/>
        </w:rPr>
        <w:t>4</w:t>
      </w:r>
      <w:r w:rsidR="00A87FD8" w:rsidRPr="00D42EAE">
        <w:rPr>
          <w:b/>
          <w:sz w:val="28"/>
          <w:szCs w:val="28"/>
        </w:rPr>
        <w:t>.</w:t>
      </w:r>
      <w:r w:rsidR="00A87FD8" w:rsidRPr="00D42EAE">
        <w:rPr>
          <w:sz w:val="28"/>
          <w:szCs w:val="28"/>
        </w:rPr>
        <w:t xml:space="preserve"> В </w:t>
      </w:r>
      <w:proofErr w:type="spellStart"/>
      <w:r w:rsidR="00A87FD8" w:rsidRPr="00D42EAE">
        <w:rPr>
          <w:sz w:val="28"/>
          <w:szCs w:val="28"/>
        </w:rPr>
        <w:t>абз</w:t>
      </w:r>
      <w:proofErr w:type="spellEnd"/>
      <w:r w:rsidR="00A87FD8" w:rsidRPr="00D42EAE">
        <w:rPr>
          <w:sz w:val="28"/>
          <w:szCs w:val="28"/>
        </w:rPr>
        <w:t>. 2 ч. 3 нової редакції ст. 5 Закону пропонується встановити, що кількісний склад, вимоги до членів наглядової ради та порядок проведення конкурсного відбору кандидатів на посади членів наглядової ради та їх призначення визначаються відповідно до Закону України «Про управління об’єктами державної власності». Вважаємо, що запропоновані зміни не узгоджуються з ч. 2 ст. 3 Закону України «Про управління об’єктами державної власності», згідно з яко</w:t>
      </w:r>
      <w:r w:rsidR="002C0AA6" w:rsidRPr="00D42EAE">
        <w:rPr>
          <w:sz w:val="28"/>
          <w:szCs w:val="28"/>
        </w:rPr>
        <w:t>ю</w:t>
      </w:r>
      <w:r w:rsidR="00A87FD8" w:rsidRPr="00D42EAE">
        <w:rPr>
          <w:sz w:val="28"/>
          <w:szCs w:val="28"/>
        </w:rPr>
        <w:t xml:space="preserve"> особливості управління ЕКА визначаються Законом. </w:t>
      </w:r>
    </w:p>
    <w:p w:rsidR="00A87FD8" w:rsidRPr="00B257DE" w:rsidRDefault="0005596D" w:rsidP="00A87FD8">
      <w:pPr>
        <w:ind w:firstLine="709"/>
        <w:jc w:val="both"/>
        <w:rPr>
          <w:sz w:val="28"/>
          <w:szCs w:val="28"/>
        </w:rPr>
      </w:pPr>
      <w:r w:rsidRPr="00D42EAE">
        <w:rPr>
          <w:b/>
          <w:sz w:val="28"/>
          <w:szCs w:val="28"/>
        </w:rPr>
        <w:t>5</w:t>
      </w:r>
      <w:r w:rsidR="00A87FD8" w:rsidRPr="00D42EAE">
        <w:rPr>
          <w:b/>
          <w:sz w:val="28"/>
          <w:szCs w:val="28"/>
        </w:rPr>
        <w:t>.</w:t>
      </w:r>
      <w:r w:rsidR="00A87FD8" w:rsidRPr="00D42EAE">
        <w:rPr>
          <w:sz w:val="28"/>
          <w:szCs w:val="28"/>
        </w:rPr>
        <w:t xml:space="preserve"> Вважаємо</w:t>
      </w:r>
      <w:r w:rsidR="008934FD" w:rsidRPr="00D42EAE">
        <w:rPr>
          <w:sz w:val="28"/>
          <w:szCs w:val="28"/>
        </w:rPr>
        <w:t xml:space="preserve"> дискусійною пропозицію виключити </w:t>
      </w:r>
      <w:r w:rsidR="00A87FD8" w:rsidRPr="00D42EAE">
        <w:rPr>
          <w:sz w:val="28"/>
          <w:szCs w:val="28"/>
        </w:rPr>
        <w:t>п. 3 ч. 1 ст. 6 Закону щодо страхування та перестрахування експортних кредитів, наданих іноземному покупцю або банку іноземного покупця банками-кредиторами</w:t>
      </w:r>
      <w:r w:rsidR="008934FD" w:rsidRPr="00D42EAE">
        <w:rPr>
          <w:sz w:val="28"/>
          <w:szCs w:val="28"/>
        </w:rPr>
        <w:t xml:space="preserve">. Збереження відповідного припису, на наш погляд, </w:t>
      </w:r>
      <w:r w:rsidR="00A87FD8" w:rsidRPr="00D42EAE">
        <w:rPr>
          <w:sz w:val="28"/>
          <w:szCs w:val="28"/>
        </w:rPr>
        <w:t xml:space="preserve">сприятиме захисту вітчизняних </w:t>
      </w:r>
      <w:r w:rsidR="00A87FD8" w:rsidRPr="00B257DE">
        <w:rPr>
          <w:sz w:val="28"/>
          <w:szCs w:val="28"/>
        </w:rPr>
        <w:t xml:space="preserve">експортерів від комерційних та некомерційних ризиків у разі невиконання іноземним покупцем (банком іноземного покупця) зобов’язань за кредитами, наданими йому під зобов’язання закупівлі товарів (робіт, послуг) українського походження. </w:t>
      </w:r>
    </w:p>
    <w:p w:rsidR="00A90737" w:rsidRPr="00D42EAE" w:rsidRDefault="0005596D" w:rsidP="00AE7BFD">
      <w:pPr>
        <w:pStyle w:val="HTML"/>
        <w:shd w:val="clear" w:color="auto" w:fill="FFFFFF"/>
        <w:tabs>
          <w:tab w:val="clear" w:pos="916"/>
          <w:tab w:val="left" w:pos="709"/>
        </w:tabs>
        <w:ind w:firstLine="660"/>
        <w:jc w:val="both"/>
        <w:textAlignment w:val="baseline"/>
        <w:rPr>
          <w:rFonts w:ascii="Times New Roman" w:hAnsi="Times New Roman" w:cs="Times New Roman"/>
          <w:sz w:val="28"/>
          <w:szCs w:val="28"/>
        </w:rPr>
      </w:pPr>
      <w:r w:rsidRPr="00B257DE">
        <w:rPr>
          <w:rStyle w:val="rvts0"/>
          <w:rFonts w:ascii="Times New Roman" w:hAnsi="Times New Roman" w:cs="Times New Roman"/>
          <w:b/>
          <w:sz w:val="28"/>
          <w:szCs w:val="28"/>
        </w:rPr>
        <w:t>6</w:t>
      </w:r>
      <w:r w:rsidR="009863E6" w:rsidRPr="00B257DE">
        <w:rPr>
          <w:rStyle w:val="rvts0"/>
          <w:rFonts w:ascii="Times New Roman" w:hAnsi="Times New Roman" w:cs="Times New Roman"/>
          <w:b/>
          <w:sz w:val="28"/>
          <w:szCs w:val="28"/>
        </w:rPr>
        <w:t>.</w:t>
      </w:r>
      <w:r w:rsidR="009863E6" w:rsidRPr="00B257DE">
        <w:rPr>
          <w:rStyle w:val="rvts0"/>
          <w:rFonts w:ascii="Times New Roman" w:hAnsi="Times New Roman" w:cs="Times New Roman"/>
          <w:sz w:val="28"/>
          <w:szCs w:val="28"/>
        </w:rPr>
        <w:t xml:space="preserve"> </w:t>
      </w:r>
      <w:r w:rsidR="00A90737" w:rsidRPr="00B257DE">
        <w:rPr>
          <w:rStyle w:val="rvts0"/>
          <w:rFonts w:ascii="Times New Roman" w:hAnsi="Times New Roman" w:cs="Times New Roman"/>
          <w:sz w:val="28"/>
          <w:szCs w:val="28"/>
        </w:rPr>
        <w:t xml:space="preserve">Відповідно до оновленої редакції ст. 8 Закону скасовується </w:t>
      </w:r>
      <w:r w:rsidR="00A90737" w:rsidRPr="00B257DE">
        <w:rPr>
          <w:rFonts w:ascii="Times New Roman" w:hAnsi="Times New Roman" w:cs="Times New Roman"/>
          <w:sz w:val="28"/>
          <w:szCs w:val="28"/>
        </w:rPr>
        <w:t xml:space="preserve">виключний </w:t>
      </w:r>
      <w:r w:rsidR="00A75CAB" w:rsidRPr="00B257DE">
        <w:rPr>
          <w:rFonts w:ascii="Times New Roman" w:hAnsi="Times New Roman" w:cs="Times New Roman"/>
          <w:sz w:val="28"/>
          <w:szCs w:val="28"/>
        </w:rPr>
        <w:t>перелік видів товарів за кодами товарної продукції</w:t>
      </w:r>
      <w:r w:rsidR="00A90737" w:rsidRPr="00B257DE">
        <w:rPr>
          <w:rFonts w:ascii="Times New Roman" w:hAnsi="Times New Roman" w:cs="Times New Roman"/>
          <w:sz w:val="28"/>
          <w:szCs w:val="28"/>
        </w:rPr>
        <w:t xml:space="preserve"> згідно </w:t>
      </w:r>
      <w:r w:rsidR="008934FD" w:rsidRPr="00B257DE">
        <w:rPr>
          <w:rFonts w:ascii="Times New Roman" w:hAnsi="Times New Roman" w:cs="Times New Roman"/>
          <w:sz w:val="28"/>
          <w:szCs w:val="28"/>
        </w:rPr>
        <w:t xml:space="preserve">з </w:t>
      </w:r>
      <w:r w:rsidR="00A90737" w:rsidRPr="00B257DE">
        <w:rPr>
          <w:rFonts w:ascii="Times New Roman" w:hAnsi="Times New Roman" w:cs="Times New Roman"/>
          <w:sz w:val="28"/>
          <w:szCs w:val="28"/>
        </w:rPr>
        <w:t>УКТ</w:t>
      </w:r>
      <w:r w:rsidR="008934FD" w:rsidRPr="00B257DE">
        <w:rPr>
          <w:rFonts w:ascii="Times New Roman" w:hAnsi="Times New Roman" w:cs="Times New Roman"/>
          <w:sz w:val="28"/>
          <w:szCs w:val="28"/>
        </w:rPr>
        <w:t xml:space="preserve"> </w:t>
      </w:r>
      <w:r w:rsidR="00A90737" w:rsidRPr="00B257DE">
        <w:rPr>
          <w:rFonts w:ascii="Times New Roman" w:hAnsi="Times New Roman" w:cs="Times New Roman"/>
          <w:sz w:val="28"/>
          <w:szCs w:val="28"/>
        </w:rPr>
        <w:t>ЗЕД, що підтримуються ЕКА. П</w:t>
      </w:r>
      <w:r w:rsidR="009E01D8" w:rsidRPr="00B257DE">
        <w:rPr>
          <w:rFonts w:ascii="Times New Roman" w:hAnsi="Times New Roman" w:cs="Times New Roman"/>
          <w:sz w:val="28"/>
          <w:szCs w:val="28"/>
        </w:rPr>
        <w:t>евною мірою п</w:t>
      </w:r>
      <w:r w:rsidR="00AE7BFD" w:rsidRPr="00B257DE">
        <w:rPr>
          <w:rFonts w:ascii="Times New Roman" w:hAnsi="Times New Roman" w:cs="Times New Roman"/>
          <w:sz w:val="28"/>
          <w:szCs w:val="28"/>
        </w:rPr>
        <w:t xml:space="preserve">огоджуючись </w:t>
      </w:r>
      <w:r w:rsidR="008934FD" w:rsidRPr="00B257DE">
        <w:rPr>
          <w:rFonts w:ascii="Times New Roman" w:hAnsi="Times New Roman" w:cs="Times New Roman"/>
          <w:sz w:val="28"/>
          <w:szCs w:val="28"/>
        </w:rPr>
        <w:t>і</w:t>
      </w:r>
      <w:r w:rsidR="00AE7BFD" w:rsidRPr="00B257DE">
        <w:rPr>
          <w:rFonts w:ascii="Times New Roman" w:hAnsi="Times New Roman" w:cs="Times New Roman"/>
          <w:sz w:val="28"/>
          <w:szCs w:val="28"/>
        </w:rPr>
        <w:t>з</w:t>
      </w:r>
      <w:r w:rsidR="00A90737" w:rsidRPr="00B257DE">
        <w:rPr>
          <w:rFonts w:ascii="Times New Roman" w:hAnsi="Times New Roman" w:cs="Times New Roman"/>
          <w:sz w:val="28"/>
          <w:szCs w:val="28"/>
        </w:rPr>
        <w:t xml:space="preserve"> твердженням суб’єктів </w:t>
      </w:r>
      <w:r w:rsidR="00AE7BFD" w:rsidRPr="00B257DE">
        <w:rPr>
          <w:rFonts w:ascii="Times New Roman" w:hAnsi="Times New Roman" w:cs="Times New Roman"/>
          <w:sz w:val="28"/>
          <w:szCs w:val="28"/>
        </w:rPr>
        <w:t xml:space="preserve">права законодавчої ініціативи, що чинний порядок обмежує коло українських експортерів щодо підтримки, </w:t>
      </w:r>
      <w:r w:rsidR="008934FD" w:rsidRPr="00B257DE">
        <w:rPr>
          <w:rFonts w:ascii="Times New Roman" w:hAnsi="Times New Roman" w:cs="Times New Roman"/>
          <w:sz w:val="28"/>
          <w:szCs w:val="28"/>
        </w:rPr>
        <w:t>одночасно</w:t>
      </w:r>
      <w:r w:rsidR="008934FD" w:rsidRPr="00D42EAE">
        <w:rPr>
          <w:rFonts w:ascii="Times New Roman" w:hAnsi="Times New Roman" w:cs="Times New Roman"/>
          <w:sz w:val="28"/>
          <w:szCs w:val="28"/>
        </w:rPr>
        <w:t xml:space="preserve"> </w:t>
      </w:r>
      <w:r w:rsidR="00AE7BFD" w:rsidRPr="00D42EAE">
        <w:rPr>
          <w:rFonts w:ascii="Times New Roman" w:hAnsi="Times New Roman" w:cs="Times New Roman"/>
          <w:sz w:val="28"/>
          <w:szCs w:val="28"/>
        </w:rPr>
        <w:t>вважаємо</w:t>
      </w:r>
      <w:r w:rsidR="002875E9" w:rsidRPr="00D42EAE">
        <w:rPr>
          <w:rFonts w:ascii="Times New Roman" w:hAnsi="Times New Roman" w:cs="Times New Roman"/>
          <w:sz w:val="28"/>
          <w:szCs w:val="28"/>
        </w:rPr>
        <w:t xml:space="preserve">, що </w:t>
      </w:r>
      <w:r w:rsidR="00A90737" w:rsidRPr="00D42EAE">
        <w:rPr>
          <w:rFonts w:ascii="Times New Roman" w:hAnsi="Times New Roman" w:cs="Times New Roman"/>
          <w:sz w:val="28"/>
          <w:szCs w:val="28"/>
        </w:rPr>
        <w:t>підтримку експорту</w:t>
      </w:r>
      <w:r w:rsidR="002875E9" w:rsidRPr="00D42EAE">
        <w:rPr>
          <w:rFonts w:ascii="Times New Roman" w:hAnsi="Times New Roman" w:cs="Times New Roman"/>
          <w:sz w:val="28"/>
          <w:szCs w:val="28"/>
        </w:rPr>
        <w:t xml:space="preserve"> доцільно здійснювати </w:t>
      </w:r>
      <w:r w:rsidR="00A90737" w:rsidRPr="00D42EAE">
        <w:rPr>
          <w:rFonts w:ascii="Times New Roman" w:hAnsi="Times New Roman" w:cs="Times New Roman"/>
          <w:sz w:val="28"/>
          <w:szCs w:val="28"/>
        </w:rPr>
        <w:t>в залежності від його обсягів та напрямів</w:t>
      </w:r>
      <w:r w:rsidR="00F366C6" w:rsidRPr="00D42EAE">
        <w:rPr>
          <w:rFonts w:ascii="Times New Roman" w:hAnsi="Times New Roman" w:cs="Times New Roman"/>
          <w:sz w:val="28"/>
          <w:szCs w:val="28"/>
        </w:rPr>
        <w:t xml:space="preserve"> (н</w:t>
      </w:r>
      <w:r w:rsidR="00A90737" w:rsidRPr="00D42EAE">
        <w:rPr>
          <w:rFonts w:ascii="Times New Roman" w:hAnsi="Times New Roman" w:cs="Times New Roman"/>
          <w:sz w:val="28"/>
          <w:szCs w:val="28"/>
        </w:rPr>
        <w:t xml:space="preserve">априклад, починаючи від обсягу експорту продукції в 1 млн. </w:t>
      </w:r>
      <w:r w:rsidR="00F366C6" w:rsidRPr="00D42EAE">
        <w:rPr>
          <w:rFonts w:ascii="Times New Roman" w:hAnsi="Times New Roman" w:cs="Times New Roman"/>
          <w:sz w:val="28"/>
          <w:szCs w:val="28"/>
        </w:rPr>
        <w:t>є</w:t>
      </w:r>
      <w:r w:rsidR="00A90737" w:rsidRPr="00D42EAE">
        <w:rPr>
          <w:rFonts w:ascii="Times New Roman" w:hAnsi="Times New Roman" w:cs="Times New Roman"/>
          <w:sz w:val="28"/>
          <w:szCs w:val="28"/>
        </w:rPr>
        <w:t>вро та/або у випадку постачання експортних товарів на нові ринки збуту</w:t>
      </w:r>
      <w:r w:rsidR="00F366C6" w:rsidRPr="00D42EAE">
        <w:rPr>
          <w:rFonts w:ascii="Times New Roman" w:hAnsi="Times New Roman" w:cs="Times New Roman"/>
          <w:sz w:val="28"/>
          <w:szCs w:val="28"/>
        </w:rPr>
        <w:t>)</w:t>
      </w:r>
      <w:r w:rsidR="00A90737" w:rsidRPr="00D42EAE">
        <w:rPr>
          <w:rFonts w:ascii="Times New Roman" w:hAnsi="Times New Roman" w:cs="Times New Roman"/>
          <w:sz w:val="28"/>
          <w:szCs w:val="28"/>
        </w:rPr>
        <w:t>.</w:t>
      </w:r>
    </w:p>
    <w:p w:rsidR="00E4286A" w:rsidRPr="00D42EAE" w:rsidRDefault="00E4286A" w:rsidP="00921EBB">
      <w:pPr>
        <w:jc w:val="both"/>
        <w:rPr>
          <w:sz w:val="28"/>
          <w:szCs w:val="28"/>
        </w:rPr>
      </w:pPr>
    </w:p>
    <w:p w:rsidR="00AE7BFD" w:rsidRPr="00D42EAE" w:rsidRDefault="00AE7BFD" w:rsidP="00921EBB">
      <w:pPr>
        <w:jc w:val="both"/>
        <w:rPr>
          <w:sz w:val="28"/>
          <w:szCs w:val="28"/>
        </w:rPr>
      </w:pPr>
    </w:p>
    <w:p w:rsidR="00E4286A" w:rsidRPr="00D42EAE" w:rsidRDefault="00E4286A" w:rsidP="00E4286A">
      <w:pPr>
        <w:ind w:firstLine="708"/>
        <w:jc w:val="both"/>
        <w:rPr>
          <w:sz w:val="28"/>
          <w:szCs w:val="28"/>
        </w:rPr>
      </w:pPr>
      <w:r w:rsidRPr="00D42EAE">
        <w:rPr>
          <w:sz w:val="28"/>
          <w:szCs w:val="28"/>
        </w:rPr>
        <w:t>Керівник Головного управління                                     С.</w:t>
      </w:r>
      <w:r w:rsidR="00581A92" w:rsidRPr="00D42EAE">
        <w:rPr>
          <w:sz w:val="28"/>
          <w:szCs w:val="28"/>
        </w:rPr>
        <w:t xml:space="preserve"> </w:t>
      </w:r>
      <w:r w:rsidRPr="00D42EAE">
        <w:rPr>
          <w:sz w:val="28"/>
          <w:szCs w:val="28"/>
        </w:rPr>
        <w:t>Тихонюк</w:t>
      </w:r>
    </w:p>
    <w:p w:rsidR="00581A92" w:rsidRPr="00D42EAE" w:rsidRDefault="00581A92" w:rsidP="00E4286A">
      <w:pPr>
        <w:ind w:firstLine="708"/>
        <w:jc w:val="both"/>
        <w:rPr>
          <w:sz w:val="28"/>
          <w:szCs w:val="28"/>
        </w:rPr>
      </w:pPr>
    </w:p>
    <w:p w:rsidR="00581A92" w:rsidRPr="00E12F68" w:rsidRDefault="00581A92" w:rsidP="00E4286A">
      <w:pPr>
        <w:ind w:firstLine="708"/>
        <w:jc w:val="both"/>
        <w:rPr>
          <w:sz w:val="28"/>
          <w:szCs w:val="28"/>
        </w:rPr>
      </w:pPr>
    </w:p>
    <w:p w:rsidR="00926320" w:rsidRPr="008306FA" w:rsidRDefault="00926320" w:rsidP="00581A92">
      <w:pPr>
        <w:ind w:firstLine="708"/>
        <w:jc w:val="both"/>
        <w:rPr>
          <w:sz w:val="20"/>
          <w:szCs w:val="20"/>
        </w:rPr>
      </w:pPr>
      <w:proofErr w:type="spellStart"/>
      <w:r w:rsidRPr="008306FA">
        <w:rPr>
          <w:sz w:val="20"/>
          <w:szCs w:val="20"/>
        </w:rPr>
        <w:t>Вик</w:t>
      </w:r>
      <w:proofErr w:type="spellEnd"/>
      <w:r w:rsidRPr="008306FA">
        <w:rPr>
          <w:sz w:val="20"/>
          <w:szCs w:val="20"/>
        </w:rPr>
        <w:t>.</w:t>
      </w:r>
      <w:r w:rsidR="00E4286A" w:rsidRPr="008306FA">
        <w:rPr>
          <w:sz w:val="20"/>
          <w:szCs w:val="20"/>
        </w:rPr>
        <w:t>:</w:t>
      </w:r>
      <w:r w:rsidRPr="008306FA">
        <w:rPr>
          <w:sz w:val="20"/>
          <w:szCs w:val="20"/>
        </w:rPr>
        <w:t xml:space="preserve"> </w:t>
      </w:r>
      <w:r w:rsidR="009863E6" w:rsidRPr="008306FA">
        <w:rPr>
          <w:sz w:val="20"/>
          <w:szCs w:val="20"/>
        </w:rPr>
        <w:t>І.</w:t>
      </w:r>
      <w:r w:rsidR="00581A92" w:rsidRPr="008306FA">
        <w:rPr>
          <w:sz w:val="20"/>
          <w:szCs w:val="20"/>
        </w:rPr>
        <w:t xml:space="preserve"> </w:t>
      </w:r>
      <w:r w:rsidR="009863E6" w:rsidRPr="008306FA">
        <w:rPr>
          <w:sz w:val="20"/>
          <w:szCs w:val="20"/>
        </w:rPr>
        <w:t xml:space="preserve">Фомін, </w:t>
      </w:r>
      <w:r w:rsidRPr="008306FA">
        <w:rPr>
          <w:sz w:val="20"/>
          <w:szCs w:val="20"/>
        </w:rPr>
        <w:t>Е.</w:t>
      </w:r>
      <w:r w:rsidR="00581A92" w:rsidRPr="008306FA">
        <w:rPr>
          <w:sz w:val="20"/>
          <w:szCs w:val="20"/>
        </w:rPr>
        <w:t xml:space="preserve"> </w:t>
      </w:r>
      <w:r w:rsidRPr="008306FA">
        <w:rPr>
          <w:sz w:val="20"/>
          <w:szCs w:val="20"/>
        </w:rPr>
        <w:t>Вальковський</w:t>
      </w:r>
      <w:r w:rsidR="00581A92" w:rsidRPr="008306FA">
        <w:rPr>
          <w:sz w:val="20"/>
          <w:szCs w:val="20"/>
        </w:rPr>
        <w:t>, І. Крегул</w:t>
      </w:r>
    </w:p>
    <w:p w:rsidR="00C225F0" w:rsidRPr="00E12F68" w:rsidRDefault="00C225F0" w:rsidP="00921EBB">
      <w:pPr>
        <w:jc w:val="both"/>
        <w:rPr>
          <w:sz w:val="22"/>
          <w:szCs w:val="22"/>
        </w:rPr>
      </w:pPr>
    </w:p>
    <w:p w:rsidR="00C225F0" w:rsidRPr="00E12F68" w:rsidRDefault="00C225F0" w:rsidP="00921EBB">
      <w:pPr>
        <w:jc w:val="both"/>
        <w:rPr>
          <w:sz w:val="22"/>
          <w:szCs w:val="22"/>
        </w:rPr>
      </w:pPr>
      <w:bookmarkStart w:id="0" w:name="_GoBack"/>
      <w:bookmarkEnd w:id="0"/>
    </w:p>
    <w:sectPr w:rsidR="00C225F0" w:rsidRPr="00E12F68" w:rsidSect="008306FA">
      <w:headerReference w:type="default" r:id="rId7"/>
      <w:headerReference w:type="first" r:id="rId8"/>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E3A" w:rsidRDefault="00C12E3A" w:rsidP="00EE28F5">
      <w:r>
        <w:separator/>
      </w:r>
    </w:p>
  </w:endnote>
  <w:endnote w:type="continuationSeparator" w:id="0">
    <w:p w:rsidR="00C12E3A" w:rsidRDefault="00C12E3A" w:rsidP="00EE2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E3A" w:rsidRDefault="00C12E3A" w:rsidP="00EE28F5">
      <w:r>
        <w:separator/>
      </w:r>
    </w:p>
  </w:footnote>
  <w:footnote w:type="continuationSeparator" w:id="0">
    <w:p w:rsidR="00C12E3A" w:rsidRDefault="00C12E3A" w:rsidP="00EE2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780908"/>
      <w:docPartObj>
        <w:docPartGallery w:val="Page Numbers (Top of Page)"/>
        <w:docPartUnique/>
      </w:docPartObj>
    </w:sdtPr>
    <w:sdtEndPr/>
    <w:sdtContent>
      <w:p w:rsidR="00EE28F5" w:rsidRDefault="00EE28F5">
        <w:pPr>
          <w:pStyle w:val="a6"/>
          <w:jc w:val="right"/>
        </w:pPr>
        <w:r>
          <w:fldChar w:fldCharType="begin"/>
        </w:r>
        <w:r>
          <w:instrText>PAGE   \* MERGEFORMAT</w:instrText>
        </w:r>
        <w:r>
          <w:fldChar w:fldCharType="separate"/>
        </w:r>
        <w:r w:rsidR="008306FA">
          <w:rPr>
            <w:noProof/>
          </w:rPr>
          <w:t>3</w:t>
        </w:r>
        <w:r>
          <w:fldChar w:fldCharType="end"/>
        </w:r>
      </w:p>
    </w:sdtContent>
  </w:sdt>
  <w:p w:rsidR="00EE28F5" w:rsidRDefault="00EE28F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8F5" w:rsidRPr="009F0B11" w:rsidRDefault="00EE28F5" w:rsidP="00EE28F5">
    <w:pPr>
      <w:jc w:val="right"/>
      <w:rPr>
        <w:sz w:val="20"/>
        <w:szCs w:val="20"/>
      </w:rPr>
    </w:pPr>
    <w:r w:rsidRPr="009F0B11">
      <w:rPr>
        <w:sz w:val="20"/>
        <w:szCs w:val="20"/>
      </w:rPr>
      <w:t xml:space="preserve">До </w:t>
    </w:r>
    <w:r>
      <w:rPr>
        <w:sz w:val="20"/>
        <w:szCs w:val="20"/>
      </w:rPr>
      <w:t>реєстр. № 3793 від 03.07.2020</w:t>
    </w:r>
  </w:p>
  <w:p w:rsidR="00EE28F5" w:rsidRDefault="00EE28F5" w:rsidP="00EE28F5">
    <w:pPr>
      <w:jc w:val="right"/>
      <w:rPr>
        <w:sz w:val="20"/>
        <w:szCs w:val="20"/>
      </w:rPr>
    </w:pPr>
    <w:r>
      <w:rPr>
        <w:sz w:val="20"/>
        <w:szCs w:val="20"/>
      </w:rPr>
      <w:t>Народні</w:t>
    </w:r>
    <w:r w:rsidRPr="009F0B11">
      <w:rPr>
        <w:sz w:val="20"/>
        <w:szCs w:val="20"/>
      </w:rPr>
      <w:t xml:space="preserve"> депутат</w:t>
    </w:r>
    <w:r>
      <w:rPr>
        <w:sz w:val="20"/>
        <w:szCs w:val="20"/>
      </w:rPr>
      <w:t>и</w:t>
    </w:r>
    <w:r w:rsidRPr="009F0B11">
      <w:rPr>
        <w:sz w:val="20"/>
        <w:szCs w:val="20"/>
      </w:rPr>
      <w:t xml:space="preserve"> України </w:t>
    </w:r>
  </w:p>
  <w:p w:rsidR="00EE28F5" w:rsidRDefault="00EE28F5" w:rsidP="00EE28F5">
    <w:pPr>
      <w:jc w:val="right"/>
    </w:pPr>
    <w:r>
      <w:rPr>
        <w:sz w:val="20"/>
        <w:szCs w:val="20"/>
      </w:rPr>
      <w:t xml:space="preserve">Б. Приходько, Д. </w:t>
    </w:r>
    <w:proofErr w:type="spellStart"/>
    <w:r>
      <w:rPr>
        <w:sz w:val="20"/>
        <w:szCs w:val="20"/>
      </w:rPr>
      <w:t>Наталуха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54726"/>
    <w:multiLevelType w:val="hybridMultilevel"/>
    <w:tmpl w:val="784A0EE0"/>
    <w:lvl w:ilvl="0" w:tplc="0419000F">
      <w:start w:val="1"/>
      <w:numFmt w:val="decimal"/>
      <w:lvlText w:val="%1."/>
      <w:lvlJc w:val="left"/>
      <w:pPr>
        <w:ind w:left="3621" w:hanging="360"/>
      </w:pPr>
      <w:rPr>
        <w:rFonts w:cs="Times New Roman"/>
      </w:rPr>
    </w:lvl>
    <w:lvl w:ilvl="1" w:tplc="04190019" w:tentative="1">
      <w:start w:val="1"/>
      <w:numFmt w:val="lowerLetter"/>
      <w:lvlText w:val="%2."/>
      <w:lvlJc w:val="left"/>
      <w:pPr>
        <w:ind w:left="1914" w:hanging="360"/>
      </w:pPr>
      <w:rPr>
        <w:rFonts w:cs="Times New Roman"/>
      </w:rPr>
    </w:lvl>
    <w:lvl w:ilvl="2" w:tplc="0419001B" w:tentative="1">
      <w:start w:val="1"/>
      <w:numFmt w:val="lowerRoman"/>
      <w:lvlText w:val="%3."/>
      <w:lvlJc w:val="right"/>
      <w:pPr>
        <w:ind w:left="2634" w:hanging="180"/>
      </w:pPr>
      <w:rPr>
        <w:rFonts w:cs="Times New Roman"/>
      </w:rPr>
    </w:lvl>
    <w:lvl w:ilvl="3" w:tplc="0419000F" w:tentative="1">
      <w:start w:val="1"/>
      <w:numFmt w:val="decimal"/>
      <w:lvlText w:val="%4."/>
      <w:lvlJc w:val="left"/>
      <w:pPr>
        <w:ind w:left="3354" w:hanging="360"/>
      </w:pPr>
      <w:rPr>
        <w:rFonts w:cs="Times New Roman"/>
      </w:rPr>
    </w:lvl>
    <w:lvl w:ilvl="4" w:tplc="04190019" w:tentative="1">
      <w:start w:val="1"/>
      <w:numFmt w:val="lowerLetter"/>
      <w:lvlText w:val="%5."/>
      <w:lvlJc w:val="left"/>
      <w:pPr>
        <w:ind w:left="4074" w:hanging="360"/>
      </w:pPr>
      <w:rPr>
        <w:rFonts w:cs="Times New Roman"/>
      </w:rPr>
    </w:lvl>
    <w:lvl w:ilvl="5" w:tplc="0419001B" w:tentative="1">
      <w:start w:val="1"/>
      <w:numFmt w:val="lowerRoman"/>
      <w:lvlText w:val="%6."/>
      <w:lvlJc w:val="right"/>
      <w:pPr>
        <w:ind w:left="4794" w:hanging="180"/>
      </w:pPr>
      <w:rPr>
        <w:rFonts w:cs="Times New Roman"/>
      </w:rPr>
    </w:lvl>
    <w:lvl w:ilvl="6" w:tplc="0419000F" w:tentative="1">
      <w:start w:val="1"/>
      <w:numFmt w:val="decimal"/>
      <w:lvlText w:val="%7."/>
      <w:lvlJc w:val="left"/>
      <w:pPr>
        <w:ind w:left="5514" w:hanging="360"/>
      </w:pPr>
      <w:rPr>
        <w:rFonts w:cs="Times New Roman"/>
      </w:rPr>
    </w:lvl>
    <w:lvl w:ilvl="7" w:tplc="04190019" w:tentative="1">
      <w:start w:val="1"/>
      <w:numFmt w:val="lowerLetter"/>
      <w:lvlText w:val="%8."/>
      <w:lvlJc w:val="left"/>
      <w:pPr>
        <w:ind w:left="6234" w:hanging="360"/>
      </w:pPr>
      <w:rPr>
        <w:rFonts w:cs="Times New Roman"/>
      </w:rPr>
    </w:lvl>
    <w:lvl w:ilvl="8" w:tplc="0419001B" w:tentative="1">
      <w:start w:val="1"/>
      <w:numFmt w:val="lowerRoman"/>
      <w:lvlText w:val="%9."/>
      <w:lvlJc w:val="right"/>
      <w:pPr>
        <w:ind w:left="6954" w:hanging="180"/>
      </w:pPr>
      <w:rPr>
        <w:rFonts w:cs="Times New Roman"/>
      </w:rPr>
    </w:lvl>
  </w:abstractNum>
  <w:abstractNum w:abstractNumId="1" w15:restartNumberingAfterBreak="0">
    <w:nsid w:val="39581C72"/>
    <w:multiLevelType w:val="hybridMultilevel"/>
    <w:tmpl w:val="11565E42"/>
    <w:lvl w:ilvl="0" w:tplc="7032B1A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7F131C4"/>
    <w:multiLevelType w:val="hybridMultilevel"/>
    <w:tmpl w:val="A71E9CCC"/>
    <w:lvl w:ilvl="0" w:tplc="38B25452">
      <w:start w:val="2"/>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9B97043"/>
    <w:multiLevelType w:val="hybridMultilevel"/>
    <w:tmpl w:val="0F8CC738"/>
    <w:lvl w:ilvl="0" w:tplc="04220001">
      <w:start w:val="1"/>
      <w:numFmt w:val="bullet"/>
      <w:lvlText w:val=""/>
      <w:lvlJc w:val="left"/>
      <w:pPr>
        <w:ind w:left="3621" w:hanging="360"/>
      </w:pPr>
      <w:rPr>
        <w:rFonts w:ascii="Symbol" w:hAnsi="Symbol" w:hint="default"/>
      </w:rPr>
    </w:lvl>
    <w:lvl w:ilvl="1" w:tplc="04190019">
      <w:start w:val="1"/>
      <w:numFmt w:val="lowerLetter"/>
      <w:lvlText w:val="%2."/>
      <w:lvlJc w:val="left"/>
      <w:pPr>
        <w:ind w:left="1914" w:hanging="360"/>
      </w:pPr>
      <w:rPr>
        <w:rFonts w:cs="Times New Roman"/>
      </w:rPr>
    </w:lvl>
    <w:lvl w:ilvl="2" w:tplc="0419001B">
      <w:start w:val="1"/>
      <w:numFmt w:val="lowerRoman"/>
      <w:lvlText w:val="%3."/>
      <w:lvlJc w:val="right"/>
      <w:pPr>
        <w:ind w:left="2634" w:hanging="180"/>
      </w:pPr>
      <w:rPr>
        <w:rFonts w:cs="Times New Roman"/>
      </w:rPr>
    </w:lvl>
    <w:lvl w:ilvl="3" w:tplc="0419000F">
      <w:start w:val="1"/>
      <w:numFmt w:val="decimal"/>
      <w:lvlText w:val="%4."/>
      <w:lvlJc w:val="left"/>
      <w:pPr>
        <w:ind w:left="3354" w:hanging="360"/>
      </w:pPr>
      <w:rPr>
        <w:rFonts w:cs="Times New Roman"/>
      </w:rPr>
    </w:lvl>
    <w:lvl w:ilvl="4" w:tplc="04190019">
      <w:start w:val="1"/>
      <w:numFmt w:val="lowerLetter"/>
      <w:lvlText w:val="%5."/>
      <w:lvlJc w:val="left"/>
      <w:pPr>
        <w:ind w:left="4074" w:hanging="360"/>
      </w:pPr>
      <w:rPr>
        <w:rFonts w:cs="Times New Roman"/>
      </w:rPr>
    </w:lvl>
    <w:lvl w:ilvl="5" w:tplc="0419001B">
      <w:start w:val="1"/>
      <w:numFmt w:val="lowerRoman"/>
      <w:lvlText w:val="%6."/>
      <w:lvlJc w:val="right"/>
      <w:pPr>
        <w:ind w:left="4794" w:hanging="180"/>
      </w:pPr>
      <w:rPr>
        <w:rFonts w:cs="Times New Roman"/>
      </w:rPr>
    </w:lvl>
    <w:lvl w:ilvl="6" w:tplc="0419000F">
      <w:start w:val="1"/>
      <w:numFmt w:val="decimal"/>
      <w:lvlText w:val="%7."/>
      <w:lvlJc w:val="left"/>
      <w:pPr>
        <w:ind w:left="5514" w:hanging="360"/>
      </w:pPr>
      <w:rPr>
        <w:rFonts w:cs="Times New Roman"/>
      </w:rPr>
    </w:lvl>
    <w:lvl w:ilvl="7" w:tplc="04190019">
      <w:start w:val="1"/>
      <w:numFmt w:val="lowerLetter"/>
      <w:lvlText w:val="%8."/>
      <w:lvlJc w:val="left"/>
      <w:pPr>
        <w:ind w:left="6234" w:hanging="360"/>
      </w:pPr>
      <w:rPr>
        <w:rFonts w:cs="Times New Roman"/>
      </w:rPr>
    </w:lvl>
    <w:lvl w:ilvl="8" w:tplc="0419001B">
      <w:start w:val="1"/>
      <w:numFmt w:val="lowerRoman"/>
      <w:lvlText w:val="%9."/>
      <w:lvlJc w:val="right"/>
      <w:pPr>
        <w:ind w:left="6954" w:hanging="180"/>
      </w:pPr>
      <w:rPr>
        <w:rFonts w:cs="Times New Roman"/>
      </w:rPr>
    </w:lvl>
  </w:abstractNum>
  <w:abstractNum w:abstractNumId="4" w15:restartNumberingAfterBreak="0">
    <w:nsid w:val="4BE143DB"/>
    <w:multiLevelType w:val="hybridMultilevel"/>
    <w:tmpl w:val="163AF7BC"/>
    <w:lvl w:ilvl="0" w:tplc="CEB8EF8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49815CD"/>
    <w:multiLevelType w:val="hybridMultilevel"/>
    <w:tmpl w:val="FED0F832"/>
    <w:lvl w:ilvl="0" w:tplc="0422000F">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C3C"/>
    <w:rsid w:val="000007E1"/>
    <w:rsid w:val="00035C3C"/>
    <w:rsid w:val="0005596D"/>
    <w:rsid w:val="00087F25"/>
    <w:rsid w:val="000D0300"/>
    <w:rsid w:val="00143E81"/>
    <w:rsid w:val="001B01C4"/>
    <w:rsid w:val="001F44A3"/>
    <w:rsid w:val="002133EE"/>
    <w:rsid w:val="00282A03"/>
    <w:rsid w:val="002875E9"/>
    <w:rsid w:val="002C041E"/>
    <w:rsid w:val="002C0AA6"/>
    <w:rsid w:val="002E5702"/>
    <w:rsid w:val="00327CE7"/>
    <w:rsid w:val="003808A9"/>
    <w:rsid w:val="0038785C"/>
    <w:rsid w:val="003D44F8"/>
    <w:rsid w:val="004232BC"/>
    <w:rsid w:val="004A0DD5"/>
    <w:rsid w:val="00500932"/>
    <w:rsid w:val="005363E9"/>
    <w:rsid w:val="00581A92"/>
    <w:rsid w:val="00581ADF"/>
    <w:rsid w:val="005A01D7"/>
    <w:rsid w:val="005B7BF6"/>
    <w:rsid w:val="005D5E7C"/>
    <w:rsid w:val="005F43A9"/>
    <w:rsid w:val="0061460C"/>
    <w:rsid w:val="006B50C2"/>
    <w:rsid w:val="006C7E05"/>
    <w:rsid w:val="007928E6"/>
    <w:rsid w:val="007A3F66"/>
    <w:rsid w:val="007C5436"/>
    <w:rsid w:val="007E7B89"/>
    <w:rsid w:val="008306FA"/>
    <w:rsid w:val="008577CE"/>
    <w:rsid w:val="00891720"/>
    <w:rsid w:val="008934FD"/>
    <w:rsid w:val="008E65B1"/>
    <w:rsid w:val="009112CC"/>
    <w:rsid w:val="00915FEC"/>
    <w:rsid w:val="00921EBB"/>
    <w:rsid w:val="00926320"/>
    <w:rsid w:val="009466B0"/>
    <w:rsid w:val="00953D18"/>
    <w:rsid w:val="00970144"/>
    <w:rsid w:val="009863E6"/>
    <w:rsid w:val="009D0FD7"/>
    <w:rsid w:val="009D13DD"/>
    <w:rsid w:val="009E01D8"/>
    <w:rsid w:val="009E2BA9"/>
    <w:rsid w:val="00A02A05"/>
    <w:rsid w:val="00A75CAB"/>
    <w:rsid w:val="00A8369D"/>
    <w:rsid w:val="00A87FD8"/>
    <w:rsid w:val="00A90737"/>
    <w:rsid w:val="00A94B0F"/>
    <w:rsid w:val="00AB7F5F"/>
    <w:rsid w:val="00AE7BFD"/>
    <w:rsid w:val="00B05BA9"/>
    <w:rsid w:val="00B164D9"/>
    <w:rsid w:val="00B257DE"/>
    <w:rsid w:val="00B31D4E"/>
    <w:rsid w:val="00B83EC3"/>
    <w:rsid w:val="00B9010E"/>
    <w:rsid w:val="00B92710"/>
    <w:rsid w:val="00BA6931"/>
    <w:rsid w:val="00C12E3A"/>
    <w:rsid w:val="00C225F0"/>
    <w:rsid w:val="00C54913"/>
    <w:rsid w:val="00C56252"/>
    <w:rsid w:val="00C75ACE"/>
    <w:rsid w:val="00C94946"/>
    <w:rsid w:val="00CC3623"/>
    <w:rsid w:val="00D41D5C"/>
    <w:rsid w:val="00D42EAE"/>
    <w:rsid w:val="00D63AAC"/>
    <w:rsid w:val="00D75EE5"/>
    <w:rsid w:val="00D8628D"/>
    <w:rsid w:val="00DB0A85"/>
    <w:rsid w:val="00DB1D37"/>
    <w:rsid w:val="00DC23AA"/>
    <w:rsid w:val="00DC46F6"/>
    <w:rsid w:val="00DC5844"/>
    <w:rsid w:val="00DE561C"/>
    <w:rsid w:val="00E12F68"/>
    <w:rsid w:val="00E4286A"/>
    <w:rsid w:val="00E91191"/>
    <w:rsid w:val="00EE28F5"/>
    <w:rsid w:val="00F066B1"/>
    <w:rsid w:val="00F2072E"/>
    <w:rsid w:val="00F366C6"/>
    <w:rsid w:val="00F60DA1"/>
    <w:rsid w:val="00F918DF"/>
    <w:rsid w:val="00FA3BD3"/>
    <w:rsid w:val="00FF2D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034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link w:val="30"/>
    <w:uiPriority w:val="9"/>
    <w:qFormat/>
    <w:rsid w:val="00C225F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035C3C"/>
  </w:style>
  <w:style w:type="character" w:styleId="a3">
    <w:name w:val="Hyperlink"/>
    <w:basedOn w:val="a0"/>
    <w:rsid w:val="009D0FD7"/>
    <w:rPr>
      <w:color w:val="0000FF"/>
      <w:u w:val="single"/>
    </w:rPr>
  </w:style>
  <w:style w:type="paragraph" w:customStyle="1" w:styleId="StyleZakonu">
    <w:name w:val="StyleZakonu"/>
    <w:basedOn w:val="a"/>
    <w:link w:val="StyleZakonu0"/>
    <w:uiPriority w:val="99"/>
    <w:rsid w:val="00921EBB"/>
    <w:pPr>
      <w:spacing w:after="60" w:line="220" w:lineRule="exact"/>
      <w:ind w:firstLine="284"/>
      <w:jc w:val="both"/>
    </w:pPr>
    <w:rPr>
      <w:sz w:val="20"/>
      <w:szCs w:val="20"/>
      <w:lang w:eastAsia="ru-RU"/>
    </w:rPr>
  </w:style>
  <w:style w:type="character" w:customStyle="1" w:styleId="StyleZakonu0">
    <w:name w:val="StyleZakonu Знак"/>
    <w:link w:val="StyleZakonu"/>
    <w:uiPriority w:val="99"/>
    <w:locked/>
    <w:rsid w:val="00921EBB"/>
    <w:rPr>
      <w:lang w:val="uk-UA" w:eastAsia="ru-RU" w:bidi="ar-SA"/>
    </w:rPr>
  </w:style>
  <w:style w:type="paragraph" w:customStyle="1" w:styleId="rvps2">
    <w:name w:val="rvps2"/>
    <w:basedOn w:val="a"/>
    <w:rsid w:val="00891720"/>
    <w:pPr>
      <w:spacing w:before="100" w:beforeAutospacing="1" w:after="100" w:afterAutospacing="1"/>
    </w:p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83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4">
    <w:name w:val="Emphasis"/>
    <w:basedOn w:val="a0"/>
    <w:qFormat/>
    <w:rsid w:val="00A8369D"/>
    <w:rPr>
      <w:i/>
      <w:iCs/>
    </w:rPr>
  </w:style>
  <w:style w:type="paragraph" w:customStyle="1" w:styleId="a5">
    <w:name w:val="Назва документа"/>
    <w:basedOn w:val="a"/>
    <w:next w:val="a"/>
    <w:rsid w:val="009D13DD"/>
    <w:pPr>
      <w:keepNext/>
      <w:keepLines/>
      <w:spacing w:before="360" w:after="360"/>
      <w:jc w:val="center"/>
    </w:pPr>
    <w:rPr>
      <w:rFonts w:ascii="Antiqua" w:eastAsia="Calibri" w:hAnsi="Antiqua"/>
      <w:b/>
      <w:sz w:val="26"/>
      <w:szCs w:val="20"/>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locked/>
    <w:rsid w:val="00DC46F6"/>
    <w:rPr>
      <w:rFonts w:ascii="Courier New" w:hAnsi="Courier New" w:cs="Courier New"/>
      <w:lang w:val="uk-UA" w:eastAsia="uk-UA" w:bidi="ar-SA"/>
    </w:rPr>
  </w:style>
  <w:style w:type="paragraph" w:customStyle="1" w:styleId="rvps6">
    <w:name w:val="rvps6"/>
    <w:basedOn w:val="a"/>
    <w:uiPriority w:val="99"/>
    <w:rsid w:val="00A90737"/>
    <w:pPr>
      <w:spacing w:before="100" w:beforeAutospacing="1" w:after="100" w:afterAutospacing="1"/>
    </w:pPr>
  </w:style>
  <w:style w:type="character" w:customStyle="1" w:styleId="30">
    <w:name w:val="Заголовок 3 Знак"/>
    <w:basedOn w:val="a0"/>
    <w:link w:val="3"/>
    <w:uiPriority w:val="9"/>
    <w:rsid w:val="00C225F0"/>
    <w:rPr>
      <w:b/>
      <w:bCs/>
      <w:sz w:val="27"/>
      <w:szCs w:val="27"/>
    </w:rPr>
  </w:style>
  <w:style w:type="paragraph" w:styleId="2">
    <w:name w:val="Body Text Indent 2"/>
    <w:basedOn w:val="a"/>
    <w:link w:val="20"/>
    <w:rsid w:val="00C225F0"/>
    <w:pPr>
      <w:ind w:firstLine="567"/>
      <w:jc w:val="both"/>
    </w:pPr>
    <w:rPr>
      <w:sz w:val="20"/>
      <w:szCs w:val="20"/>
      <w:lang w:eastAsia="ru-RU"/>
    </w:rPr>
  </w:style>
  <w:style w:type="character" w:customStyle="1" w:styleId="20">
    <w:name w:val="Основний текст з відступом 2 Знак"/>
    <w:basedOn w:val="a0"/>
    <w:link w:val="2"/>
    <w:rsid w:val="00C225F0"/>
    <w:rPr>
      <w:lang w:eastAsia="ru-RU"/>
    </w:rPr>
  </w:style>
  <w:style w:type="paragraph" w:styleId="a6">
    <w:name w:val="header"/>
    <w:basedOn w:val="a"/>
    <w:link w:val="a7"/>
    <w:uiPriority w:val="99"/>
    <w:rsid w:val="00EE28F5"/>
    <w:pPr>
      <w:tabs>
        <w:tab w:val="center" w:pos="4819"/>
        <w:tab w:val="right" w:pos="9639"/>
      </w:tabs>
    </w:pPr>
  </w:style>
  <w:style w:type="character" w:customStyle="1" w:styleId="a7">
    <w:name w:val="Верхній колонтитул Знак"/>
    <w:basedOn w:val="a0"/>
    <w:link w:val="a6"/>
    <w:uiPriority w:val="99"/>
    <w:rsid w:val="00EE28F5"/>
    <w:rPr>
      <w:sz w:val="24"/>
      <w:szCs w:val="24"/>
    </w:rPr>
  </w:style>
  <w:style w:type="paragraph" w:styleId="a8">
    <w:name w:val="footer"/>
    <w:basedOn w:val="a"/>
    <w:link w:val="a9"/>
    <w:rsid w:val="00EE28F5"/>
    <w:pPr>
      <w:tabs>
        <w:tab w:val="center" w:pos="4819"/>
        <w:tab w:val="right" w:pos="9639"/>
      </w:tabs>
    </w:pPr>
  </w:style>
  <w:style w:type="character" w:customStyle="1" w:styleId="a9">
    <w:name w:val="Нижній колонтитул Знак"/>
    <w:basedOn w:val="a0"/>
    <w:link w:val="a8"/>
    <w:rsid w:val="00EE28F5"/>
    <w:rPr>
      <w:sz w:val="24"/>
      <w:szCs w:val="24"/>
    </w:rPr>
  </w:style>
  <w:style w:type="paragraph" w:styleId="aa">
    <w:name w:val="List Paragraph"/>
    <w:basedOn w:val="a"/>
    <w:uiPriority w:val="99"/>
    <w:qFormat/>
    <w:rsid w:val="0061460C"/>
    <w:pPr>
      <w:spacing w:line="300" w:lineRule="atLeast"/>
      <w:ind w:left="720"/>
      <w:contextualSpacing/>
      <w:jc w:val="both"/>
    </w:pPr>
    <w:rPr>
      <w:color w:val="000000"/>
      <w:sz w:val="22"/>
      <w:szCs w:val="22"/>
      <w:lang w:val="en-GB" w:eastAsia="en-US"/>
    </w:rPr>
  </w:style>
  <w:style w:type="paragraph" w:styleId="ab">
    <w:name w:val="Balloon Text"/>
    <w:basedOn w:val="a"/>
    <w:link w:val="ac"/>
    <w:rsid w:val="00D42EAE"/>
    <w:rPr>
      <w:rFonts w:ascii="Segoe UI" w:hAnsi="Segoe UI" w:cs="Segoe UI"/>
      <w:sz w:val="18"/>
      <w:szCs w:val="18"/>
    </w:rPr>
  </w:style>
  <w:style w:type="character" w:customStyle="1" w:styleId="ac">
    <w:name w:val="Текст у виносці Знак"/>
    <w:basedOn w:val="a0"/>
    <w:link w:val="ab"/>
    <w:rsid w:val="00D42E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87197">
      <w:bodyDiv w:val="1"/>
      <w:marLeft w:val="0"/>
      <w:marRight w:val="0"/>
      <w:marTop w:val="0"/>
      <w:marBottom w:val="0"/>
      <w:divBdr>
        <w:top w:val="none" w:sz="0" w:space="0" w:color="auto"/>
        <w:left w:val="none" w:sz="0" w:space="0" w:color="auto"/>
        <w:bottom w:val="none" w:sz="0" w:space="0" w:color="auto"/>
        <w:right w:val="none" w:sz="0" w:space="0" w:color="auto"/>
      </w:divBdr>
      <w:divsChild>
        <w:div w:id="369381528">
          <w:marLeft w:val="0"/>
          <w:marRight w:val="0"/>
          <w:marTop w:val="0"/>
          <w:marBottom w:val="0"/>
          <w:divBdr>
            <w:top w:val="none" w:sz="0" w:space="0" w:color="auto"/>
            <w:left w:val="none" w:sz="0" w:space="0" w:color="auto"/>
            <w:bottom w:val="none" w:sz="0" w:space="0" w:color="auto"/>
            <w:right w:val="none" w:sz="0" w:space="0" w:color="auto"/>
          </w:divBdr>
        </w:div>
        <w:div w:id="513737203">
          <w:marLeft w:val="0"/>
          <w:marRight w:val="0"/>
          <w:marTop w:val="0"/>
          <w:marBottom w:val="0"/>
          <w:divBdr>
            <w:top w:val="none" w:sz="0" w:space="0" w:color="auto"/>
            <w:left w:val="none" w:sz="0" w:space="0" w:color="auto"/>
            <w:bottom w:val="none" w:sz="0" w:space="0" w:color="auto"/>
            <w:right w:val="none" w:sz="0" w:space="0" w:color="auto"/>
          </w:divBdr>
        </w:div>
        <w:div w:id="635060935">
          <w:marLeft w:val="0"/>
          <w:marRight w:val="0"/>
          <w:marTop w:val="0"/>
          <w:marBottom w:val="0"/>
          <w:divBdr>
            <w:top w:val="none" w:sz="0" w:space="0" w:color="auto"/>
            <w:left w:val="none" w:sz="0" w:space="0" w:color="auto"/>
            <w:bottom w:val="none" w:sz="0" w:space="0" w:color="auto"/>
            <w:right w:val="none" w:sz="0" w:space="0" w:color="auto"/>
          </w:divBdr>
        </w:div>
        <w:div w:id="861939505">
          <w:marLeft w:val="0"/>
          <w:marRight w:val="0"/>
          <w:marTop w:val="0"/>
          <w:marBottom w:val="0"/>
          <w:divBdr>
            <w:top w:val="none" w:sz="0" w:space="0" w:color="auto"/>
            <w:left w:val="none" w:sz="0" w:space="0" w:color="auto"/>
            <w:bottom w:val="none" w:sz="0" w:space="0" w:color="auto"/>
            <w:right w:val="none" w:sz="0" w:space="0" w:color="auto"/>
          </w:divBdr>
        </w:div>
        <w:div w:id="1425953849">
          <w:marLeft w:val="0"/>
          <w:marRight w:val="0"/>
          <w:marTop w:val="0"/>
          <w:marBottom w:val="0"/>
          <w:divBdr>
            <w:top w:val="none" w:sz="0" w:space="0" w:color="auto"/>
            <w:left w:val="none" w:sz="0" w:space="0" w:color="auto"/>
            <w:bottom w:val="none" w:sz="0" w:space="0" w:color="auto"/>
            <w:right w:val="none" w:sz="0" w:space="0" w:color="auto"/>
          </w:divBdr>
        </w:div>
        <w:div w:id="1453742590">
          <w:marLeft w:val="0"/>
          <w:marRight w:val="0"/>
          <w:marTop w:val="0"/>
          <w:marBottom w:val="0"/>
          <w:divBdr>
            <w:top w:val="none" w:sz="0" w:space="0" w:color="auto"/>
            <w:left w:val="none" w:sz="0" w:space="0" w:color="auto"/>
            <w:bottom w:val="none" w:sz="0" w:space="0" w:color="auto"/>
            <w:right w:val="none" w:sz="0" w:space="0" w:color="auto"/>
          </w:divBdr>
        </w:div>
        <w:div w:id="1796681378">
          <w:marLeft w:val="0"/>
          <w:marRight w:val="0"/>
          <w:marTop w:val="0"/>
          <w:marBottom w:val="0"/>
          <w:divBdr>
            <w:top w:val="none" w:sz="0" w:space="0" w:color="auto"/>
            <w:left w:val="none" w:sz="0" w:space="0" w:color="auto"/>
            <w:bottom w:val="none" w:sz="0" w:space="0" w:color="auto"/>
            <w:right w:val="none" w:sz="0" w:space="0" w:color="auto"/>
          </w:divBdr>
        </w:div>
        <w:div w:id="2023166721">
          <w:marLeft w:val="0"/>
          <w:marRight w:val="0"/>
          <w:marTop w:val="0"/>
          <w:marBottom w:val="0"/>
          <w:divBdr>
            <w:top w:val="none" w:sz="0" w:space="0" w:color="auto"/>
            <w:left w:val="none" w:sz="0" w:space="0" w:color="auto"/>
            <w:bottom w:val="none" w:sz="0" w:space="0" w:color="auto"/>
            <w:right w:val="none" w:sz="0" w:space="0" w:color="auto"/>
          </w:divBdr>
        </w:div>
      </w:divsChild>
    </w:div>
    <w:div w:id="700591912">
      <w:bodyDiv w:val="1"/>
      <w:marLeft w:val="0"/>
      <w:marRight w:val="0"/>
      <w:marTop w:val="0"/>
      <w:marBottom w:val="0"/>
      <w:divBdr>
        <w:top w:val="none" w:sz="0" w:space="0" w:color="auto"/>
        <w:left w:val="none" w:sz="0" w:space="0" w:color="auto"/>
        <w:bottom w:val="none" w:sz="0" w:space="0" w:color="auto"/>
        <w:right w:val="none" w:sz="0" w:space="0" w:color="auto"/>
      </w:divBdr>
    </w:div>
    <w:div w:id="1320966942">
      <w:bodyDiv w:val="1"/>
      <w:marLeft w:val="0"/>
      <w:marRight w:val="0"/>
      <w:marTop w:val="0"/>
      <w:marBottom w:val="0"/>
      <w:divBdr>
        <w:top w:val="none" w:sz="0" w:space="0" w:color="auto"/>
        <w:left w:val="none" w:sz="0" w:space="0" w:color="auto"/>
        <w:bottom w:val="none" w:sz="0" w:space="0" w:color="auto"/>
        <w:right w:val="none" w:sz="0" w:space="0" w:color="auto"/>
      </w:divBdr>
      <w:divsChild>
        <w:div w:id="1256210602">
          <w:marLeft w:val="0"/>
          <w:marRight w:val="0"/>
          <w:marTop w:val="0"/>
          <w:marBottom w:val="0"/>
          <w:divBdr>
            <w:top w:val="none" w:sz="0" w:space="0" w:color="auto"/>
            <w:left w:val="none" w:sz="0" w:space="0" w:color="auto"/>
            <w:bottom w:val="none" w:sz="0" w:space="0" w:color="auto"/>
            <w:right w:val="none" w:sz="0" w:space="0" w:color="auto"/>
          </w:divBdr>
        </w:div>
      </w:divsChild>
    </w:div>
    <w:div w:id="155026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5002</Words>
  <Characters>2852</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7839</CharactersWithSpaces>
  <SharedDoc>false</SharedDoc>
  <HLinks>
    <vt:vector size="12" baseType="variant">
      <vt:variant>
        <vt:i4>7274537</vt:i4>
      </vt:variant>
      <vt:variant>
        <vt:i4>3</vt:i4>
      </vt:variant>
      <vt:variant>
        <vt:i4>0</vt:i4>
      </vt:variant>
      <vt:variant>
        <vt:i4>5</vt:i4>
      </vt:variant>
      <vt:variant>
        <vt:lpwstr>https://zakon.rada.gov.ua/laws/show/1792-19</vt:lpwstr>
      </vt:variant>
      <vt:variant>
        <vt:lpwstr/>
      </vt:variant>
      <vt:variant>
        <vt:i4>7340092</vt:i4>
      </vt:variant>
      <vt:variant>
        <vt:i4>0</vt:i4>
      </vt:variant>
      <vt:variant>
        <vt:i4>0</vt:i4>
      </vt:variant>
      <vt:variant>
        <vt:i4>5</vt:i4>
      </vt:variant>
      <vt:variant>
        <vt:lpwstr>https://zakon.rada.gov.ua/laws/show/514-17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2020-11-10T09:54:00Z</dcterms:created>
  <dcterms:modified xsi:type="dcterms:W3CDTF">2020-11-10T09:55:00Z</dcterms:modified>
</cp:coreProperties>
</file>