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E20" w:rsidRDefault="00076E20">
      <w:pPr>
        <w:spacing w:before="120" w:after="12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1C709C" w:rsidRPr="00702319" w:rsidRDefault="00595471">
      <w:pPr>
        <w:spacing w:before="120" w:after="12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ПОРІВНЯЛЬНА ТАБЛИЦЯ </w:t>
      </w:r>
      <w:r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br/>
        <w:t xml:space="preserve">проекту </w:t>
      </w:r>
      <w:bookmarkStart w:id="1" w:name="_Hlk44579285"/>
      <w:r w:rsidR="00D6098E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</w:t>
      </w:r>
      <w:r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акону України </w:t>
      </w:r>
      <w:bookmarkStart w:id="2" w:name="_Hlk35254715"/>
      <w:bookmarkStart w:id="3" w:name="_Hlk35254701"/>
      <w:r w:rsidR="00E90F8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«</w:t>
      </w:r>
      <w:r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Про внесення змін до Податкового кодексу України</w:t>
      </w:r>
      <w:r w:rsidR="00E90F80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»</w:t>
      </w:r>
      <w:r w:rsidR="00473174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bookmarkEnd w:id="2"/>
      <w:bookmarkEnd w:id="3"/>
      <w:r w:rsidR="00B6002F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щодо </w:t>
      </w:r>
      <w:r w:rsidR="006F44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зміни підходу у визначенні</w:t>
      </w:r>
      <w:r w:rsidR="00745ABF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обсяг</w:t>
      </w:r>
      <w:r w:rsidR="006F44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у</w:t>
      </w:r>
      <w:r w:rsidR="00745ABF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доходів </w:t>
      </w:r>
      <w:r w:rsidR="002608EF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для застосування </w:t>
      </w:r>
      <w:r w:rsidR="00B6002F" w:rsidRPr="00702319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спрощеної системи оподаткування</w:t>
      </w:r>
    </w:p>
    <w:tbl>
      <w:tblPr>
        <w:tblStyle w:val="a4"/>
        <w:tblW w:w="14850" w:type="dxa"/>
        <w:tblLook w:val="04A0" w:firstRow="1" w:lastRow="0" w:firstColumn="1" w:lastColumn="0" w:noHBand="0" w:noVBand="1"/>
      </w:tblPr>
      <w:tblGrid>
        <w:gridCol w:w="7425"/>
        <w:gridCol w:w="7425"/>
      </w:tblGrid>
      <w:tr w:rsidR="00EB55CE" w:rsidRPr="00702319" w:rsidTr="00B92451">
        <w:tc>
          <w:tcPr>
            <w:tcW w:w="7425" w:type="dxa"/>
          </w:tcPr>
          <w:bookmarkEnd w:id="1"/>
          <w:p w:rsidR="00EB55CE" w:rsidRPr="00702319" w:rsidRDefault="00595471" w:rsidP="00B6002F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0231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Зміст положення (норми) чинного акта законодавства</w:t>
            </w:r>
          </w:p>
        </w:tc>
        <w:tc>
          <w:tcPr>
            <w:tcW w:w="7425" w:type="dxa"/>
          </w:tcPr>
          <w:p w:rsidR="00EB55CE" w:rsidRPr="00702319" w:rsidRDefault="00595471" w:rsidP="00B6002F">
            <w:pPr>
              <w:spacing w:before="120" w:after="120"/>
              <w:ind w:firstLine="397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70231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Зміст від</w:t>
            </w:r>
            <w:r w:rsidR="00B92451" w:rsidRPr="0070231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повідного положення (норми) прое</w:t>
            </w:r>
            <w:r w:rsidRPr="0070231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кту акта</w:t>
            </w:r>
          </w:p>
        </w:tc>
      </w:tr>
      <w:tr w:rsidR="00EB55CE" w:rsidRPr="00702319" w:rsidTr="005E3F8F">
        <w:tc>
          <w:tcPr>
            <w:tcW w:w="14850" w:type="dxa"/>
            <w:gridSpan w:val="2"/>
          </w:tcPr>
          <w:p w:rsidR="00EB55CE" w:rsidRPr="00702319" w:rsidRDefault="00595471" w:rsidP="009155F0">
            <w:pPr>
              <w:spacing w:before="120" w:after="12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702319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Податковий кодекс України</w:t>
            </w:r>
          </w:p>
        </w:tc>
      </w:tr>
      <w:tr w:rsidR="00B6002F" w:rsidRPr="00702319" w:rsidTr="006059B8">
        <w:tc>
          <w:tcPr>
            <w:tcW w:w="14850" w:type="dxa"/>
            <w:gridSpan w:val="2"/>
          </w:tcPr>
          <w:p w:rsidR="00B6002F" w:rsidRPr="00702319" w:rsidRDefault="00B6002F" w:rsidP="009155F0">
            <w:pPr>
              <w:pStyle w:val="rvps2"/>
              <w:spacing w:before="120" w:beforeAutospacing="0" w:after="120" w:afterAutospacing="0"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702319">
              <w:rPr>
                <w:b/>
                <w:color w:val="000000" w:themeColor="text1"/>
                <w:sz w:val="28"/>
                <w:szCs w:val="28"/>
              </w:rPr>
              <w:t>РОЗДІЛ XIV. СПЕЦІАЛЬНІ ПОДАТКОВІ РЕЖИМИ</w:t>
            </w:r>
          </w:p>
        </w:tc>
      </w:tr>
      <w:tr w:rsidR="00B6002F" w:rsidRPr="00702319" w:rsidTr="004B49E3">
        <w:tc>
          <w:tcPr>
            <w:tcW w:w="14850" w:type="dxa"/>
            <w:gridSpan w:val="2"/>
          </w:tcPr>
          <w:p w:rsidR="00B6002F" w:rsidRPr="00702319" w:rsidRDefault="00B6002F" w:rsidP="009155F0">
            <w:pPr>
              <w:pStyle w:val="rvps2"/>
              <w:spacing w:before="120" w:beforeAutospacing="0" w:after="120" w:afterAutospacing="0" w:line="276" w:lineRule="auto"/>
              <w:jc w:val="center"/>
              <w:rPr>
                <w:color w:val="000000" w:themeColor="text1"/>
                <w:sz w:val="28"/>
                <w:szCs w:val="28"/>
              </w:rPr>
            </w:pPr>
            <w:bookmarkStart w:id="4" w:name="19267"/>
            <w:bookmarkEnd w:id="4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ГЛАВА 1. СПРОЩЕНА СИСТЕМА ОПОДАТКУВАННЯ, ОБЛІКУ ТА ЗВІТНОСТІ</w:t>
            </w:r>
          </w:p>
        </w:tc>
      </w:tr>
      <w:tr w:rsidR="00B6002F" w:rsidRPr="00702319" w:rsidTr="00B92451">
        <w:tc>
          <w:tcPr>
            <w:tcW w:w="7425" w:type="dxa"/>
          </w:tcPr>
          <w:p w:rsidR="00B6002F" w:rsidRPr="00702319" w:rsidRDefault="00B6002F" w:rsidP="00B6002F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bookmarkStart w:id="5" w:name="19270"/>
            <w:bookmarkEnd w:id="5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Стаття 291. Загальні положення</w:t>
            </w:r>
          </w:p>
        </w:tc>
        <w:tc>
          <w:tcPr>
            <w:tcW w:w="7425" w:type="dxa"/>
          </w:tcPr>
          <w:p w:rsidR="00B6002F" w:rsidRPr="00702319" w:rsidRDefault="00B6002F" w:rsidP="00B6002F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Стаття 291. Загальні положення</w:t>
            </w:r>
          </w:p>
        </w:tc>
      </w:tr>
      <w:tr w:rsidR="001C709C" w:rsidRPr="00702319" w:rsidTr="00B92451">
        <w:tc>
          <w:tcPr>
            <w:tcW w:w="7425" w:type="dxa"/>
          </w:tcPr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bookmarkStart w:id="6" w:name="19274"/>
            <w:bookmarkEnd w:id="6"/>
            <w:r w:rsidRPr="00702319">
              <w:rPr>
                <w:bCs/>
                <w:color w:val="000000" w:themeColor="text1"/>
                <w:sz w:val="28"/>
                <w:szCs w:val="28"/>
              </w:rPr>
              <w:t>291.4. Суб'єкти господарювання, які застосовують спрощену систему оподаткування, обліку та звітності, поділяються на такі групи платників єдиного податку:</w:t>
            </w:r>
          </w:p>
          <w:p w:rsidR="001C709C" w:rsidRPr="006F446F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strike/>
                <w:color w:val="000000" w:themeColor="text1"/>
                <w:sz w:val="28"/>
                <w:szCs w:val="28"/>
              </w:rPr>
            </w:pPr>
            <w:bookmarkStart w:id="7" w:name="27214"/>
            <w:bookmarkEnd w:id="7"/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1) перша група - фізичні особи - підприємці,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року не перевищує </w:t>
            </w:r>
            <w:r w:rsidRPr="006F446F">
              <w:rPr>
                <w:bCs/>
                <w:strike/>
                <w:color w:val="000000" w:themeColor="text1"/>
                <w:sz w:val="28"/>
                <w:szCs w:val="28"/>
              </w:rPr>
              <w:t>1000000 гривень;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bookmarkStart w:id="8" w:name="19276"/>
            <w:bookmarkEnd w:id="8"/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2) друга група - фізичні особи - підприємці, які здійснюють 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</w:t>
            </w:r>
            <w:r w:rsidRPr="00702319">
              <w:rPr>
                <w:bCs/>
                <w:color w:val="000000" w:themeColor="text1"/>
                <w:sz w:val="28"/>
                <w:szCs w:val="28"/>
              </w:rPr>
              <w:lastRenderedPageBreak/>
              <w:t>сфері ресторанного господарства, за умови, що протягом календарного року відповідають сукупності таких критеріїв: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bookmarkStart w:id="9" w:name="19277"/>
            <w:bookmarkEnd w:id="9"/>
            <w:r w:rsidRPr="00702319">
              <w:rPr>
                <w:bCs/>
                <w:color w:val="000000" w:themeColor="text1"/>
                <w:sz w:val="28"/>
                <w:szCs w:val="28"/>
              </w:rPr>
              <w:t>не використовують працю найманих осіб або кількість осіб, які перебувають з ними у трудових відносинах, одночасно не перевищує 10 осіб;</w:t>
            </w:r>
          </w:p>
          <w:p w:rsidR="001C709C" w:rsidRPr="006F446F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strike/>
                <w:color w:val="000000" w:themeColor="text1"/>
                <w:sz w:val="28"/>
                <w:szCs w:val="28"/>
              </w:rPr>
            </w:pPr>
            <w:bookmarkStart w:id="10" w:name="27215"/>
            <w:bookmarkEnd w:id="10"/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обсяг доходу не перевищує </w:t>
            </w:r>
            <w:r w:rsidRPr="006F446F">
              <w:rPr>
                <w:bCs/>
                <w:strike/>
                <w:color w:val="000000" w:themeColor="text1"/>
                <w:sz w:val="28"/>
                <w:szCs w:val="28"/>
              </w:rPr>
              <w:t>5000000 гривень.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bookmarkStart w:id="11" w:name="19279"/>
            <w:bookmarkEnd w:id="11"/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Дія цього підпункту не поширюється на фізичних осіб - підприємців, які надають посередницькі послуги з купівлі, продажу, оренди та оцінювання нерухомого майна (група 70.31 КВЕД ДК 009:2005), а також здійснюють діяльність з виробництва, постачання, продажу (реалізації) ювелірних та побутових виробів з дорогоцінних металів, дорогоцінного каміння, дорогоцінного каміння органогенного утворення та напівдорогоцінного каміння. Такі фізичні особи - підприємці належать виключно до третьої групи платників єдиного податку, якщо відповідають вимогам, встановленим для такої групи;</w:t>
            </w:r>
          </w:p>
          <w:p w:rsidR="001C709C" w:rsidRPr="006F446F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strike/>
                <w:color w:val="000000" w:themeColor="text1"/>
                <w:sz w:val="28"/>
                <w:szCs w:val="28"/>
              </w:rPr>
            </w:pPr>
            <w:bookmarkStart w:id="12" w:name="27216"/>
            <w:bookmarkEnd w:id="12"/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3) третя група - фізичні особи - підприємці які не використовують працю найманих осіб або кількість осіб, які перебувають з ними у трудових відносинах, не обмежена та юридичні особи суб'єкти господарювання будь-якої організаційно-правової форми, у яких протягом календарного року обсяг доходу не перевищує </w:t>
            </w:r>
            <w:r w:rsidRPr="006F446F">
              <w:rPr>
                <w:bCs/>
                <w:strike/>
                <w:color w:val="000000" w:themeColor="text1"/>
                <w:sz w:val="28"/>
                <w:szCs w:val="28"/>
              </w:rPr>
              <w:t>7000000 гривень;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…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425" w:type="dxa"/>
          </w:tcPr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lastRenderedPageBreak/>
              <w:t>291.4. Суб'єкти господарювання, які застосовують спрощену систему оподаткування, обліку та звітності, поділяються на такі групи платників єдиного податку: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1) перша група - фізичні особи - підприємці,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року не перевищує </w:t>
            </w:r>
            <w:bookmarkStart w:id="13" w:name="_Hlk44579681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 xml:space="preserve">245 розмірів мінімальної заробітної плати, встановленої законом на 1 січня </w:t>
            </w:r>
            <w:r w:rsidR="00B92451" w:rsidRPr="00702319">
              <w:rPr>
                <w:b/>
                <w:bCs/>
                <w:color w:val="000000" w:themeColor="text1"/>
                <w:sz w:val="28"/>
                <w:szCs w:val="28"/>
              </w:rPr>
              <w:t xml:space="preserve">податкового </w:t>
            </w:r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(</w:t>
            </w:r>
            <w:r w:rsidR="00B92451" w:rsidRPr="00702319">
              <w:rPr>
                <w:b/>
                <w:bCs/>
                <w:color w:val="000000" w:themeColor="text1"/>
                <w:sz w:val="28"/>
                <w:szCs w:val="28"/>
              </w:rPr>
              <w:t>звітного</w:t>
            </w:r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) року</w:t>
            </w:r>
            <w:bookmarkEnd w:id="13"/>
            <w:r w:rsidRPr="00702319">
              <w:rPr>
                <w:bCs/>
                <w:color w:val="000000" w:themeColor="text1"/>
                <w:sz w:val="28"/>
                <w:szCs w:val="28"/>
              </w:rPr>
              <w:t>;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2) друга група - фізичні особи - підприємці, які здійснюють 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</w:t>
            </w:r>
            <w:r w:rsidRPr="00702319">
              <w:rPr>
                <w:bCs/>
                <w:color w:val="000000" w:themeColor="text1"/>
                <w:sz w:val="28"/>
                <w:szCs w:val="28"/>
              </w:rPr>
              <w:lastRenderedPageBreak/>
              <w:t>сфері ресторанного господарства, за умови, що протягом календарного року відповідають сукупності таких критеріїв: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не використовують працю найманих осіб або кількість осіб, які перебувають з ними у трудових відносинах, одночасно не перевищує 10 осіб;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обсяг доходу не перевищує </w:t>
            </w:r>
            <w:bookmarkStart w:id="14" w:name="_Hlk44579757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 xml:space="preserve">1230 розмірів мінімальної заробітної плати, встановленої законом на 1 січня </w:t>
            </w:r>
            <w:r w:rsidR="00B92451" w:rsidRPr="00702319">
              <w:rPr>
                <w:b/>
                <w:bCs/>
                <w:color w:val="000000" w:themeColor="text1"/>
                <w:sz w:val="28"/>
                <w:szCs w:val="28"/>
              </w:rPr>
              <w:t>податкового (звітного) року</w:t>
            </w:r>
            <w:bookmarkEnd w:id="14"/>
            <w:r w:rsidRPr="00702319">
              <w:rPr>
                <w:bCs/>
                <w:color w:val="000000" w:themeColor="text1"/>
                <w:sz w:val="28"/>
                <w:szCs w:val="28"/>
              </w:rPr>
              <w:t>.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Дія цього підпункту не поширюється на фізичних осіб - підприємців, які надають посередницькі послуги з купівлі, продажу, оренди та оцінювання нерухомого майна (група 70.31 КВЕД ДК 009:2005), а також здійснюють діяльність з виробництва, постачання, продажу (реалізації) ювелірних та побутових виробів з дорогоцінних металів, дорогоцінного каміння, дорогоцінного каміння органогенного утворення та напівдорогоцінного каміння. Такі фізичні особи - підприємці належать виключно до третьої групи платників єдиного податку, якщо відповідають вимогам, встановленим для такої групи;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3) третя група - фізичні особи - підприємці які не використовують працю найманих осіб або кількість осіб, які перебувають з ними у трудових відносинах, не обмежена та юридичні особи суб'єкти господарювання будь-якої організаційно-правової форми, у яких протягом календарного року обсяг доходу не перевищує </w:t>
            </w:r>
            <w:bookmarkStart w:id="15" w:name="_Hlk44579930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 xml:space="preserve">1720 розмірів мінімальної заробітної плати, встановленої законом на 1 січня </w:t>
            </w:r>
            <w:r w:rsidR="00B92451" w:rsidRPr="00702319">
              <w:rPr>
                <w:b/>
                <w:bCs/>
                <w:color w:val="000000" w:themeColor="text1"/>
                <w:sz w:val="28"/>
                <w:szCs w:val="28"/>
              </w:rPr>
              <w:t>податкового (звітного) року</w:t>
            </w:r>
            <w:bookmarkEnd w:id="15"/>
            <w:r w:rsidRPr="00702319">
              <w:rPr>
                <w:bCs/>
                <w:color w:val="000000" w:themeColor="text1"/>
                <w:sz w:val="28"/>
                <w:szCs w:val="28"/>
              </w:rPr>
              <w:t>;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…</w:t>
            </w:r>
          </w:p>
          <w:p w:rsidR="001C709C" w:rsidRPr="00702319" w:rsidRDefault="001C709C" w:rsidP="001C709C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</w:tc>
      </w:tr>
      <w:tr w:rsidR="00B92451" w:rsidRPr="00702319" w:rsidTr="00B92451">
        <w:tc>
          <w:tcPr>
            <w:tcW w:w="7425" w:type="dxa"/>
          </w:tcPr>
          <w:p w:rsidR="00B92451" w:rsidRPr="00702319" w:rsidRDefault="00B92451" w:rsidP="00B92451">
            <w:pPr>
              <w:pStyle w:val="rvps2"/>
              <w:spacing w:before="0"/>
              <w:ind w:firstLine="397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bookmarkStart w:id="16" w:name="19495"/>
            <w:bookmarkEnd w:id="16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Стаття 296. Ведення обліку і складення звітності платниками єдиного податку</w:t>
            </w:r>
          </w:p>
        </w:tc>
        <w:tc>
          <w:tcPr>
            <w:tcW w:w="7425" w:type="dxa"/>
          </w:tcPr>
          <w:p w:rsidR="00B92451" w:rsidRPr="00702319" w:rsidRDefault="00B92451" w:rsidP="00B92451">
            <w:pPr>
              <w:pStyle w:val="rvps2"/>
              <w:spacing w:before="0"/>
              <w:ind w:firstLine="397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Стаття 296. Ведення обліку і складення звітності платниками єдиного податку</w:t>
            </w:r>
          </w:p>
        </w:tc>
      </w:tr>
      <w:tr w:rsidR="00B92451" w:rsidRPr="00702319" w:rsidTr="00B92451">
        <w:tc>
          <w:tcPr>
            <w:tcW w:w="7425" w:type="dxa"/>
          </w:tcPr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296.10. Реєстратори розрахункових операцій не застосовуються платниками єдиного податку:</w:t>
            </w: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першої групи;</w:t>
            </w: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другої - четвертої груп (фізичні особи - підприємці) незалежно від обраного виду діяльності, обсяг доходу яких протягом календарного року не перевищує </w:t>
            </w:r>
            <w:r w:rsidRPr="006F446F">
              <w:rPr>
                <w:bCs/>
                <w:strike/>
                <w:color w:val="000000" w:themeColor="text1"/>
                <w:sz w:val="28"/>
                <w:szCs w:val="28"/>
              </w:rPr>
              <w:t>1000000 гривень.</w:t>
            </w: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 У разі перевищення в календарному році обсягу доходу понад </w:t>
            </w:r>
            <w:r w:rsidRPr="006F446F">
              <w:rPr>
                <w:bCs/>
                <w:strike/>
                <w:color w:val="000000" w:themeColor="text1"/>
                <w:sz w:val="28"/>
                <w:szCs w:val="28"/>
              </w:rPr>
              <w:t>1000000 гривень</w:t>
            </w: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 застосування реєстратора розрахункових операцій для такого платника єдиного податку є обов'язковим. Застосування реєстратора розрахункових операцій розпочинається з першого числа першого місяця кварталу, наступного за виникненням такого перевищення, та продовжується у всіх наступних податкових періодах протягом реєстрації суб'єкта господарювання як платника єдиного податку.</w:t>
            </w: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:rsidR="00B92451" w:rsidRPr="008927B3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8927B3">
              <w:rPr>
                <w:bCs/>
                <w:color w:val="000000" w:themeColor="text1"/>
                <w:sz w:val="28"/>
                <w:szCs w:val="28"/>
              </w:rPr>
              <w:t>Норми цього пункту не поширюються на платників єдиного податку, які здійснюють реалізацію технічно складних побутових товарів, що підлягають гарантійному ремонту, а також лікарських засобів та виробів медичного призначення.</w:t>
            </w:r>
          </w:p>
        </w:tc>
        <w:tc>
          <w:tcPr>
            <w:tcW w:w="7425" w:type="dxa"/>
          </w:tcPr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296.10. Реєстратори розрахункових операцій не застосовуються платниками єдиного податку:</w:t>
            </w: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>першої групи;</w:t>
            </w:r>
          </w:p>
          <w:p w:rsidR="00B92451" w:rsidRPr="00702319" w:rsidRDefault="00B92451" w:rsidP="00B92451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другої - четвертої груп (фізичні особи - підприємці) незалежно від обраного виду діяльності, обсяг доходу яких протягом календарного року не перевищує </w:t>
            </w:r>
            <w:bookmarkStart w:id="17" w:name="_Hlk44580123"/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>820 розмірів мінімальної заробітної плати, встановленої законом на 1 січня податкового (звітного) року</w:t>
            </w:r>
            <w:bookmarkEnd w:id="17"/>
            <w:r w:rsidRPr="00702319">
              <w:rPr>
                <w:bCs/>
                <w:color w:val="000000" w:themeColor="text1"/>
                <w:sz w:val="28"/>
                <w:szCs w:val="28"/>
              </w:rPr>
              <w:t xml:space="preserve">. У разі перевищення в календарному році обсягу доходу понад </w:t>
            </w:r>
            <w:r w:rsidRPr="00702319">
              <w:rPr>
                <w:b/>
                <w:bCs/>
                <w:color w:val="000000" w:themeColor="text1"/>
                <w:sz w:val="28"/>
                <w:szCs w:val="28"/>
              </w:rPr>
              <w:t xml:space="preserve">820 розмірів мінімальної заробітної плати, встановленої законом на 1 січня податкового (звітного) року </w:t>
            </w:r>
            <w:r w:rsidRPr="00702319">
              <w:rPr>
                <w:bCs/>
                <w:color w:val="000000" w:themeColor="text1"/>
                <w:sz w:val="28"/>
                <w:szCs w:val="28"/>
              </w:rPr>
              <w:t>застосування реєстратора розрахункових операцій для такого платника єдиного податку є обов'язковим. Застосування реєстратора розрахункових операцій розпочинається з першого числа першого місяця кварталу, наступного за виникненням такого перевищення, та продовжується у всіх наступних податкових періодах протягом реєстрації суб'єкта господарювання як платника єдиного податку.</w:t>
            </w:r>
          </w:p>
          <w:p w:rsidR="007D6DBD" w:rsidRPr="00702319" w:rsidRDefault="007D6DBD" w:rsidP="008927B3">
            <w:pPr>
              <w:pStyle w:val="rvps2"/>
              <w:spacing w:before="0" w:beforeAutospacing="0" w:after="0" w:afterAutospacing="0"/>
              <w:ind w:firstLine="397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</w:tc>
      </w:tr>
    </w:tbl>
    <w:p w:rsidR="007E0713" w:rsidRPr="00702319" w:rsidRDefault="007E0713" w:rsidP="007E0713">
      <w:pPr>
        <w:rPr>
          <w:lang w:val="uk-UA"/>
        </w:rPr>
      </w:pPr>
      <w:bookmarkStart w:id="18" w:name="24"/>
      <w:bookmarkEnd w:id="18"/>
    </w:p>
    <w:p w:rsidR="00595471" w:rsidRPr="00702319" w:rsidRDefault="00595471">
      <w:pPr>
        <w:rPr>
          <w:lang w:val="uk-UA"/>
        </w:rPr>
      </w:pPr>
    </w:p>
    <w:p w:rsidR="00595471" w:rsidRPr="00702319" w:rsidRDefault="002E2DCB">
      <w:pPr>
        <w:rPr>
          <w:lang w:val="uk-UA"/>
        </w:rPr>
      </w:pPr>
      <w:r w:rsidRPr="00702319">
        <w:rPr>
          <w:rFonts w:ascii="Times New Roman" w:hAnsi="Times New Roman"/>
          <w:b/>
          <w:sz w:val="28"/>
          <w:szCs w:val="28"/>
          <w:lang w:val="uk-UA"/>
        </w:rPr>
        <w:t>Народн</w:t>
      </w:r>
      <w:r w:rsidR="006F446F">
        <w:rPr>
          <w:rFonts w:ascii="Times New Roman" w:hAnsi="Times New Roman"/>
          <w:b/>
          <w:sz w:val="28"/>
          <w:szCs w:val="28"/>
          <w:lang w:val="uk-UA"/>
        </w:rPr>
        <w:t>ий</w:t>
      </w:r>
      <w:r w:rsidRPr="00702319">
        <w:rPr>
          <w:rFonts w:ascii="Times New Roman" w:hAnsi="Times New Roman"/>
          <w:b/>
          <w:sz w:val="28"/>
          <w:szCs w:val="28"/>
          <w:lang w:val="uk-UA"/>
        </w:rPr>
        <w:t xml:space="preserve"> депутат України</w:t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</w:r>
      <w:r w:rsidR="006F446F">
        <w:rPr>
          <w:rFonts w:ascii="Times New Roman" w:hAnsi="Times New Roman"/>
          <w:b/>
          <w:sz w:val="28"/>
          <w:szCs w:val="28"/>
          <w:lang w:val="uk-UA"/>
        </w:rPr>
        <w:tab/>
        <w:t xml:space="preserve">Фріс І. П. </w:t>
      </w:r>
    </w:p>
    <w:sectPr w:rsidR="00595471" w:rsidRPr="00702319" w:rsidSect="00B92451">
      <w:footerReference w:type="default" r:id="rId10"/>
      <w:pgSz w:w="16838" w:h="11906" w:orient="landscape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728" w:rsidRDefault="006B2728" w:rsidP="00131E69">
      <w:pPr>
        <w:spacing w:after="0" w:line="240" w:lineRule="auto"/>
      </w:pPr>
      <w:r>
        <w:separator/>
      </w:r>
    </w:p>
  </w:endnote>
  <w:endnote w:type="continuationSeparator" w:id="0">
    <w:p w:rsidR="006B2728" w:rsidRDefault="006B2728" w:rsidP="00131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E69" w:rsidRDefault="00131E6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C03892" w:rsidRPr="00C03892">
      <w:rPr>
        <w:noProof/>
        <w:lang w:val="uk-UA"/>
      </w:rPr>
      <w:t>2</w:t>
    </w:r>
    <w:r>
      <w:fldChar w:fldCharType="end"/>
    </w:r>
  </w:p>
  <w:p w:rsidR="00131E69" w:rsidRDefault="00131E6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728" w:rsidRDefault="006B2728" w:rsidP="00131E69">
      <w:pPr>
        <w:spacing w:after="0" w:line="240" w:lineRule="auto"/>
      </w:pPr>
      <w:r>
        <w:separator/>
      </w:r>
    </w:p>
  </w:footnote>
  <w:footnote w:type="continuationSeparator" w:id="0">
    <w:p w:rsidR="006B2728" w:rsidRDefault="006B2728" w:rsidP="00131E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embedSystemFonts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5CE"/>
    <w:rsid w:val="0001754A"/>
    <w:rsid w:val="00047045"/>
    <w:rsid w:val="00057B98"/>
    <w:rsid w:val="00065388"/>
    <w:rsid w:val="00076E20"/>
    <w:rsid w:val="0008518B"/>
    <w:rsid w:val="000B6BF8"/>
    <w:rsid w:val="000C6582"/>
    <w:rsid w:val="000D164B"/>
    <w:rsid w:val="00131E69"/>
    <w:rsid w:val="001970DD"/>
    <w:rsid w:val="001A35B2"/>
    <w:rsid w:val="001C709C"/>
    <w:rsid w:val="00211C7C"/>
    <w:rsid w:val="00254490"/>
    <w:rsid w:val="002608EF"/>
    <w:rsid w:val="002611B4"/>
    <w:rsid w:val="00266E13"/>
    <w:rsid w:val="002672BA"/>
    <w:rsid w:val="002C7208"/>
    <w:rsid w:val="002D3E90"/>
    <w:rsid w:val="002D73CE"/>
    <w:rsid w:val="002D7F74"/>
    <w:rsid w:val="002E2DCB"/>
    <w:rsid w:val="00356BC8"/>
    <w:rsid w:val="00373AD2"/>
    <w:rsid w:val="00381A39"/>
    <w:rsid w:val="003A1EA8"/>
    <w:rsid w:val="003B1339"/>
    <w:rsid w:val="003D1601"/>
    <w:rsid w:val="00473174"/>
    <w:rsid w:val="00496A74"/>
    <w:rsid w:val="004B49E3"/>
    <w:rsid w:val="004C180A"/>
    <w:rsid w:val="004E4A43"/>
    <w:rsid w:val="004F66A0"/>
    <w:rsid w:val="00525154"/>
    <w:rsid w:val="005300C6"/>
    <w:rsid w:val="00544D4F"/>
    <w:rsid w:val="0056319B"/>
    <w:rsid w:val="00565223"/>
    <w:rsid w:val="0057341A"/>
    <w:rsid w:val="00595471"/>
    <w:rsid w:val="005E3F8F"/>
    <w:rsid w:val="005F33A1"/>
    <w:rsid w:val="006046EB"/>
    <w:rsid w:val="006059B8"/>
    <w:rsid w:val="006627BC"/>
    <w:rsid w:val="0066456C"/>
    <w:rsid w:val="00667048"/>
    <w:rsid w:val="00686D23"/>
    <w:rsid w:val="00697ACE"/>
    <w:rsid w:val="006A35A9"/>
    <w:rsid w:val="006B2728"/>
    <w:rsid w:val="006C1872"/>
    <w:rsid w:val="006E0456"/>
    <w:rsid w:val="006F446F"/>
    <w:rsid w:val="00702319"/>
    <w:rsid w:val="00714978"/>
    <w:rsid w:val="00745ABF"/>
    <w:rsid w:val="007631BE"/>
    <w:rsid w:val="00764F87"/>
    <w:rsid w:val="00765E00"/>
    <w:rsid w:val="007A3B0F"/>
    <w:rsid w:val="007B1936"/>
    <w:rsid w:val="007B6B16"/>
    <w:rsid w:val="007D6DBD"/>
    <w:rsid w:val="007E0713"/>
    <w:rsid w:val="008776DF"/>
    <w:rsid w:val="008927B3"/>
    <w:rsid w:val="008D03F5"/>
    <w:rsid w:val="009155F0"/>
    <w:rsid w:val="00985286"/>
    <w:rsid w:val="009A22D0"/>
    <w:rsid w:val="00A7184B"/>
    <w:rsid w:val="00A7307C"/>
    <w:rsid w:val="00A809DF"/>
    <w:rsid w:val="00AB37ED"/>
    <w:rsid w:val="00B04C1E"/>
    <w:rsid w:val="00B36CE2"/>
    <w:rsid w:val="00B6002F"/>
    <w:rsid w:val="00B92451"/>
    <w:rsid w:val="00BB0CF0"/>
    <w:rsid w:val="00C03892"/>
    <w:rsid w:val="00C17E60"/>
    <w:rsid w:val="00CC7198"/>
    <w:rsid w:val="00D2564A"/>
    <w:rsid w:val="00D34829"/>
    <w:rsid w:val="00D55609"/>
    <w:rsid w:val="00D6098E"/>
    <w:rsid w:val="00DB4719"/>
    <w:rsid w:val="00DC158E"/>
    <w:rsid w:val="00E021A3"/>
    <w:rsid w:val="00E1593E"/>
    <w:rsid w:val="00E56064"/>
    <w:rsid w:val="00E90F80"/>
    <w:rsid w:val="00EB55CE"/>
    <w:rsid w:val="00EC1886"/>
    <w:rsid w:val="00EC617C"/>
    <w:rsid w:val="00ED2927"/>
    <w:rsid w:val="00F21824"/>
    <w:rsid w:val="00F27F2A"/>
    <w:rsid w:val="00F53767"/>
    <w:rsid w:val="00F578CE"/>
    <w:rsid w:val="00F624C6"/>
    <w:rsid w:val="20DD45C5"/>
    <w:rsid w:val="68DA5AC3"/>
    <w:rsid w:val="6B9E5F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0C6"/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5300C6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qFormat/>
    <w:rsid w:val="005300C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qFormat/>
    <w:rsid w:val="005300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qFormat/>
    <w:rsid w:val="005300C6"/>
    <w:rPr>
      <w:rFonts w:cs="Times New Roman"/>
    </w:rPr>
  </w:style>
  <w:style w:type="character" w:customStyle="1" w:styleId="rvts0">
    <w:name w:val="rvts0"/>
    <w:basedOn w:val="a0"/>
    <w:qFormat/>
    <w:rsid w:val="005300C6"/>
    <w:rPr>
      <w:rFonts w:cs="Times New Roman"/>
    </w:rPr>
  </w:style>
  <w:style w:type="character" w:customStyle="1" w:styleId="rvts37">
    <w:name w:val="rvts37"/>
    <w:basedOn w:val="a0"/>
    <w:qFormat/>
    <w:rsid w:val="005300C6"/>
    <w:rPr>
      <w:rFonts w:cs="Times New Roman"/>
    </w:rPr>
  </w:style>
  <w:style w:type="paragraph" w:styleId="a5">
    <w:name w:val="header"/>
    <w:basedOn w:val="a"/>
    <w:link w:val="a6"/>
    <w:uiPriority w:val="99"/>
    <w:rsid w:val="00131E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131E69"/>
    <w:rPr>
      <w:rFonts w:cs="Times New Roman"/>
      <w:sz w:val="22"/>
      <w:szCs w:val="22"/>
      <w:lang w:val="ru-RU" w:eastAsia="en-US"/>
    </w:rPr>
  </w:style>
  <w:style w:type="paragraph" w:styleId="a7">
    <w:name w:val="footer"/>
    <w:basedOn w:val="a"/>
    <w:link w:val="a8"/>
    <w:uiPriority w:val="99"/>
    <w:rsid w:val="00131E6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131E69"/>
    <w:rPr>
      <w:rFonts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6A2B04-7877-4CD2-BD2A-FE5D14CC35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0778A030-BAAE-4548-BDB1-1C6A444AE27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3DAA494-EE06-4357-A559-BF4A1AC6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4194</Words>
  <Characters>2391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2020-07-16T07:17:00Z</dcterms:created>
  <dcterms:modified xsi:type="dcterms:W3CDTF">2020-07-16T07:17:00Z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1049-11.2.0.9363</vt:lpwstr>
  </property>
  <property fmtid="{D5CDD505-2E9C-101B-9397-08002B2CF9AE}" pid="3" name="ContentTypeId">
    <vt:lpwstr>0x0101005082CF9611B70740801F57C691914AA100112606590970F34A82426E1C2D62EACA</vt:lpwstr>
  </property>
</Properties>
</file>