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1C10EF" w:rsidRPr="00B13BCC" w:rsidRDefault="001C10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center"/>
        <w:rPr>
          <w:b/>
          <w:color w:val="000000"/>
        </w:rPr>
      </w:pPr>
    </w:p>
    <w:p w14:paraId="00000002" w14:textId="77777777" w:rsidR="001C10EF" w:rsidRPr="00B13BCC" w:rsidRDefault="001C10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center"/>
        <w:rPr>
          <w:b/>
          <w:color w:val="000000"/>
        </w:rPr>
      </w:pPr>
    </w:p>
    <w:p w14:paraId="00000003" w14:textId="77777777" w:rsidR="001C10EF" w:rsidRPr="00B13BCC" w:rsidRDefault="001C10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center"/>
        <w:rPr>
          <w:b/>
          <w:color w:val="000000"/>
        </w:rPr>
      </w:pPr>
    </w:p>
    <w:p w14:paraId="00000004" w14:textId="77777777" w:rsidR="001C10EF" w:rsidRPr="00B13BCC" w:rsidRDefault="001C10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center"/>
        <w:rPr>
          <w:b/>
          <w:color w:val="000000"/>
        </w:rPr>
      </w:pPr>
    </w:p>
    <w:p w14:paraId="00000005" w14:textId="77777777" w:rsidR="001C10EF" w:rsidRPr="00B13BCC" w:rsidRDefault="001C10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center"/>
        <w:rPr>
          <w:b/>
          <w:color w:val="000000"/>
        </w:rPr>
      </w:pPr>
    </w:p>
    <w:p w14:paraId="00000006" w14:textId="77777777" w:rsidR="001C10EF" w:rsidRPr="00B13BCC" w:rsidRDefault="001C10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</w:p>
    <w:p w14:paraId="00000007" w14:textId="77777777" w:rsidR="001C10EF" w:rsidRPr="00B13BCC" w:rsidRDefault="001C10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</w:p>
    <w:p w14:paraId="00000008" w14:textId="77777777" w:rsidR="001C10EF" w:rsidRPr="00B13BCC" w:rsidRDefault="001C10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center"/>
        <w:rPr>
          <w:b/>
          <w:color w:val="000000"/>
        </w:rPr>
      </w:pPr>
    </w:p>
    <w:p w14:paraId="00000009" w14:textId="77777777" w:rsidR="001C10EF" w:rsidRPr="00B13BCC" w:rsidRDefault="00D9268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  <w:r w:rsidRPr="00B13BCC">
        <w:rPr>
          <w:b/>
          <w:color w:val="000000"/>
        </w:rPr>
        <w:t>ВИСНОВОК</w:t>
      </w:r>
    </w:p>
    <w:p w14:paraId="0000000A" w14:textId="77777777" w:rsidR="001C10EF" w:rsidRPr="00B13BCC" w:rsidRDefault="00D9268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  <w:r w:rsidRPr="00B13BCC">
        <w:rPr>
          <w:b/>
          <w:color w:val="000000"/>
        </w:rPr>
        <w:t>на проект Закону України «Про внесення змін до деяких законодавчих актів України (Господарського процесуального кодексу України, Кодексу адміністративного судочинства України, Цивільного кодексу України) для забезпечення використання офіційної електронної адреси»</w:t>
      </w:r>
    </w:p>
    <w:p w14:paraId="0000000B" w14:textId="77777777" w:rsidR="001C10EF" w:rsidRPr="00B13BCC" w:rsidRDefault="001C10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</w:p>
    <w:p w14:paraId="0000000C" w14:textId="483390A7" w:rsidR="001C10EF" w:rsidRPr="003A0A9E" w:rsidRDefault="00D9268B" w:rsidP="00062BB4">
      <w:pPr>
        <w:spacing w:after="0" w:line="240" w:lineRule="auto"/>
        <w:ind w:firstLine="720"/>
        <w:jc w:val="both"/>
        <w:rPr>
          <w:color w:val="000000"/>
        </w:rPr>
      </w:pPr>
      <w:r w:rsidRPr="00B13BCC">
        <w:rPr>
          <w:color w:val="000000"/>
        </w:rPr>
        <w:t>Як зазначено в пояснювальній записці до проекту (п. 2), його метою «</w:t>
      </w:r>
      <w:r w:rsidRPr="00B13BCC">
        <w:t xml:space="preserve">є удосконалення процесу державної реєстрації суб’єктів господарювання та створення </w:t>
      </w:r>
      <w:r w:rsidRPr="003A0A9E">
        <w:t>сприятливих умов для ведення бізнесу в Україні шляхом введення обов’язкової офіційної електронної адреси для кожного із суб’єктів господарювання для взаємодії з суб’єктами владних повноважень, іншими державними органами, судами тощо</w:t>
      </w:r>
      <w:r w:rsidRPr="003A0A9E">
        <w:rPr>
          <w:color w:val="000000"/>
        </w:rPr>
        <w:t xml:space="preserve">». Для цього до </w:t>
      </w:r>
      <w:r w:rsidR="00B13BCC" w:rsidRPr="003A0A9E">
        <w:rPr>
          <w:color w:val="000000"/>
        </w:rPr>
        <w:t xml:space="preserve">Цивільного </w:t>
      </w:r>
      <w:r w:rsidR="00AD674D" w:rsidRPr="003A0A9E">
        <w:rPr>
          <w:color w:val="000000"/>
        </w:rPr>
        <w:t>к</w:t>
      </w:r>
      <w:r w:rsidR="00B13BCC" w:rsidRPr="003A0A9E">
        <w:rPr>
          <w:color w:val="000000"/>
        </w:rPr>
        <w:t xml:space="preserve">одексу </w:t>
      </w:r>
      <w:r w:rsidR="00AD674D" w:rsidRPr="003A0A9E">
        <w:rPr>
          <w:color w:val="000000"/>
        </w:rPr>
        <w:t>України</w:t>
      </w:r>
      <w:r w:rsidR="00B13BCC" w:rsidRPr="003A0A9E">
        <w:rPr>
          <w:color w:val="000000"/>
        </w:rPr>
        <w:t xml:space="preserve"> (далі – </w:t>
      </w:r>
      <w:r w:rsidR="00AD674D" w:rsidRPr="003A0A9E">
        <w:rPr>
          <w:color w:val="000000"/>
        </w:rPr>
        <w:t>ЦК</w:t>
      </w:r>
      <w:r w:rsidR="00B13BCC" w:rsidRPr="003A0A9E">
        <w:rPr>
          <w:color w:val="000000"/>
        </w:rPr>
        <w:t>) пропонується внести зміни, в яких, зокрема, передбачається, що під час здійснення державної реєстрації в Єдиному державному реєстрі юридичних осіб, фізичних осіб - підприємців та громадських формувань автоматично присвоюєтьс</w:t>
      </w:r>
      <w:r w:rsidR="00AD674D" w:rsidRPr="003A0A9E">
        <w:rPr>
          <w:color w:val="000000"/>
        </w:rPr>
        <w:t xml:space="preserve">я офіційна електронна адреса. </w:t>
      </w:r>
      <w:r w:rsidR="00B13BCC" w:rsidRPr="003A0A9E">
        <w:rPr>
          <w:color w:val="000000"/>
        </w:rPr>
        <w:t xml:space="preserve">Крім цього, до </w:t>
      </w:r>
      <w:r w:rsidRPr="003A0A9E">
        <w:t xml:space="preserve">Господарського процесуального кодексу України </w:t>
      </w:r>
      <w:r w:rsidR="00AD674D" w:rsidRPr="003A0A9E">
        <w:br/>
      </w:r>
      <w:r w:rsidRPr="003A0A9E">
        <w:t>(далі – ГПК)</w:t>
      </w:r>
      <w:r w:rsidR="00B13BCC" w:rsidRPr="003A0A9E">
        <w:t xml:space="preserve"> та </w:t>
      </w:r>
      <w:r w:rsidRPr="003A0A9E">
        <w:t xml:space="preserve">Кодексу адміністративного судочинства України </w:t>
      </w:r>
      <w:r w:rsidR="00AD674D" w:rsidRPr="003A0A9E">
        <w:br/>
      </w:r>
      <w:r w:rsidRPr="003A0A9E">
        <w:t xml:space="preserve">(далі – КАС) </w:t>
      </w:r>
      <w:r w:rsidRPr="003A0A9E">
        <w:rPr>
          <w:color w:val="000000"/>
        </w:rPr>
        <w:t xml:space="preserve">вносяться зміни, в яких, </w:t>
      </w:r>
      <w:r w:rsidR="00B13BCC" w:rsidRPr="003A0A9E">
        <w:rPr>
          <w:color w:val="000000"/>
        </w:rPr>
        <w:t xml:space="preserve">визначається порядок використання офіційної електронної адреси у відповідних процесах. </w:t>
      </w:r>
    </w:p>
    <w:p w14:paraId="0000000D" w14:textId="0D9C2E13" w:rsidR="001C10EF" w:rsidRPr="003A0A9E" w:rsidRDefault="00D9268B" w:rsidP="00062BB4">
      <w:pPr>
        <w:spacing w:after="0" w:line="240" w:lineRule="auto"/>
        <w:ind w:firstLine="720"/>
        <w:jc w:val="both"/>
      </w:pPr>
      <w:r w:rsidRPr="003A0A9E">
        <w:t>Головне управління, проаналізувавши поданий законопроект</w:t>
      </w:r>
      <w:r w:rsidR="009870E3" w:rsidRPr="003A0A9E">
        <w:t xml:space="preserve"> у стислий термін</w:t>
      </w:r>
      <w:r w:rsidRPr="003A0A9E">
        <w:t xml:space="preserve">, вважає за доцільне висловити щодо нього такі зауваження. </w:t>
      </w:r>
    </w:p>
    <w:p w14:paraId="580390C2" w14:textId="5609D7F9" w:rsidR="004D649A" w:rsidRPr="00B13BCC" w:rsidRDefault="00857A98" w:rsidP="003A0A9E">
      <w:pPr>
        <w:spacing w:after="0" w:line="240" w:lineRule="auto"/>
        <w:ind w:firstLine="720"/>
        <w:jc w:val="both"/>
        <w:rPr>
          <w:color w:val="000000"/>
        </w:rPr>
      </w:pPr>
      <w:bookmarkStart w:id="0" w:name="_gjdgxs" w:colFirst="0" w:colLast="0"/>
      <w:bookmarkEnd w:id="0"/>
      <w:r w:rsidRPr="003A0A9E">
        <w:rPr>
          <w:b/>
          <w:color w:val="000000"/>
        </w:rPr>
        <w:t>1.</w:t>
      </w:r>
      <w:r w:rsidRPr="003A0A9E">
        <w:rPr>
          <w:color w:val="000000"/>
        </w:rPr>
        <w:t xml:space="preserve"> </w:t>
      </w:r>
      <w:r w:rsidR="00AD674D" w:rsidRPr="003A0A9E">
        <w:rPr>
          <w:color w:val="000000"/>
        </w:rPr>
        <w:t xml:space="preserve">Насамперед, </w:t>
      </w:r>
      <w:r w:rsidR="00B13BCC" w:rsidRPr="003A0A9E">
        <w:rPr>
          <w:color w:val="000000"/>
        </w:rPr>
        <w:t xml:space="preserve">слід звернути увагу, що </w:t>
      </w:r>
      <w:r w:rsidR="004D649A" w:rsidRPr="003A0A9E">
        <w:rPr>
          <w:color w:val="000000"/>
        </w:rPr>
        <w:t xml:space="preserve">у проекті не визначено зміст терміну «офіційна електронна адреса». З цього приводу варто зазначити, що </w:t>
      </w:r>
      <w:r w:rsidR="00AD674D" w:rsidRPr="003A0A9E">
        <w:rPr>
          <w:color w:val="000000"/>
        </w:rPr>
        <w:t>н</w:t>
      </w:r>
      <w:r w:rsidR="00B13BCC" w:rsidRPr="003A0A9E">
        <w:rPr>
          <w:color w:val="000000"/>
        </w:rPr>
        <w:t xml:space="preserve">а розгляді Верховної Ради України перебуває проект Закону України </w:t>
      </w:r>
      <w:r w:rsidR="00AD674D" w:rsidRPr="003A0A9E">
        <w:rPr>
          <w:color w:val="000000"/>
        </w:rPr>
        <w:br/>
      </w:r>
      <w:r w:rsidR="00B13BCC" w:rsidRPr="003A0A9E">
        <w:rPr>
          <w:color w:val="000000"/>
        </w:rPr>
        <w:t>«Про внесення змін до деяких законодавчих актів України щодо присвоєння та використання офіційної електронної адреси» (реєстр. № 3861 від 16.07.2020), в якому, зокрема, визначається зміст вказаного терміну; скла</w:t>
      </w:r>
      <w:r w:rsidR="00AD674D" w:rsidRPr="003A0A9E">
        <w:rPr>
          <w:color w:val="000000"/>
        </w:rPr>
        <w:t>д офіційної електронної адреси;</w:t>
      </w:r>
      <w:r w:rsidR="00B13BCC" w:rsidRPr="003A0A9E">
        <w:rPr>
          <w:color w:val="000000"/>
        </w:rPr>
        <w:t xml:space="preserve"> запроваджується </w:t>
      </w:r>
      <w:r w:rsidR="004D649A" w:rsidRPr="003A0A9E">
        <w:rPr>
          <w:color w:val="000000"/>
        </w:rPr>
        <w:t xml:space="preserve">її </w:t>
      </w:r>
      <w:r w:rsidR="00B13BCC" w:rsidRPr="003A0A9E">
        <w:rPr>
          <w:color w:val="000000"/>
        </w:rPr>
        <w:t>реєстраці</w:t>
      </w:r>
      <w:r w:rsidR="004D649A" w:rsidRPr="003A0A9E">
        <w:rPr>
          <w:color w:val="000000"/>
        </w:rPr>
        <w:t>я</w:t>
      </w:r>
      <w:r w:rsidR="00B13BCC" w:rsidRPr="003A0A9E">
        <w:rPr>
          <w:color w:val="000000"/>
        </w:rPr>
        <w:t xml:space="preserve"> в Єдиному державному реєстрі юридичних осіб, фізичних осіб - підприємців та громадських формувань </w:t>
      </w:r>
      <w:r w:rsidR="004D649A" w:rsidRPr="003A0A9E">
        <w:rPr>
          <w:color w:val="000000"/>
        </w:rPr>
        <w:t xml:space="preserve">тощо. Крім цього, у проекті пропонується внесення змін до законів України «Про адвокатуру та адвокатську діяльність», </w:t>
      </w:r>
      <w:r w:rsidR="00AD674D" w:rsidRPr="003A0A9E">
        <w:rPr>
          <w:color w:val="000000"/>
        </w:rPr>
        <w:br/>
      </w:r>
      <w:r w:rsidR="004D649A" w:rsidRPr="003A0A9E">
        <w:rPr>
          <w:color w:val="000000"/>
        </w:rPr>
        <w:t>«Про виконавче провадження» щодо використан</w:t>
      </w:r>
      <w:r w:rsidR="00AD674D" w:rsidRPr="003A0A9E">
        <w:rPr>
          <w:color w:val="000000"/>
        </w:rPr>
        <w:t>ня вказаної електронної адреси.</w:t>
      </w:r>
      <w:r w:rsidR="004D649A" w:rsidRPr="003A0A9E">
        <w:rPr>
          <w:color w:val="000000"/>
        </w:rPr>
        <w:t xml:space="preserve"> За цих умов Головне управління вважає, що рішення щодо проекту реєстр. № 3860 має прийматися за результатами розгляду проекту </w:t>
      </w:r>
      <w:r w:rsidR="003A0A9E">
        <w:rPr>
          <w:color w:val="000000"/>
        </w:rPr>
        <w:br/>
      </w:r>
      <w:r w:rsidR="004D649A" w:rsidRPr="003A0A9E">
        <w:rPr>
          <w:color w:val="000000"/>
        </w:rPr>
        <w:t>реєстр. № 3861, з яким проект № 3860 системно пов’язаний і є похідним від нього.</w:t>
      </w:r>
      <w:r w:rsidR="004D649A" w:rsidRPr="004D649A">
        <w:rPr>
          <w:color w:val="000000"/>
        </w:rPr>
        <w:t xml:space="preserve">  </w:t>
      </w:r>
    </w:p>
    <w:p w14:paraId="3D42F236" w14:textId="3D526E7C" w:rsidR="008D2DDE" w:rsidRPr="003A0A9E" w:rsidRDefault="00B13BCC" w:rsidP="00062BB4">
      <w:pPr>
        <w:spacing w:after="0" w:line="240" w:lineRule="auto"/>
        <w:ind w:firstLine="720"/>
        <w:jc w:val="both"/>
        <w:rPr>
          <w:color w:val="000000"/>
        </w:rPr>
      </w:pPr>
      <w:r w:rsidRPr="003A0A9E">
        <w:rPr>
          <w:b/>
          <w:color w:val="000000"/>
        </w:rPr>
        <w:lastRenderedPageBreak/>
        <w:t>2.</w:t>
      </w:r>
      <w:r w:rsidRPr="003A0A9E">
        <w:rPr>
          <w:color w:val="000000"/>
        </w:rPr>
        <w:t xml:space="preserve"> </w:t>
      </w:r>
      <w:r w:rsidR="004D649A" w:rsidRPr="003A0A9E">
        <w:rPr>
          <w:color w:val="000000"/>
        </w:rPr>
        <w:t xml:space="preserve">У разі, якщо розглядати проект </w:t>
      </w:r>
      <w:r w:rsidR="00AD674D" w:rsidRPr="003A0A9E">
        <w:rPr>
          <w:color w:val="000000"/>
        </w:rPr>
        <w:t xml:space="preserve">реєстр. </w:t>
      </w:r>
      <w:r w:rsidR="004D649A" w:rsidRPr="003A0A9E">
        <w:rPr>
          <w:color w:val="000000"/>
        </w:rPr>
        <w:t xml:space="preserve">№ 3860 без його зв’язку з проектом </w:t>
      </w:r>
      <w:r w:rsidR="00AD674D" w:rsidRPr="003A0A9E">
        <w:rPr>
          <w:color w:val="000000"/>
        </w:rPr>
        <w:t xml:space="preserve">реєстр. </w:t>
      </w:r>
      <w:r w:rsidR="004D649A" w:rsidRPr="003A0A9E">
        <w:rPr>
          <w:color w:val="000000"/>
        </w:rPr>
        <w:t xml:space="preserve">№ 3861, то слід звернути увагу, що запропоновані у ньому зміни до </w:t>
      </w:r>
      <w:r w:rsidR="009620C9" w:rsidRPr="003A0A9E">
        <w:rPr>
          <w:color w:val="000000"/>
        </w:rPr>
        <w:t xml:space="preserve">ст. 50 та </w:t>
      </w:r>
      <w:r w:rsidR="009B0509" w:rsidRPr="003A0A9E">
        <w:rPr>
          <w:color w:val="000000"/>
        </w:rPr>
        <w:t xml:space="preserve">ст. </w:t>
      </w:r>
      <w:r w:rsidR="009620C9" w:rsidRPr="003A0A9E">
        <w:rPr>
          <w:color w:val="000000"/>
        </w:rPr>
        <w:t>89 ЦК, згідно з якими встановлюється, що під час здійснення державної реєстрації в Єдиному державному реєстрі юридичних осіб, фізичних осіб - підприємців та громадських формувань автоматично присвоюється офіційна електронна адреса</w:t>
      </w:r>
      <w:r w:rsidR="004D649A" w:rsidRPr="003A0A9E">
        <w:rPr>
          <w:color w:val="000000"/>
        </w:rPr>
        <w:t xml:space="preserve"> не враховують того, що </w:t>
      </w:r>
      <w:r w:rsidR="009620C9" w:rsidRPr="003A0A9E">
        <w:rPr>
          <w:color w:val="000000"/>
        </w:rPr>
        <w:t>у процесуальних кодексах вже передбачено використання офіційної електронної адреси</w:t>
      </w:r>
      <w:r w:rsidR="004D649A" w:rsidRPr="003A0A9E">
        <w:rPr>
          <w:color w:val="000000"/>
        </w:rPr>
        <w:t>, яка реєструється у іншому порядку</w:t>
      </w:r>
      <w:r w:rsidR="009620C9" w:rsidRPr="003A0A9E">
        <w:rPr>
          <w:color w:val="000000"/>
        </w:rPr>
        <w:t>. Наприклад, згідно з ч. 5 ст. 6 ГПК «Суд направляє</w:t>
      </w:r>
      <w:r w:rsidR="009620C9" w:rsidRPr="00B13BCC">
        <w:rPr>
          <w:color w:val="000000"/>
        </w:rPr>
        <w:t xml:space="preserve"> судові рішення та інші процесуальні документи </w:t>
      </w:r>
      <w:r w:rsidR="009620C9" w:rsidRPr="003A0A9E">
        <w:rPr>
          <w:color w:val="000000"/>
        </w:rPr>
        <w:t xml:space="preserve">учасникам судового процесу </w:t>
      </w:r>
      <w:r w:rsidR="009620C9" w:rsidRPr="003A0A9E">
        <w:rPr>
          <w:i/>
          <w:color w:val="000000"/>
        </w:rPr>
        <w:t>на їхні офіційні електронні адреси</w:t>
      </w:r>
      <w:r w:rsidR="009620C9" w:rsidRPr="003A0A9E">
        <w:rPr>
          <w:color w:val="000000"/>
        </w:rPr>
        <w:t>». При цьому</w:t>
      </w:r>
      <w:r w:rsidR="00F67ECA" w:rsidRPr="003A0A9E">
        <w:rPr>
          <w:color w:val="000000"/>
        </w:rPr>
        <w:t>,</w:t>
      </w:r>
      <w:r w:rsidR="009620C9" w:rsidRPr="003A0A9E">
        <w:rPr>
          <w:color w:val="000000"/>
        </w:rPr>
        <w:t xml:space="preserve"> згідно з ч. </w:t>
      </w:r>
      <w:r w:rsidR="008715EB" w:rsidRPr="003A0A9E">
        <w:rPr>
          <w:color w:val="000000"/>
        </w:rPr>
        <w:t xml:space="preserve">6 вказаної статті ГПК «адвокати, нотаріуси, приватні виконавці, арбітражні керуючі, судові експерти, державні органи, органи місцевого самоврядування, суб’єкти господарювання державного та комунального секторів економіки та особи, які провадять клірингову діяльність у значенні, наведеному в Законі України «Про ринки капіталу та організовані товарні ринки», </w:t>
      </w:r>
      <w:r w:rsidR="008715EB" w:rsidRPr="003A0A9E">
        <w:rPr>
          <w:i/>
          <w:color w:val="000000"/>
        </w:rPr>
        <w:t>реєструють офіційні електронні адреси в Єдиній судовій інформаційно-телекомунікаційній системі</w:t>
      </w:r>
      <w:r w:rsidR="008715EB" w:rsidRPr="003A0A9E">
        <w:rPr>
          <w:color w:val="000000"/>
        </w:rPr>
        <w:t xml:space="preserve"> в обов’язковому порядку. Інші особи реєструють свої офіційні електронні адреси в Єдиній судовій інформаційно-телекомунікаційній системі в добровільному порядку». Аналогічні норми містяться також у ст. 18 КАС та ст. 14 Цивільного процесуального кодексу України</w:t>
      </w:r>
      <w:r w:rsidR="00F67ECA" w:rsidRPr="003A0A9E">
        <w:rPr>
          <w:color w:val="000000"/>
        </w:rPr>
        <w:t xml:space="preserve"> (далі – ЦПК)</w:t>
      </w:r>
      <w:r w:rsidR="008715EB" w:rsidRPr="003A0A9E">
        <w:rPr>
          <w:color w:val="000000"/>
        </w:rPr>
        <w:t>.</w:t>
      </w:r>
      <w:r w:rsidR="003A0A9E">
        <w:rPr>
          <w:color w:val="000000"/>
        </w:rPr>
        <w:t xml:space="preserve"> </w:t>
      </w:r>
      <w:r w:rsidR="008D2DDE" w:rsidRPr="003A0A9E">
        <w:rPr>
          <w:color w:val="000000"/>
        </w:rPr>
        <w:t>Зазначимо</w:t>
      </w:r>
      <w:r w:rsidR="008D2DDE">
        <w:rPr>
          <w:color w:val="000000"/>
        </w:rPr>
        <w:t xml:space="preserve">, що внесення змін до вказаних статей процесуальних кодексів у проекті не </w:t>
      </w:r>
      <w:r w:rsidR="008D2DDE" w:rsidRPr="003A0A9E">
        <w:rPr>
          <w:color w:val="000000"/>
        </w:rPr>
        <w:t>передбачено, наслідком чого може стати необхідність мати дві різні «офіційні електронні адреси», що може ускладнити взаємовідносини між суб’єктами господарювання та державними органами, в тому числі судовими.</w:t>
      </w:r>
    </w:p>
    <w:p w14:paraId="6211A232" w14:textId="53CF62B0" w:rsidR="00857A98" w:rsidRPr="003A0A9E" w:rsidRDefault="00AD674D" w:rsidP="00062BB4">
      <w:pPr>
        <w:spacing w:after="0" w:line="240" w:lineRule="auto"/>
        <w:ind w:firstLine="720"/>
        <w:jc w:val="both"/>
        <w:rPr>
          <w:color w:val="000000"/>
        </w:rPr>
      </w:pPr>
      <w:r w:rsidRPr="003A0A9E">
        <w:rPr>
          <w:b/>
          <w:color w:val="000000"/>
        </w:rPr>
        <w:t>3</w:t>
      </w:r>
      <w:r w:rsidR="00857A98" w:rsidRPr="003A0A9E">
        <w:rPr>
          <w:b/>
          <w:color w:val="000000"/>
        </w:rPr>
        <w:t>.</w:t>
      </w:r>
      <w:r w:rsidR="00857A98" w:rsidRPr="003A0A9E">
        <w:rPr>
          <w:color w:val="000000"/>
        </w:rPr>
        <w:t xml:space="preserve"> Звертаємо увагу, що у проекті не передбачено внесення змін, аналогічних </w:t>
      </w:r>
      <w:r w:rsidR="008D2DDE" w:rsidRPr="003A0A9E">
        <w:rPr>
          <w:color w:val="000000"/>
        </w:rPr>
        <w:t xml:space="preserve">запропонованим </w:t>
      </w:r>
      <w:r w:rsidR="00857A98" w:rsidRPr="003A0A9E">
        <w:rPr>
          <w:color w:val="000000"/>
        </w:rPr>
        <w:t xml:space="preserve">змінам до ГПК та КАС, до </w:t>
      </w:r>
      <w:r w:rsidR="00F67ECA" w:rsidRPr="003A0A9E">
        <w:rPr>
          <w:color w:val="000000"/>
        </w:rPr>
        <w:t>ЦПК</w:t>
      </w:r>
      <w:r w:rsidR="00857A98" w:rsidRPr="003A0A9E">
        <w:rPr>
          <w:color w:val="000000"/>
        </w:rPr>
        <w:t>, хоча згідно з його ст. 48 сторонами у цивільному процесі є позивач і відповідач, якими можуть бути фізичні і юридичні особи, а також держава.</w:t>
      </w:r>
    </w:p>
    <w:p w14:paraId="7C7F5794" w14:textId="6AE7A5C5" w:rsidR="00015046" w:rsidRPr="00B13BCC" w:rsidRDefault="00AD674D" w:rsidP="00062BB4">
      <w:pPr>
        <w:spacing w:after="0" w:line="240" w:lineRule="auto"/>
        <w:ind w:firstLine="720"/>
        <w:jc w:val="both"/>
        <w:rPr>
          <w:color w:val="000000"/>
        </w:rPr>
      </w:pPr>
      <w:r w:rsidRPr="003A0A9E">
        <w:rPr>
          <w:b/>
          <w:color w:val="000000"/>
        </w:rPr>
        <w:t>4</w:t>
      </w:r>
      <w:r w:rsidR="00015046" w:rsidRPr="003A0A9E">
        <w:rPr>
          <w:b/>
          <w:color w:val="000000"/>
        </w:rPr>
        <w:t xml:space="preserve">. </w:t>
      </w:r>
      <w:r w:rsidR="00015046" w:rsidRPr="003A0A9E">
        <w:rPr>
          <w:color w:val="000000"/>
        </w:rPr>
        <w:t>Проект вимагає техніко-юридичного доопрацювання. Зокрема,  згідно з правилами</w:t>
      </w:r>
      <w:r w:rsidR="00015046" w:rsidRPr="00B13BCC">
        <w:rPr>
          <w:color w:val="000000"/>
        </w:rPr>
        <w:t xml:space="preserve"> законодавчої техніки у назві проекту про внесення змін до законодавчих актів не вказуються законодавчі акти, до яких вносяться зміни.</w:t>
      </w:r>
    </w:p>
    <w:p w14:paraId="00000015" w14:textId="295FAFD8" w:rsidR="001C10EF" w:rsidRPr="00B13BCC" w:rsidRDefault="00015046" w:rsidP="00062BB4">
      <w:pPr>
        <w:spacing w:after="0" w:line="240" w:lineRule="auto"/>
        <w:ind w:firstLine="720"/>
        <w:jc w:val="both"/>
      </w:pPr>
      <w:r w:rsidRPr="00B13BCC">
        <w:rPr>
          <w:color w:val="000000"/>
        </w:rPr>
        <w:t xml:space="preserve"> </w:t>
      </w:r>
    </w:p>
    <w:p w14:paraId="00000016" w14:textId="77777777" w:rsidR="001C10EF" w:rsidRPr="00B13BCC" w:rsidRDefault="001C10EF" w:rsidP="00062BB4">
      <w:pPr>
        <w:spacing w:after="0" w:line="240" w:lineRule="auto"/>
        <w:ind w:firstLine="720"/>
        <w:jc w:val="both"/>
      </w:pPr>
    </w:p>
    <w:p w14:paraId="00000017" w14:textId="31B50D5F" w:rsidR="001C10EF" w:rsidRPr="00B13BCC" w:rsidRDefault="00D9268B" w:rsidP="00062BB4">
      <w:pPr>
        <w:spacing w:after="0" w:line="240" w:lineRule="auto"/>
        <w:ind w:firstLine="720"/>
        <w:jc w:val="both"/>
      </w:pPr>
      <w:r w:rsidRPr="00B13BCC">
        <w:t xml:space="preserve">Керівник Головного управління </w:t>
      </w:r>
      <w:r w:rsidRPr="00B13BCC">
        <w:tab/>
      </w:r>
      <w:r w:rsidRPr="00B13BCC">
        <w:tab/>
      </w:r>
      <w:r w:rsidRPr="00B13BCC">
        <w:tab/>
      </w:r>
      <w:r w:rsidR="009C1BC1">
        <w:rPr>
          <w:lang w:val="ru-RU"/>
        </w:rPr>
        <w:t xml:space="preserve">              </w:t>
      </w:r>
      <w:bookmarkStart w:id="1" w:name="_GoBack"/>
      <w:bookmarkEnd w:id="1"/>
      <w:r w:rsidRPr="00B13BCC">
        <w:tab/>
        <w:t>С. Тихонюк</w:t>
      </w:r>
    </w:p>
    <w:p w14:paraId="00000018" w14:textId="77777777" w:rsidR="001C10EF" w:rsidRPr="00B13BCC" w:rsidRDefault="001C10EF" w:rsidP="00062BB4">
      <w:pPr>
        <w:widowControl w:val="0"/>
        <w:spacing w:after="0" w:line="240" w:lineRule="auto"/>
        <w:ind w:firstLine="720"/>
        <w:jc w:val="both"/>
      </w:pPr>
    </w:p>
    <w:p w14:paraId="00000019" w14:textId="77777777" w:rsidR="001C10EF" w:rsidRPr="00B13BCC" w:rsidRDefault="001C10EF" w:rsidP="00062BB4">
      <w:pPr>
        <w:widowControl w:val="0"/>
        <w:spacing w:after="0" w:line="240" w:lineRule="auto"/>
        <w:ind w:firstLine="720"/>
        <w:jc w:val="both"/>
      </w:pPr>
    </w:p>
    <w:p w14:paraId="0000001A" w14:textId="77777777" w:rsidR="001C10EF" w:rsidRPr="00B13BCC" w:rsidRDefault="00D9268B" w:rsidP="00062BB4">
      <w:pPr>
        <w:widowControl w:val="0"/>
        <w:spacing w:after="0" w:line="240" w:lineRule="auto"/>
        <w:ind w:firstLine="720"/>
        <w:jc w:val="both"/>
        <w:rPr>
          <w:sz w:val="20"/>
          <w:szCs w:val="20"/>
        </w:rPr>
      </w:pPr>
      <w:r w:rsidRPr="00B13BCC">
        <w:rPr>
          <w:sz w:val="20"/>
          <w:szCs w:val="20"/>
        </w:rPr>
        <w:t>Вик.: О. Куціпак, І. Кунець</w:t>
      </w:r>
    </w:p>
    <w:p w14:paraId="0000001B" w14:textId="77777777" w:rsidR="001C10EF" w:rsidRPr="00B13BCC" w:rsidRDefault="001C10EF" w:rsidP="00062BB4">
      <w:pPr>
        <w:widowControl w:val="0"/>
        <w:spacing w:after="0" w:line="240" w:lineRule="auto"/>
        <w:ind w:firstLine="720"/>
        <w:jc w:val="both"/>
        <w:rPr>
          <w:sz w:val="20"/>
          <w:szCs w:val="20"/>
        </w:rPr>
      </w:pPr>
    </w:p>
    <w:p w14:paraId="0000001C" w14:textId="77777777" w:rsidR="001C10EF" w:rsidRPr="00B13BCC" w:rsidRDefault="001C10EF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14:paraId="0000001D" w14:textId="77777777" w:rsidR="001C10EF" w:rsidRPr="00B13BCC" w:rsidRDefault="001C10EF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14:paraId="0000001E" w14:textId="77777777" w:rsidR="001C10EF" w:rsidRPr="00B13BCC" w:rsidRDefault="001C10EF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14:paraId="0000001F" w14:textId="77777777" w:rsidR="001C10EF" w:rsidRPr="00B13BCC" w:rsidRDefault="001C10EF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sectPr w:rsidR="001C10EF" w:rsidRPr="00B13BCC">
      <w:headerReference w:type="default" r:id="rId6"/>
      <w:footerReference w:type="even" r:id="rId7"/>
      <w:headerReference w:type="first" r:id="rId8"/>
      <w:pgSz w:w="11906" w:h="16838"/>
      <w:pgMar w:top="1134" w:right="851" w:bottom="1134" w:left="1701" w:header="284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AA0531" w14:textId="77777777" w:rsidR="009619EA" w:rsidRDefault="009619EA">
      <w:pPr>
        <w:spacing w:after="0" w:line="240" w:lineRule="auto"/>
      </w:pPr>
      <w:r>
        <w:separator/>
      </w:r>
    </w:p>
  </w:endnote>
  <w:endnote w:type="continuationSeparator" w:id="0">
    <w:p w14:paraId="0D805B51" w14:textId="77777777" w:rsidR="009619EA" w:rsidRDefault="009619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4" w14:textId="77777777" w:rsidR="001C10EF" w:rsidRDefault="00D9268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end"/>
    </w:r>
  </w:p>
  <w:p w14:paraId="00000025" w14:textId="77777777" w:rsidR="001C10EF" w:rsidRDefault="001C10E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ind w:right="360"/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8F970A" w14:textId="77777777" w:rsidR="009619EA" w:rsidRDefault="009619EA">
      <w:pPr>
        <w:spacing w:after="0" w:line="240" w:lineRule="auto"/>
      </w:pPr>
      <w:r>
        <w:separator/>
      </w:r>
    </w:p>
  </w:footnote>
  <w:footnote w:type="continuationSeparator" w:id="0">
    <w:p w14:paraId="59EE47A6" w14:textId="77777777" w:rsidR="009619EA" w:rsidRDefault="009619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3" w14:textId="76C3C5A0" w:rsidR="001C10EF" w:rsidRDefault="00D9268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9C1BC1">
      <w:rPr>
        <w:noProof/>
        <w:color w:val="000000"/>
        <w:sz w:val="20"/>
        <w:szCs w:val="20"/>
      </w:rPr>
      <w:t>2</w:t>
    </w:r>
    <w:r>
      <w:rPr>
        <w:color w:val="000000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0" w14:textId="3296F879" w:rsidR="001C10EF" w:rsidRDefault="00F67EC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t xml:space="preserve">До </w:t>
    </w:r>
    <w:r w:rsidR="00D9268B">
      <w:rPr>
        <w:color w:val="000000"/>
        <w:sz w:val="20"/>
        <w:szCs w:val="20"/>
      </w:rPr>
      <w:t>реєстр. № 3860 від 16.07.2020</w:t>
    </w:r>
  </w:p>
  <w:p w14:paraId="00000021" w14:textId="724C1322" w:rsidR="001C10EF" w:rsidRDefault="00F67EC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t xml:space="preserve">Народні </w:t>
    </w:r>
    <w:r w:rsidR="00D9268B">
      <w:rPr>
        <w:color w:val="000000"/>
        <w:sz w:val="20"/>
        <w:szCs w:val="20"/>
      </w:rPr>
      <w:t xml:space="preserve">депутати України </w:t>
    </w:r>
  </w:p>
  <w:p w14:paraId="00000022" w14:textId="77777777" w:rsidR="001C10EF" w:rsidRDefault="00D9268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right"/>
    </w:pPr>
    <w:r>
      <w:rPr>
        <w:color w:val="000000"/>
        <w:sz w:val="20"/>
        <w:szCs w:val="20"/>
      </w:rPr>
      <w:t>О. Федієнко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0EF"/>
    <w:rsid w:val="00015046"/>
    <w:rsid w:val="00031489"/>
    <w:rsid w:val="00062BB4"/>
    <w:rsid w:val="001743FA"/>
    <w:rsid w:val="00185D7C"/>
    <w:rsid w:val="001A7825"/>
    <w:rsid w:val="001C10EF"/>
    <w:rsid w:val="001C7BC8"/>
    <w:rsid w:val="003A0A9E"/>
    <w:rsid w:val="003E026A"/>
    <w:rsid w:val="003F5073"/>
    <w:rsid w:val="00417825"/>
    <w:rsid w:val="00424118"/>
    <w:rsid w:val="00491B98"/>
    <w:rsid w:val="004A56A7"/>
    <w:rsid w:val="004D649A"/>
    <w:rsid w:val="00553C95"/>
    <w:rsid w:val="005B5516"/>
    <w:rsid w:val="005C62D2"/>
    <w:rsid w:val="006121E0"/>
    <w:rsid w:val="00632C9D"/>
    <w:rsid w:val="006655D6"/>
    <w:rsid w:val="006E2F38"/>
    <w:rsid w:val="00701824"/>
    <w:rsid w:val="00727702"/>
    <w:rsid w:val="00771DF7"/>
    <w:rsid w:val="007E378D"/>
    <w:rsid w:val="00857A98"/>
    <w:rsid w:val="008715EB"/>
    <w:rsid w:val="008D2DDE"/>
    <w:rsid w:val="009619EA"/>
    <w:rsid w:val="009620C9"/>
    <w:rsid w:val="009870E3"/>
    <w:rsid w:val="009A2EBC"/>
    <w:rsid w:val="009B0509"/>
    <w:rsid w:val="009B15C7"/>
    <w:rsid w:val="009C1BC1"/>
    <w:rsid w:val="00AD674D"/>
    <w:rsid w:val="00B13BCC"/>
    <w:rsid w:val="00B218FF"/>
    <w:rsid w:val="00C85EEB"/>
    <w:rsid w:val="00D9268B"/>
    <w:rsid w:val="00E22291"/>
    <w:rsid w:val="00E248E1"/>
    <w:rsid w:val="00F514AD"/>
    <w:rsid w:val="00F64E54"/>
    <w:rsid w:val="00F67ECA"/>
    <w:rsid w:val="00FB583C"/>
    <w:rsid w:val="00FC3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9F2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spacing w:after="0" w:line="240" w:lineRule="auto"/>
      <w:ind w:firstLine="709"/>
      <w:jc w:val="center"/>
      <w:outlineLvl w:val="0"/>
    </w:pPr>
    <w:rPr>
      <w:rFonts w:ascii="Arial" w:eastAsia="Arial" w:hAnsi="Arial" w:cs="Arial"/>
      <w:b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spacing w:before="240" w:after="60"/>
      <w:outlineLvl w:val="2"/>
    </w:pPr>
    <w:rPr>
      <w:rFonts w:ascii="Calibri" w:eastAsia="Calibri" w:hAnsi="Calibri" w:cs="Calibri"/>
      <w:b/>
      <w:sz w:val="26"/>
      <w:szCs w:val="26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6E2F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E2F38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9620C9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F67EC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F67ECA"/>
  </w:style>
  <w:style w:type="paragraph" w:styleId="aa">
    <w:name w:val="footer"/>
    <w:basedOn w:val="a"/>
    <w:link w:val="ab"/>
    <w:uiPriority w:val="99"/>
    <w:unhideWhenUsed/>
    <w:rsid w:val="00F67EC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F67E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2966</Words>
  <Characters>1692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2021-02-02T16:50:00Z</dcterms:created>
  <dcterms:modified xsi:type="dcterms:W3CDTF">2021-02-02T16:50:00Z</dcterms:modified>
</cp:coreProperties>
</file>