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FEC" w:rsidRPr="00A90B3C" w:rsidRDefault="00EF09F4">
      <w:pPr>
        <w:spacing w:after="0" w:line="360" w:lineRule="auto"/>
        <w:ind w:firstLine="567"/>
        <w:jc w:val="both"/>
        <w:rPr>
          <w:rFonts w:ascii="Times New Roman" w:eastAsia="Times New Roman" w:hAnsi="Times New Roman" w:cs="Times New Roman"/>
          <w:color w:val="333333"/>
          <w:sz w:val="28"/>
          <w:szCs w:val="28"/>
          <w:highlight w:val="white"/>
          <w:lang w:val="uk-UA"/>
        </w:rPr>
      </w:pP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t xml:space="preserve"> </w:t>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t xml:space="preserve">   </w:t>
      </w:r>
    </w:p>
    <w:p w:rsidR="00200FEC" w:rsidRPr="00A90B3C" w:rsidRDefault="00200FEC">
      <w:pPr>
        <w:spacing w:after="0" w:line="360" w:lineRule="auto"/>
        <w:ind w:firstLine="567"/>
        <w:jc w:val="both"/>
        <w:rPr>
          <w:rFonts w:ascii="Times New Roman" w:eastAsia="Times New Roman" w:hAnsi="Times New Roman" w:cs="Times New Roman"/>
          <w:color w:val="333333"/>
          <w:sz w:val="28"/>
          <w:szCs w:val="28"/>
          <w:highlight w:val="white"/>
          <w:lang w:val="uk-UA"/>
        </w:rPr>
      </w:pPr>
    </w:p>
    <w:p w:rsidR="00200FEC" w:rsidRPr="00A90B3C" w:rsidRDefault="00EF09F4">
      <w:pPr>
        <w:spacing w:after="0" w:line="360" w:lineRule="auto"/>
        <w:ind w:firstLine="567"/>
        <w:jc w:val="both"/>
        <w:rPr>
          <w:rFonts w:ascii="Times New Roman" w:eastAsia="Times New Roman" w:hAnsi="Times New Roman" w:cs="Times New Roman"/>
          <w:color w:val="333333"/>
          <w:sz w:val="28"/>
          <w:szCs w:val="28"/>
          <w:highlight w:val="white"/>
          <w:lang w:val="uk-UA"/>
        </w:rPr>
      </w:pP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000000"/>
          <w:sz w:val="28"/>
          <w:szCs w:val="28"/>
          <w:highlight w:val="white"/>
          <w:lang w:val="uk-UA"/>
        </w:rPr>
        <w:tab/>
        <w:t xml:space="preserve">Комітет з питань здоров'я нації, медичної </w:t>
      </w:r>
      <w:r w:rsidRPr="00A90B3C">
        <w:rPr>
          <w:rFonts w:ascii="Times New Roman" w:eastAsia="Times New Roman" w:hAnsi="Times New Roman" w:cs="Times New Roman"/>
          <w:color w:val="000000"/>
          <w:sz w:val="28"/>
          <w:szCs w:val="28"/>
          <w:highlight w:val="white"/>
          <w:lang w:val="uk-UA"/>
        </w:rPr>
        <w:tab/>
      </w:r>
      <w:r w:rsidRPr="00A90B3C">
        <w:rPr>
          <w:rFonts w:ascii="Times New Roman" w:eastAsia="Times New Roman" w:hAnsi="Times New Roman" w:cs="Times New Roman"/>
          <w:color w:val="000000"/>
          <w:sz w:val="28"/>
          <w:szCs w:val="28"/>
          <w:highlight w:val="white"/>
          <w:lang w:val="uk-UA"/>
        </w:rPr>
        <w:tab/>
      </w:r>
      <w:r w:rsidRPr="00A90B3C">
        <w:rPr>
          <w:rFonts w:ascii="Times New Roman" w:eastAsia="Times New Roman" w:hAnsi="Times New Roman" w:cs="Times New Roman"/>
          <w:color w:val="000000"/>
          <w:sz w:val="28"/>
          <w:szCs w:val="28"/>
          <w:highlight w:val="white"/>
          <w:lang w:val="uk-UA"/>
        </w:rPr>
        <w:tab/>
      </w:r>
      <w:r w:rsidRPr="00A90B3C">
        <w:rPr>
          <w:rFonts w:ascii="Times New Roman" w:eastAsia="Times New Roman" w:hAnsi="Times New Roman" w:cs="Times New Roman"/>
          <w:color w:val="000000"/>
          <w:sz w:val="28"/>
          <w:szCs w:val="28"/>
          <w:highlight w:val="white"/>
          <w:lang w:val="uk-UA"/>
        </w:rPr>
        <w:tab/>
      </w:r>
      <w:r w:rsidRPr="00A90B3C">
        <w:rPr>
          <w:rFonts w:ascii="Times New Roman" w:eastAsia="Times New Roman" w:hAnsi="Times New Roman" w:cs="Times New Roman"/>
          <w:color w:val="000000"/>
          <w:sz w:val="28"/>
          <w:szCs w:val="28"/>
          <w:highlight w:val="white"/>
          <w:lang w:val="uk-UA"/>
        </w:rPr>
        <w:tab/>
      </w:r>
      <w:r w:rsidRPr="00A90B3C">
        <w:rPr>
          <w:rFonts w:ascii="Times New Roman" w:eastAsia="Times New Roman" w:hAnsi="Times New Roman" w:cs="Times New Roman"/>
          <w:color w:val="000000"/>
          <w:sz w:val="28"/>
          <w:szCs w:val="28"/>
          <w:highlight w:val="white"/>
          <w:lang w:val="uk-UA"/>
        </w:rPr>
        <w:tab/>
      </w:r>
      <w:r w:rsidRPr="00A90B3C">
        <w:rPr>
          <w:rFonts w:ascii="Times New Roman" w:eastAsia="Times New Roman" w:hAnsi="Times New Roman" w:cs="Times New Roman"/>
          <w:color w:val="000000"/>
          <w:sz w:val="28"/>
          <w:szCs w:val="28"/>
          <w:highlight w:val="white"/>
          <w:lang w:val="uk-UA"/>
        </w:rPr>
        <w:tab/>
        <w:t>допомоги та медичного страхування</w:t>
      </w:r>
    </w:p>
    <w:p w:rsidR="00200FEC" w:rsidRPr="00A90B3C" w:rsidRDefault="00200FEC">
      <w:pPr>
        <w:spacing w:after="0" w:line="360" w:lineRule="auto"/>
        <w:jc w:val="both"/>
        <w:rPr>
          <w:rFonts w:ascii="Times New Roman" w:eastAsia="Times New Roman" w:hAnsi="Times New Roman" w:cs="Times New Roman"/>
          <w:color w:val="000000"/>
          <w:sz w:val="28"/>
          <w:szCs w:val="28"/>
          <w:lang w:val="uk-UA"/>
        </w:rPr>
      </w:pPr>
    </w:p>
    <w:p w:rsidR="00200FEC" w:rsidRPr="00A90B3C" w:rsidRDefault="00200FEC">
      <w:pPr>
        <w:spacing w:after="0" w:line="360" w:lineRule="auto"/>
        <w:jc w:val="both"/>
        <w:rPr>
          <w:rFonts w:ascii="Times New Roman" w:eastAsia="Times New Roman" w:hAnsi="Times New Roman" w:cs="Times New Roman"/>
          <w:color w:val="000000"/>
          <w:sz w:val="28"/>
          <w:szCs w:val="28"/>
          <w:lang w:val="uk-UA"/>
        </w:rPr>
      </w:pPr>
    </w:p>
    <w:p w:rsidR="00200FEC" w:rsidRPr="00A90B3C" w:rsidRDefault="00EF09F4">
      <w:pPr>
        <w:spacing w:after="0" w:line="360" w:lineRule="auto"/>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color w:val="000000"/>
          <w:sz w:val="28"/>
          <w:szCs w:val="28"/>
          <w:lang w:val="uk-UA"/>
        </w:rPr>
        <w:t>Рішення Комітету</w:t>
      </w:r>
    </w:p>
    <w:p w:rsidR="00200FEC" w:rsidRPr="00A90B3C" w:rsidRDefault="00EF09F4">
      <w:pPr>
        <w:spacing w:after="0" w:line="360" w:lineRule="auto"/>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color w:val="000000"/>
          <w:sz w:val="28"/>
          <w:szCs w:val="28"/>
          <w:lang w:val="uk-UA"/>
        </w:rPr>
        <w:t>щодо експертного висновку</w:t>
      </w:r>
    </w:p>
    <w:p w:rsidR="00200FEC" w:rsidRPr="00A90B3C" w:rsidRDefault="00EF09F4">
      <w:pPr>
        <w:spacing w:after="0" w:line="360" w:lineRule="auto"/>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color w:val="000000"/>
          <w:sz w:val="28"/>
          <w:szCs w:val="28"/>
          <w:lang w:val="uk-UA"/>
        </w:rPr>
        <w:t>законопроекту №  3890</w:t>
      </w:r>
    </w:p>
    <w:p w:rsidR="00200FEC" w:rsidRPr="00A90B3C" w:rsidRDefault="00200FEC">
      <w:pPr>
        <w:spacing w:after="0" w:line="360" w:lineRule="auto"/>
        <w:ind w:firstLine="567"/>
        <w:jc w:val="both"/>
        <w:rPr>
          <w:rFonts w:ascii="Times New Roman" w:eastAsia="Times New Roman" w:hAnsi="Times New Roman" w:cs="Times New Roman"/>
          <w:color w:val="333333"/>
          <w:sz w:val="28"/>
          <w:szCs w:val="28"/>
          <w:highlight w:val="white"/>
          <w:lang w:val="uk-UA"/>
        </w:rPr>
      </w:pPr>
    </w:p>
    <w:p w:rsidR="00200FEC" w:rsidRPr="00A90B3C" w:rsidRDefault="00EF09F4">
      <w:pPr>
        <w:spacing w:after="0" w:line="360" w:lineRule="auto"/>
        <w:ind w:firstLine="567"/>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sz w:val="28"/>
          <w:szCs w:val="28"/>
          <w:lang w:val="uk-UA"/>
        </w:rPr>
        <w:t xml:space="preserve">   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Закону України «Про забезпечення санітарного та епідемічного благополуччя населення» щодо запобігання поширенню коронавірусної хвороби (COVID-19) (реєстр. № </w:t>
      </w:r>
      <w:r w:rsidRPr="00A90B3C">
        <w:rPr>
          <w:rFonts w:ascii="Times New Roman" w:eastAsia="Times New Roman" w:hAnsi="Times New Roman" w:cs="Times New Roman"/>
          <w:b/>
          <w:sz w:val="28"/>
          <w:szCs w:val="28"/>
          <w:lang w:val="uk-UA"/>
        </w:rPr>
        <w:t>3890</w:t>
      </w:r>
      <w:r w:rsidRPr="00A90B3C">
        <w:rPr>
          <w:rFonts w:ascii="Times New Roman" w:eastAsia="Times New Roman" w:hAnsi="Times New Roman" w:cs="Times New Roman"/>
          <w:sz w:val="28"/>
          <w:szCs w:val="28"/>
          <w:lang w:val="uk-UA"/>
        </w:rPr>
        <w:t>), поданий Кабінетом Міністрів України.</w:t>
      </w:r>
    </w:p>
    <w:p w:rsidR="00200FEC" w:rsidRPr="00A90B3C" w:rsidRDefault="00EF09F4">
      <w:pPr>
        <w:spacing w:after="0" w:line="360" w:lineRule="auto"/>
        <w:ind w:firstLine="720"/>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sz w:val="28"/>
          <w:szCs w:val="28"/>
          <w:lang w:val="uk-UA"/>
        </w:rPr>
        <w:t>Метою прийняття акта є запобігання розповсюдженню гострої респіраторної хвороби COVID-2019, спричиненої коронавірусом                             SARS-CoV-2, серед населення України.</w:t>
      </w:r>
    </w:p>
    <w:p w:rsidR="00200FEC" w:rsidRPr="00A90B3C" w:rsidRDefault="00EF09F4">
      <w:pPr>
        <w:tabs>
          <w:tab w:val="left" w:pos="1319"/>
        </w:tabs>
        <w:spacing w:after="0" w:line="360" w:lineRule="auto"/>
        <w:jc w:val="both"/>
        <w:rPr>
          <w:rFonts w:ascii="Times New Roman" w:eastAsia="Times New Roman" w:hAnsi="Times New Roman" w:cs="Times New Roman"/>
          <w:sz w:val="28"/>
          <w:szCs w:val="28"/>
          <w:highlight w:val="white"/>
          <w:lang w:val="uk-UA"/>
        </w:rPr>
      </w:pPr>
      <w:r w:rsidRPr="00A90B3C">
        <w:rPr>
          <w:rFonts w:ascii="Times New Roman" w:eastAsia="Times New Roman" w:hAnsi="Times New Roman" w:cs="Times New Roman"/>
          <w:sz w:val="28"/>
          <w:szCs w:val="28"/>
          <w:lang w:val="uk-UA"/>
        </w:rPr>
        <w:t xml:space="preserve">        </w:t>
      </w:r>
      <w:r w:rsidRPr="00A90B3C">
        <w:rPr>
          <w:rFonts w:ascii="Times New Roman" w:eastAsia="Times New Roman" w:hAnsi="Times New Roman" w:cs="Times New Roman"/>
          <w:color w:val="000000"/>
          <w:sz w:val="28"/>
          <w:szCs w:val="28"/>
          <w:lang w:val="uk-UA"/>
        </w:rPr>
        <w:t>Загало</w:t>
      </w:r>
      <w:r w:rsidR="00E5185F" w:rsidRPr="00A90B3C">
        <w:rPr>
          <w:rFonts w:ascii="Times New Roman" w:eastAsia="Times New Roman" w:hAnsi="Times New Roman" w:cs="Times New Roman"/>
          <w:color w:val="000000"/>
          <w:sz w:val="28"/>
          <w:szCs w:val="28"/>
          <w:lang w:val="uk-UA"/>
        </w:rPr>
        <w:t>м,</w:t>
      </w:r>
      <w:r w:rsidRPr="00A90B3C">
        <w:rPr>
          <w:rFonts w:ascii="Times New Roman" w:eastAsia="Times New Roman" w:hAnsi="Times New Roman" w:cs="Times New Roman"/>
          <w:color w:val="000000"/>
          <w:sz w:val="28"/>
          <w:szCs w:val="28"/>
          <w:lang w:val="uk-UA"/>
        </w:rPr>
        <w:t xml:space="preserve"> Комітет підтримує суспільно важливу ініціативу проекту Закону, спрямовану на </w:t>
      </w:r>
      <w:r w:rsidRPr="00A90B3C">
        <w:rPr>
          <w:rFonts w:ascii="Times New Roman" w:eastAsia="Times New Roman" w:hAnsi="Times New Roman" w:cs="Times New Roman"/>
          <w:sz w:val="28"/>
          <w:szCs w:val="28"/>
          <w:highlight w:val="white"/>
          <w:lang w:val="uk-UA"/>
        </w:rPr>
        <w:t>запобігання розповсюдженню гострої респіраторної хвороби COVID-2019 в Україні.</w:t>
      </w:r>
    </w:p>
    <w:p w:rsidR="00200FEC" w:rsidRPr="00A90B3C" w:rsidRDefault="00200FEC">
      <w:pPr>
        <w:spacing w:after="0" w:line="360" w:lineRule="auto"/>
        <w:ind w:firstLine="567"/>
        <w:jc w:val="both"/>
        <w:rPr>
          <w:rFonts w:ascii="Times New Roman" w:eastAsia="Times New Roman" w:hAnsi="Times New Roman" w:cs="Times New Roman"/>
          <w:sz w:val="28"/>
          <w:szCs w:val="28"/>
          <w:lang w:val="uk-UA"/>
        </w:rPr>
      </w:pPr>
    </w:p>
    <w:p w:rsidR="00200FEC" w:rsidRPr="00A90B3C" w:rsidRDefault="00EF09F4">
      <w:pPr>
        <w:spacing w:before="240" w:after="0" w:line="360" w:lineRule="auto"/>
        <w:ind w:firstLine="700"/>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sz w:val="28"/>
          <w:szCs w:val="28"/>
          <w:lang w:val="uk-UA"/>
        </w:rPr>
        <w:lastRenderedPageBreak/>
        <w:t xml:space="preserve">Разом з тим,  відсутня правова визначеність у запропонованій редакції пункту «є» частини другої статті 46 Закону України «Про забезпечення санітарного та епідемічного благополуччя населення»,  в частині </w:t>
      </w:r>
      <w:r w:rsidRPr="00A90B3C">
        <w:rPr>
          <w:rFonts w:ascii="Times New Roman" w:eastAsia="Times New Roman" w:hAnsi="Times New Roman" w:cs="Times New Roman"/>
          <w:i/>
          <w:sz w:val="28"/>
          <w:szCs w:val="28"/>
          <w:lang w:val="uk-UA"/>
        </w:rPr>
        <w:t>«</w:t>
      </w:r>
      <w:r w:rsidRPr="00A90B3C">
        <w:rPr>
          <w:rFonts w:ascii="Times New Roman" w:eastAsia="Times New Roman" w:hAnsi="Times New Roman" w:cs="Times New Roman"/>
          <w:b/>
          <w:i/>
          <w:sz w:val="28"/>
          <w:szCs w:val="28"/>
          <w:u w:val="single"/>
          <w:lang w:val="uk-UA"/>
        </w:rPr>
        <w:t>невжиття заходів</w:t>
      </w:r>
      <w:r w:rsidRPr="00A90B3C">
        <w:rPr>
          <w:rFonts w:ascii="Times New Roman" w:eastAsia="Times New Roman" w:hAnsi="Times New Roman" w:cs="Times New Roman"/>
          <w:i/>
          <w:sz w:val="28"/>
          <w:szCs w:val="28"/>
          <w:lang w:val="uk-UA"/>
        </w:rPr>
        <w:t xml:space="preserve"> щодо перебування особи в громадських будинках, спорудах, громадському транспорті без такого засобу індивідуального захисту»</w:t>
      </w:r>
      <w:r w:rsidRPr="00A90B3C">
        <w:rPr>
          <w:rFonts w:ascii="Times New Roman" w:eastAsia="Times New Roman" w:hAnsi="Times New Roman" w:cs="Times New Roman"/>
          <w:sz w:val="28"/>
          <w:szCs w:val="28"/>
          <w:lang w:val="uk-UA"/>
        </w:rPr>
        <w:t>.</w:t>
      </w:r>
    </w:p>
    <w:p w:rsidR="00200FEC" w:rsidRPr="00A90B3C" w:rsidRDefault="00EF09F4">
      <w:pPr>
        <w:spacing w:before="240" w:after="0" w:line="360" w:lineRule="auto"/>
        <w:ind w:firstLine="700"/>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sz w:val="28"/>
          <w:szCs w:val="28"/>
          <w:lang w:val="uk-UA"/>
        </w:rPr>
        <w:t>Вказана конструкція не дозволяє однозначно встановити ознаки правопорушення; зокрема, залишається незрозумілим, вжиття яких саме заходів може вважатися достатнім та за невжиття яких саме заходів може наставати відповідальність з урахуванням того, що суб'єкт відповідальності позбавлени</w:t>
      </w:r>
      <w:r w:rsidR="008B1738">
        <w:rPr>
          <w:rFonts w:ascii="Times New Roman" w:eastAsia="Times New Roman" w:hAnsi="Times New Roman" w:cs="Times New Roman"/>
          <w:sz w:val="28"/>
          <w:szCs w:val="28"/>
          <w:lang w:val="uk-UA"/>
        </w:rPr>
        <w:t>й</w:t>
      </w:r>
      <w:bookmarkStart w:id="0" w:name="_GoBack"/>
      <w:bookmarkEnd w:id="0"/>
      <w:r w:rsidRPr="00A90B3C">
        <w:rPr>
          <w:rFonts w:ascii="Times New Roman" w:eastAsia="Times New Roman" w:hAnsi="Times New Roman" w:cs="Times New Roman"/>
          <w:sz w:val="28"/>
          <w:szCs w:val="28"/>
          <w:lang w:val="uk-UA"/>
        </w:rPr>
        <w:t xml:space="preserve"> права застосовувати примус.  Вказана невизначеність може створювати корупційні ризики при вирішенні питання про притягнення до відповідальності та застосування суттєвих фінансових санкцій.</w:t>
      </w:r>
    </w:p>
    <w:p w:rsidR="00200FEC" w:rsidRPr="00A90B3C" w:rsidRDefault="00EF09F4">
      <w:pPr>
        <w:spacing w:after="0" w:line="360" w:lineRule="auto"/>
        <w:ind w:firstLine="567"/>
        <w:jc w:val="both"/>
        <w:rPr>
          <w:rFonts w:ascii="Times New Roman" w:eastAsia="Times New Roman" w:hAnsi="Times New Roman" w:cs="Times New Roman"/>
          <w:b/>
          <w:color w:val="262626"/>
          <w:sz w:val="28"/>
          <w:szCs w:val="28"/>
          <w:highlight w:val="white"/>
          <w:lang w:val="uk-UA"/>
        </w:rPr>
      </w:pPr>
      <w:r w:rsidRPr="00A90B3C">
        <w:rPr>
          <w:rFonts w:ascii="Times New Roman" w:eastAsia="Times New Roman" w:hAnsi="Times New Roman" w:cs="Times New Roman"/>
          <w:color w:val="000000"/>
          <w:sz w:val="28"/>
          <w:szCs w:val="28"/>
          <w:lang w:val="uk-UA"/>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22 вересня 2020 року, протокол  № 51 прийняв рішення, що проект Закону України про внесення змін до Закону України «Про забезпечення санітарного та епідемічного благополуччя населення» щодо запобігання поширенню коронавірусної хвороби (COVID-19) (реєстр. № 3890), поданий Кабінетом Міністрів України,</w:t>
      </w:r>
      <w:r w:rsidRPr="00A90B3C">
        <w:rPr>
          <w:rFonts w:ascii="Times New Roman" w:eastAsia="Times New Roman" w:hAnsi="Times New Roman" w:cs="Times New Roman"/>
          <w:b/>
          <w:color w:val="000000"/>
          <w:sz w:val="28"/>
          <w:szCs w:val="28"/>
          <w:lang w:val="uk-UA"/>
        </w:rPr>
        <w:t xml:space="preserve"> </w:t>
      </w:r>
      <w:r w:rsidRPr="00A90B3C">
        <w:rPr>
          <w:rFonts w:ascii="Times New Roman" w:eastAsia="Times New Roman" w:hAnsi="Times New Roman" w:cs="Times New Roman"/>
          <w:b/>
          <w:color w:val="262626"/>
          <w:sz w:val="28"/>
          <w:szCs w:val="28"/>
          <w:highlight w:val="white"/>
          <w:lang w:val="uk-UA"/>
        </w:rPr>
        <w:t>містить окремі положення, які можуть створювати корупційні ризики.</w:t>
      </w:r>
    </w:p>
    <w:p w:rsidR="00200FEC" w:rsidRPr="00A90B3C" w:rsidRDefault="00200FEC">
      <w:pPr>
        <w:spacing w:after="0" w:line="360" w:lineRule="auto"/>
        <w:ind w:firstLine="567"/>
        <w:jc w:val="both"/>
        <w:rPr>
          <w:rFonts w:ascii="Times New Roman" w:eastAsia="Times New Roman" w:hAnsi="Times New Roman" w:cs="Times New Roman"/>
          <w:b/>
          <w:color w:val="262626"/>
          <w:sz w:val="28"/>
          <w:szCs w:val="28"/>
          <w:highlight w:val="white"/>
          <w:lang w:val="uk-UA"/>
        </w:rPr>
      </w:pPr>
    </w:p>
    <w:p w:rsidR="00200FEC" w:rsidRPr="00A90B3C" w:rsidRDefault="00EF09F4">
      <w:pPr>
        <w:spacing w:after="0" w:line="360" w:lineRule="auto"/>
        <w:ind w:firstLine="567"/>
        <w:jc w:val="both"/>
        <w:rPr>
          <w:lang w:val="uk-UA"/>
        </w:rPr>
      </w:pPr>
      <w:r w:rsidRPr="00A90B3C">
        <w:rPr>
          <w:rFonts w:ascii="Times New Roman" w:eastAsia="Times New Roman" w:hAnsi="Times New Roman" w:cs="Times New Roman"/>
          <w:sz w:val="28"/>
          <w:szCs w:val="28"/>
          <w:lang w:val="uk-UA"/>
        </w:rPr>
        <w:t xml:space="preserve">Голова Комітету                                </w:t>
      </w:r>
      <w:r w:rsidRPr="00A90B3C">
        <w:rPr>
          <w:rFonts w:ascii="Times New Roman" w:eastAsia="Times New Roman" w:hAnsi="Times New Roman" w:cs="Times New Roman"/>
          <w:sz w:val="28"/>
          <w:szCs w:val="28"/>
          <w:lang w:val="uk-UA"/>
        </w:rPr>
        <w:tab/>
      </w:r>
      <w:r w:rsidRPr="00A90B3C">
        <w:rPr>
          <w:rFonts w:ascii="Times New Roman" w:eastAsia="Times New Roman" w:hAnsi="Times New Roman" w:cs="Times New Roman"/>
          <w:sz w:val="28"/>
          <w:szCs w:val="28"/>
          <w:lang w:val="uk-UA"/>
        </w:rPr>
        <w:tab/>
      </w:r>
      <w:r w:rsidRPr="00A90B3C">
        <w:rPr>
          <w:rFonts w:ascii="Times New Roman" w:eastAsia="Times New Roman" w:hAnsi="Times New Roman" w:cs="Times New Roman"/>
          <w:sz w:val="28"/>
          <w:szCs w:val="28"/>
          <w:lang w:val="uk-UA"/>
        </w:rPr>
        <w:tab/>
        <w:t xml:space="preserve">         </w:t>
      </w:r>
      <w:r w:rsidRPr="00A90B3C">
        <w:rPr>
          <w:rFonts w:ascii="Times New Roman" w:eastAsia="Times New Roman" w:hAnsi="Times New Roman" w:cs="Times New Roman"/>
          <w:sz w:val="28"/>
          <w:szCs w:val="28"/>
          <w:lang w:val="uk-UA"/>
        </w:rPr>
        <w:tab/>
        <w:t xml:space="preserve">              А. Радіна</w:t>
      </w:r>
    </w:p>
    <w:p w:rsidR="00200FEC" w:rsidRPr="00A90B3C" w:rsidRDefault="00200FEC">
      <w:pPr>
        <w:spacing w:after="0" w:line="240" w:lineRule="auto"/>
        <w:ind w:firstLine="567"/>
        <w:rPr>
          <w:rFonts w:ascii="Times New Roman" w:eastAsia="Times New Roman" w:hAnsi="Times New Roman" w:cs="Times New Roman"/>
          <w:sz w:val="28"/>
          <w:szCs w:val="28"/>
          <w:lang w:val="uk-UA"/>
        </w:rPr>
      </w:pPr>
    </w:p>
    <w:p w:rsidR="00200FEC" w:rsidRPr="00A90B3C" w:rsidRDefault="00EF09F4">
      <w:pPr>
        <w:spacing w:after="0" w:line="360" w:lineRule="auto"/>
        <w:ind w:firstLine="567"/>
        <w:jc w:val="both"/>
        <w:rPr>
          <w:rFonts w:ascii="Times New Roman" w:eastAsia="Times New Roman" w:hAnsi="Times New Roman" w:cs="Times New Roman"/>
          <w:sz w:val="28"/>
          <w:szCs w:val="28"/>
          <w:lang w:val="uk-UA"/>
        </w:rPr>
      </w:pP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r w:rsidRPr="00A90B3C">
        <w:rPr>
          <w:rFonts w:ascii="Times New Roman" w:eastAsia="Times New Roman" w:hAnsi="Times New Roman" w:cs="Times New Roman"/>
          <w:color w:val="333333"/>
          <w:sz w:val="28"/>
          <w:szCs w:val="28"/>
          <w:highlight w:val="white"/>
          <w:lang w:val="uk-UA"/>
        </w:rPr>
        <w:tab/>
      </w:r>
    </w:p>
    <w:sectPr w:rsidR="00200FEC" w:rsidRPr="00A90B3C">
      <w:headerReference w:type="default" r:id="rId7"/>
      <w:headerReference w:type="first" r:id="rId8"/>
      <w:footerReference w:type="first" r:id="rId9"/>
      <w:pgSz w:w="11906" w:h="16838"/>
      <w:pgMar w:top="284" w:right="567" w:bottom="0"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F31" w:rsidRDefault="00B87F31">
      <w:pPr>
        <w:spacing w:after="0" w:line="240" w:lineRule="auto"/>
      </w:pPr>
      <w:r>
        <w:separator/>
      </w:r>
    </w:p>
  </w:endnote>
  <w:endnote w:type="continuationSeparator" w:id="0">
    <w:p w:rsidR="00B87F31" w:rsidRDefault="00B87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EC" w:rsidRDefault="00200FEC">
    <w:pPr>
      <w:pBdr>
        <w:top w:val="nil"/>
        <w:left w:val="nil"/>
        <w:bottom w:val="nil"/>
        <w:right w:val="nil"/>
        <w:between w:val="nil"/>
      </w:pBdr>
      <w:tabs>
        <w:tab w:val="center" w:pos="4677"/>
        <w:tab w:val="right" w:pos="9355"/>
      </w:tabs>
      <w:spacing w:after="0" w:line="240" w:lineRule="auto"/>
      <w:jc w:val="center"/>
      <w:rPr>
        <w:color w:val="000000"/>
      </w:rPr>
    </w:pPr>
  </w:p>
  <w:p w:rsidR="00200FEC" w:rsidRDefault="00200FEC">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F31" w:rsidRDefault="00B87F31">
      <w:pPr>
        <w:spacing w:after="0" w:line="240" w:lineRule="auto"/>
      </w:pPr>
      <w:r>
        <w:separator/>
      </w:r>
    </w:p>
  </w:footnote>
  <w:footnote w:type="continuationSeparator" w:id="0">
    <w:p w:rsidR="00B87F31" w:rsidRDefault="00B87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EC" w:rsidRDefault="00EF09F4">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EC" w:rsidRDefault="00200FEC">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bl>
    <w:tblPr>
      <w:tblStyle w:val="ad"/>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200FEC">
      <w:tc>
        <w:tcPr>
          <w:tcW w:w="11957" w:type="dxa"/>
          <w:tcBorders>
            <w:top w:val="nil"/>
            <w:left w:val="nil"/>
            <w:bottom w:val="nil"/>
            <w:right w:val="nil"/>
          </w:tcBorders>
        </w:tcPr>
        <w:p w:rsidR="00200FEC" w:rsidRDefault="00200FE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200FEC" w:rsidRDefault="00200FE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200FEC" w:rsidRDefault="00200FE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200FEC" w:rsidRDefault="00EF09F4">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lang w:val="uk-UA"/>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200FEC" w:rsidRDefault="00EF09F4">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200FEC" w:rsidRDefault="00EF09F4">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01008, м.Київ-8, вул. М. Грушевського, 5, тел.: (044) 255-35-03,  e-mail: crimecor@rada.gov.ua</w:t>
          </w:r>
        </w:p>
      </w:tc>
    </w:tr>
  </w:tbl>
  <w:p w:rsidR="00200FEC" w:rsidRDefault="00200FEC">
    <w:pPr>
      <w:widowControl w:val="0"/>
      <w:pBdr>
        <w:top w:val="nil"/>
        <w:left w:val="nil"/>
        <w:bottom w:val="nil"/>
        <w:right w:val="nil"/>
        <w:between w:val="nil"/>
      </w:pBdr>
      <w:spacing w:after="0" w:line="276" w:lineRule="auto"/>
      <w:rPr>
        <w:color w:val="002060"/>
        <w:sz w:val="20"/>
        <w:szCs w:val="20"/>
      </w:rPr>
    </w:pPr>
  </w:p>
  <w:tbl>
    <w:tblPr>
      <w:tblStyle w:val="ae"/>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200FEC">
      <w:tc>
        <w:tcPr>
          <w:tcW w:w="1087" w:type="dxa"/>
          <w:tcBorders>
            <w:top w:val="nil"/>
          </w:tcBorders>
        </w:tcPr>
        <w:p w:rsidR="00200FEC" w:rsidRDefault="00200FE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9714" w:type="dxa"/>
        </w:tcPr>
        <w:p w:rsidR="00200FEC" w:rsidRDefault="00200FE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1086" w:type="dxa"/>
          <w:tcBorders>
            <w:top w:val="nil"/>
          </w:tcBorders>
        </w:tcPr>
        <w:p w:rsidR="00200FEC" w:rsidRDefault="00200FE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r>
  </w:tbl>
  <w:p w:rsidR="00200FEC" w:rsidRDefault="00200FE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EC"/>
    <w:rsid w:val="00200FEC"/>
    <w:rsid w:val="008B1738"/>
    <w:rsid w:val="00A90B3C"/>
    <w:rsid w:val="00B87F31"/>
    <w:rsid w:val="00E5185F"/>
    <w:rsid w:val="00EF09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D26B"/>
  <w15:docId w15:val="{47876EA6-2424-4BBA-85A4-94B60E433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rPr>
      <w:lang w:val="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5E306B"/>
    <w:rPr>
      <w:rFonts w:cs="Times New Roman"/>
    </w:rPr>
  </w:style>
  <w:style w:type="table" w:styleId="a8">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CE3E1B"/>
    <w:rPr>
      <w:rFonts w:ascii="Segoe UI" w:hAnsi="Segoe UI" w:cs="Segoe UI"/>
      <w:sz w:val="18"/>
      <w:szCs w:val="18"/>
    </w:rPr>
  </w:style>
  <w:style w:type="character" w:styleId="ab">
    <w:name w:val="Hyperlink"/>
    <w:basedOn w:val="a0"/>
    <w:uiPriority w:val="99"/>
    <w:semiHidden/>
    <w:unhideWhenUsed/>
    <w:rsid w:val="00C86266"/>
    <w:rPr>
      <w:color w:val="0000FF"/>
      <w:u w:val="single"/>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08" w:type="dxa"/>
        <w:right w:w="108" w:type="dxa"/>
      </w:tblCellMar>
    </w:tblPr>
  </w:style>
  <w:style w:type="paragraph" w:styleId="af">
    <w:name w:val="annotation text"/>
    <w:basedOn w:val="a"/>
    <w:link w:val="af0"/>
    <w:uiPriority w:val="99"/>
    <w:semiHidden/>
    <w:unhideWhenUsed/>
    <w:pPr>
      <w:spacing w:line="240" w:lineRule="auto"/>
    </w:pPr>
    <w:rPr>
      <w:sz w:val="20"/>
      <w:szCs w:val="20"/>
    </w:rPr>
  </w:style>
  <w:style w:type="character" w:customStyle="1" w:styleId="af0">
    <w:name w:val="Текст примітки Знак"/>
    <w:basedOn w:val="a0"/>
    <w:link w:val="af"/>
    <w:uiPriority w:val="99"/>
    <w:semiHidden/>
    <w:rPr>
      <w:sz w:val="20"/>
      <w:szCs w:val="20"/>
      <w:lang w:val="ru-RU"/>
    </w:rPr>
  </w:style>
  <w:style w:type="character" w:styleId="af1">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Jxqxsfj6harFRGvw8Ohn2LbDRw==">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1624</Words>
  <Characters>927</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Желих Наталія Михайлівна</cp:lastModifiedBy>
  <cp:revision>4</cp:revision>
  <dcterms:created xsi:type="dcterms:W3CDTF">2020-09-22T14:34:00Z</dcterms:created>
  <dcterms:modified xsi:type="dcterms:W3CDTF">2020-09-29T07:42:00Z</dcterms:modified>
</cp:coreProperties>
</file>