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AFC" w:rsidRPr="00573AFC" w:rsidRDefault="00573AFC" w:rsidP="00573AFC">
      <w:pPr>
        <w:shd w:val="clear" w:color="auto" w:fill="FFFFFF"/>
        <w:spacing w:after="0" w:line="240" w:lineRule="auto"/>
        <w:jc w:val="both"/>
        <w:rPr>
          <w:rFonts w:ascii="Times New Roman" w:hAnsi="Times New Roman"/>
          <w:b/>
          <w:sz w:val="28"/>
          <w:szCs w:val="28"/>
          <w:lang w:val="uk-UA"/>
        </w:rPr>
      </w:pPr>
    </w:p>
    <w:p w:rsidR="00573AFC" w:rsidRPr="00573AFC" w:rsidRDefault="00573AFC" w:rsidP="00573AFC">
      <w:pPr>
        <w:shd w:val="clear" w:color="auto" w:fill="FFFFFF"/>
        <w:spacing w:after="0" w:line="240" w:lineRule="auto"/>
        <w:jc w:val="both"/>
        <w:rPr>
          <w:rFonts w:ascii="Times New Roman" w:hAnsi="Times New Roman"/>
          <w:b/>
          <w:sz w:val="28"/>
          <w:szCs w:val="28"/>
          <w:lang w:val="uk-UA"/>
        </w:rPr>
      </w:pPr>
    </w:p>
    <w:p w:rsidR="00573AFC" w:rsidRPr="00573AFC" w:rsidRDefault="00573AFC" w:rsidP="00573AFC">
      <w:pPr>
        <w:shd w:val="clear" w:color="auto" w:fill="FFFFFF"/>
        <w:spacing w:after="0" w:line="240" w:lineRule="auto"/>
        <w:jc w:val="both"/>
        <w:rPr>
          <w:rFonts w:ascii="Times New Roman" w:hAnsi="Times New Roman"/>
          <w:b/>
          <w:sz w:val="28"/>
          <w:szCs w:val="28"/>
          <w:lang w:val="uk-UA"/>
        </w:rPr>
      </w:pPr>
    </w:p>
    <w:p w:rsidR="00573AFC" w:rsidRPr="00573AFC" w:rsidRDefault="00573AFC" w:rsidP="00573AFC">
      <w:pPr>
        <w:shd w:val="clear" w:color="auto" w:fill="FFFFFF"/>
        <w:spacing w:after="0" w:line="240" w:lineRule="auto"/>
        <w:ind w:left="5664" w:firstLine="708"/>
        <w:jc w:val="both"/>
        <w:rPr>
          <w:rFonts w:ascii="Times New Roman" w:hAnsi="Times New Roman"/>
          <w:b/>
          <w:bCs/>
          <w:sz w:val="28"/>
          <w:szCs w:val="28"/>
          <w:lang w:val="uk-UA" w:eastAsia="ru-RU"/>
        </w:rPr>
      </w:pPr>
      <w:bookmarkStart w:id="0" w:name="_GoBack"/>
      <w:bookmarkEnd w:id="0"/>
      <w:r w:rsidRPr="00573AFC">
        <w:rPr>
          <w:rFonts w:ascii="Times New Roman" w:hAnsi="Times New Roman"/>
          <w:b/>
          <w:sz w:val="28"/>
          <w:szCs w:val="28"/>
          <w:lang w:val="uk-UA"/>
        </w:rPr>
        <w:t>Верховна Рада України</w:t>
      </w:r>
    </w:p>
    <w:p w:rsidR="00573AFC" w:rsidRPr="00573AFC" w:rsidRDefault="00573AFC" w:rsidP="00573AFC">
      <w:pPr>
        <w:spacing w:after="0" w:line="240" w:lineRule="auto"/>
        <w:jc w:val="center"/>
        <w:rPr>
          <w:rFonts w:ascii="Times New Roman" w:hAnsi="Times New Roman"/>
          <w:sz w:val="28"/>
          <w:szCs w:val="24"/>
          <w:highlight w:val="yellow"/>
          <w:lang w:val="uk-UA" w:eastAsia="ru-RU"/>
        </w:rPr>
      </w:pP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Комітет Верховної Ради України з питань фінансів, податкової та митної політики на своєму засіданні </w:t>
      </w:r>
      <w:r>
        <w:rPr>
          <w:rFonts w:ascii="Times New Roman" w:hAnsi="Times New Roman"/>
          <w:sz w:val="28"/>
          <w:szCs w:val="28"/>
          <w:lang w:val="uk-UA" w:eastAsia="ru-RU"/>
        </w:rPr>
        <w:t xml:space="preserve">9 вересня 2020 року (протокол №43) </w:t>
      </w:r>
      <w:r w:rsidRPr="00AD49A7">
        <w:rPr>
          <w:rFonts w:ascii="Times New Roman" w:hAnsi="Times New Roman"/>
          <w:sz w:val="28"/>
          <w:szCs w:val="28"/>
          <w:lang w:val="uk-UA" w:eastAsia="ru-RU"/>
        </w:rPr>
        <w:t xml:space="preserve">розглянув проект Закону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ліцензування суб’єктів господарювання, які здійснюють виробництво спирту етилового) </w:t>
      </w:r>
      <w:r w:rsidRPr="00AD49A7">
        <w:rPr>
          <w:rFonts w:ascii="Times New Roman" w:hAnsi="Times New Roman"/>
          <w:b/>
          <w:sz w:val="28"/>
          <w:szCs w:val="28"/>
          <w:lang w:val="uk-UA" w:eastAsia="ru-RU"/>
        </w:rPr>
        <w:t>(реєстр.№3906 від 17.07.2020 року)</w:t>
      </w:r>
      <w:r w:rsidRPr="00AD49A7">
        <w:rPr>
          <w:rFonts w:ascii="Times New Roman" w:hAnsi="Times New Roman"/>
          <w:sz w:val="28"/>
          <w:szCs w:val="28"/>
          <w:lang w:val="uk-UA" w:eastAsia="ru-RU"/>
        </w:rPr>
        <w:t>, поданий народним депутатом України Гетманцевим Д.О. та іншими народними депутатами України.</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Метою законопроекту, як зазначається у пояснювальній записці до нього, є протидія незаконному виготовленню та обігу спирту етилового, шляхом встановлення жорстких умов до його виготовлення, реалізації, контролю, а також посилення відповідальності за злочини у цій сфері.</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Законопроектом, зокрема, пропонується внести зміни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а саме:</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доповнити закон новими термінами: «цілодобова система відеоспостереження», «незаконне втручання в систему цілодобового відеоспостереження», «єдина державна автоматизована інформаційна система», «програмно-апаратні засоби»;</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передбачити обов’язок встановлення цілодобової системи відеоспостереження, програмно-апаратних засобів, автоматичних засобів вимірювання та обліку спирту при отриманні ліцензій на виробництво спирту етилового;</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уточнити вимоги до витратомірів-лічильників;</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заборонити здійснення на території акцизного складу інших видів діяльності;</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розширити перелік документів, необхідних для подання на виробництво спирту етилового для отримання ліцензії;</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розширити перелік підстав для призупинення ліцензії на виробництво спирту у разі незаконного втручання в систему цілодобового відеоспостереження чи виробництва спирту без використання витратомірів лічильників;</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lastRenderedPageBreak/>
        <w:t>●</w:t>
      </w:r>
      <w:r w:rsidRPr="00AD49A7">
        <w:rPr>
          <w:rFonts w:ascii="Times New Roman" w:hAnsi="Times New Roman"/>
          <w:sz w:val="28"/>
          <w:szCs w:val="28"/>
          <w:lang w:val="uk-UA" w:eastAsia="ru-RU"/>
        </w:rPr>
        <w:tab/>
        <w:t xml:space="preserve">розширити перелік підстав для анулювання ліцензії рішенням суду про встановлення факту незаконного втручання в систему цілодобового відеоспостереження суб'єктом господарювання, або встановлення факту порушення мінімальної норми виробництва спирту етилового протягом двох кварталів поспіль, без застосування суб’єктом господарювання добровільної процедури пломбування виробничих </w:t>
      </w:r>
      <w:proofErr w:type="spellStart"/>
      <w:r w:rsidRPr="00AD49A7">
        <w:rPr>
          <w:rFonts w:ascii="Times New Roman" w:hAnsi="Times New Roman"/>
          <w:sz w:val="28"/>
          <w:szCs w:val="28"/>
          <w:lang w:val="uk-UA" w:eastAsia="ru-RU"/>
        </w:rPr>
        <w:t>потужностей</w:t>
      </w:r>
      <w:proofErr w:type="spellEnd"/>
      <w:r w:rsidRPr="00AD49A7">
        <w:rPr>
          <w:rFonts w:ascii="Times New Roman" w:hAnsi="Times New Roman"/>
          <w:sz w:val="28"/>
          <w:szCs w:val="28"/>
          <w:lang w:val="uk-UA" w:eastAsia="ru-RU"/>
        </w:rPr>
        <w:t>, або про встановлення факту необґрунтованої невідповідності між обсягами фактично затрачених ресурсів на виробництво спирту етилового (у тому числі теплової і електроенергії, води) та фактичними задекларованими обсягами виробництва готової продукції; рішення суду про встановлення наявності  у виробничих приміщеннях, де здійснюється виробництво спирту етилового, сировини, необхідної для виробництва спирту етилового, без наявності первинних бухгалтерських документів, що підтверджують її законне отримання;</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розширення переліку обов’язкових заходів під час проведення атестації виробництва спирту;</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w:t>
      </w:r>
      <w:r w:rsidRPr="00AD49A7">
        <w:rPr>
          <w:rFonts w:ascii="Times New Roman" w:hAnsi="Times New Roman"/>
          <w:sz w:val="28"/>
          <w:szCs w:val="28"/>
          <w:lang w:val="uk-UA" w:eastAsia="ru-RU"/>
        </w:rPr>
        <w:tab/>
        <w:t>посилення відповідальності за незаконне виготовлення спирту етилового, а саме збільшено розмін штрафу за виробництво спирту без наявності ліцензії до 3 млн. грн, оптової торгівлі до 1,5 млн. грн., запропоновано ввести нові види штрафних санкцій за незаконне втручання у систему відеоспостереження у розмірі 500 тис грн, та виробництво спирту етилового без витратомірів-лічильників – 500 тис грн.</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b/>
          <w:sz w:val="28"/>
          <w:szCs w:val="28"/>
          <w:lang w:val="uk-UA" w:eastAsia="ru-RU"/>
        </w:rPr>
        <w:t xml:space="preserve">Міністерство розвитку економіки, торгівлі та сільського господарства України </w:t>
      </w:r>
      <w:r w:rsidRPr="00AD49A7">
        <w:rPr>
          <w:rFonts w:ascii="Times New Roman" w:hAnsi="Times New Roman"/>
          <w:sz w:val="28"/>
          <w:szCs w:val="28"/>
          <w:lang w:val="uk-UA" w:eastAsia="ru-RU"/>
        </w:rPr>
        <w:t>– висновок очікується.</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b/>
          <w:sz w:val="28"/>
          <w:szCs w:val="28"/>
          <w:lang w:val="uk-UA" w:eastAsia="ru-RU"/>
        </w:rPr>
        <w:t>Міністерство фінансів України</w:t>
      </w:r>
      <w:r w:rsidRPr="00AD49A7">
        <w:rPr>
          <w:rFonts w:ascii="Times New Roman" w:hAnsi="Times New Roman"/>
          <w:sz w:val="28"/>
          <w:szCs w:val="28"/>
          <w:lang w:val="uk-UA" w:eastAsia="ru-RU"/>
        </w:rPr>
        <w:t xml:space="preserve"> - у своєму висновку заначило, що запропоновані положення </w:t>
      </w:r>
      <w:r w:rsidRPr="00AD49A7">
        <w:rPr>
          <w:rFonts w:ascii="Times New Roman" w:hAnsi="Times New Roman"/>
          <w:b/>
          <w:sz w:val="28"/>
          <w:szCs w:val="28"/>
          <w:u w:val="single"/>
          <w:lang w:val="uk-UA" w:eastAsia="ru-RU"/>
        </w:rPr>
        <w:t>підтримуються</w:t>
      </w:r>
      <w:r w:rsidRPr="00AD49A7">
        <w:rPr>
          <w:rFonts w:ascii="Times New Roman" w:hAnsi="Times New Roman"/>
          <w:sz w:val="28"/>
          <w:szCs w:val="28"/>
          <w:lang w:val="uk-UA" w:eastAsia="ru-RU"/>
        </w:rPr>
        <w:t xml:space="preserve"> за умови врахування наданих зауважень, в частині, доповнення положеннями щодо:</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особливостей здійснення пломбувань місць можливого доступу до спирту на підприємстві;</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надання визначення терміну «пломбування» за для уникнення неоднозначного тлумачення запропоновано;</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 встановлення відповідальності за неналежне зберігання нанесених пломб;  </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 умовою для отримання ліцензії щодо </w:t>
      </w:r>
      <w:r w:rsidRPr="00AD49A7">
        <w:rPr>
          <w:rFonts w:ascii="Times New Roman" w:hAnsi="Times New Roman"/>
          <w:sz w:val="28"/>
          <w:szCs w:val="28"/>
          <w:u w:val="single"/>
          <w:lang w:val="uk-UA" w:eastAsia="ru-RU"/>
        </w:rPr>
        <w:t>забезпечення функціонування</w:t>
      </w:r>
      <w:r w:rsidRPr="00AD49A7">
        <w:rPr>
          <w:rFonts w:ascii="Times New Roman" w:hAnsi="Times New Roman"/>
          <w:sz w:val="28"/>
          <w:szCs w:val="28"/>
          <w:lang w:val="uk-UA" w:eastAsia="ru-RU"/>
        </w:rPr>
        <w:t xml:space="preserve"> системи відеоспостереження, а не тільки її встановлення.</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b/>
          <w:sz w:val="28"/>
          <w:szCs w:val="28"/>
          <w:lang w:val="uk-UA" w:eastAsia="ru-RU"/>
        </w:rPr>
        <w:t xml:space="preserve">Головне науково експертне Управління - </w:t>
      </w:r>
      <w:r w:rsidRPr="00AD49A7">
        <w:rPr>
          <w:rFonts w:ascii="Times New Roman" w:hAnsi="Times New Roman"/>
          <w:sz w:val="28"/>
          <w:szCs w:val="28"/>
          <w:lang w:val="uk-UA" w:eastAsia="ru-RU"/>
        </w:rPr>
        <w:t>у своєму висновку висловило зауваження щодо необхідності доопрацювання окремих норм законопроекту, а саме, доцільності визначення порядку ведення та механізму наповнення і функціонування Єдиної державної автоматизованої інформаційної системи та узгодження деяких норм з визначенням змісту терміну «повний технологічний цикл виробництва».</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Під час розгляду на засідання народні депутати – члени Комітету загалом  підтримуючи мотивацію законопроекту щодо необхідності врегулювання питання протидії незаконному виготовленню та обігу спирту етилового, шляхом встановлення жорстких умов до його виготовлення, реалізації, контролю, а також посилення відповідальності за злочини у цій </w:t>
      </w:r>
      <w:r w:rsidRPr="00AD49A7">
        <w:rPr>
          <w:rFonts w:ascii="Times New Roman" w:hAnsi="Times New Roman"/>
          <w:sz w:val="28"/>
          <w:szCs w:val="28"/>
          <w:lang w:val="uk-UA" w:eastAsia="ru-RU"/>
        </w:rPr>
        <w:lastRenderedPageBreak/>
        <w:t xml:space="preserve">сфері висловили ряд зауважень та запропонували доопрацювати його положення до другого читання з урахуванням наступних пропозицій, щодо: </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 розповсюдження положень проекту виключно на спирт етиловий, оскільки інші запропоновані види спиртів, як наприклад «зерновий дистилят» виготовляється за іншою виробничою технологією, шляхом дистиляції та не можуть бути предметом регулювання цього проекту; </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 виключення положень щодо мінімальної завантаженості виробничих </w:t>
      </w:r>
      <w:proofErr w:type="spellStart"/>
      <w:r w:rsidRPr="00AD49A7">
        <w:rPr>
          <w:rFonts w:ascii="Times New Roman" w:hAnsi="Times New Roman"/>
          <w:sz w:val="28"/>
          <w:szCs w:val="28"/>
          <w:lang w:val="uk-UA" w:eastAsia="ru-RU"/>
        </w:rPr>
        <w:t>потужностей</w:t>
      </w:r>
      <w:proofErr w:type="spellEnd"/>
      <w:r w:rsidRPr="00AD49A7">
        <w:rPr>
          <w:rFonts w:ascii="Times New Roman" w:hAnsi="Times New Roman"/>
          <w:sz w:val="28"/>
          <w:szCs w:val="28"/>
          <w:lang w:val="uk-UA" w:eastAsia="ru-RU"/>
        </w:rPr>
        <w:t>;</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 необхідності перегляду положення, яким передбачається виробництво спирту етилового неденатурованого з використанням не менше п’яти колон: бражної колони, </w:t>
      </w:r>
      <w:proofErr w:type="spellStart"/>
      <w:r w:rsidRPr="00AD49A7">
        <w:rPr>
          <w:rFonts w:ascii="Times New Roman" w:hAnsi="Times New Roman"/>
          <w:sz w:val="28"/>
          <w:szCs w:val="28"/>
          <w:lang w:val="uk-UA" w:eastAsia="ru-RU"/>
        </w:rPr>
        <w:t>епюраційної</w:t>
      </w:r>
      <w:proofErr w:type="spellEnd"/>
      <w:r w:rsidRPr="00AD49A7">
        <w:rPr>
          <w:rFonts w:ascii="Times New Roman" w:hAnsi="Times New Roman"/>
          <w:sz w:val="28"/>
          <w:szCs w:val="28"/>
          <w:lang w:val="uk-UA" w:eastAsia="ru-RU"/>
        </w:rPr>
        <w:t xml:space="preserve"> колони, ректифікаційної колони, колони кінцевої очистки та </w:t>
      </w:r>
      <w:proofErr w:type="spellStart"/>
      <w:r w:rsidRPr="00AD49A7">
        <w:rPr>
          <w:rFonts w:ascii="Times New Roman" w:hAnsi="Times New Roman"/>
          <w:sz w:val="28"/>
          <w:szCs w:val="28"/>
          <w:lang w:val="uk-UA" w:eastAsia="ru-RU"/>
        </w:rPr>
        <w:t>розгонної</w:t>
      </w:r>
      <w:proofErr w:type="spellEnd"/>
      <w:r w:rsidRPr="00AD49A7">
        <w:rPr>
          <w:rFonts w:ascii="Times New Roman" w:hAnsi="Times New Roman"/>
          <w:sz w:val="28"/>
          <w:szCs w:val="28"/>
          <w:lang w:val="uk-UA" w:eastAsia="ru-RU"/>
        </w:rPr>
        <w:t xml:space="preserve"> колони. Оскільки, діючі технологічні регламенти дозволяють здійснювати таке виробництво з використанням не менше трьох колон (бражна колона, </w:t>
      </w:r>
      <w:proofErr w:type="spellStart"/>
      <w:r w:rsidRPr="00AD49A7">
        <w:rPr>
          <w:rFonts w:ascii="Times New Roman" w:hAnsi="Times New Roman"/>
          <w:sz w:val="28"/>
          <w:szCs w:val="28"/>
          <w:lang w:val="uk-UA" w:eastAsia="ru-RU"/>
        </w:rPr>
        <w:t>епюраційна</w:t>
      </w:r>
      <w:proofErr w:type="spellEnd"/>
      <w:r w:rsidRPr="00AD49A7">
        <w:rPr>
          <w:rFonts w:ascii="Times New Roman" w:hAnsi="Times New Roman"/>
          <w:sz w:val="28"/>
          <w:szCs w:val="28"/>
          <w:lang w:val="uk-UA" w:eastAsia="ru-RU"/>
        </w:rPr>
        <w:t xml:space="preserve"> колона, ректифікаційна колона).</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Зважаючи на викладене, </w:t>
      </w:r>
      <w:r w:rsidRPr="00AD49A7">
        <w:rPr>
          <w:rFonts w:ascii="Times New Roman" w:hAnsi="Times New Roman"/>
          <w:b/>
          <w:sz w:val="28"/>
          <w:szCs w:val="28"/>
          <w:lang w:val="uk-UA" w:eastAsia="ru-RU"/>
        </w:rPr>
        <w:t>Комітет прийняв рішення</w:t>
      </w:r>
      <w:r w:rsidRPr="00AD49A7">
        <w:rPr>
          <w:rFonts w:ascii="Times New Roman" w:hAnsi="Times New Roman"/>
          <w:sz w:val="28"/>
          <w:szCs w:val="28"/>
          <w:lang w:val="uk-UA" w:eastAsia="ru-RU"/>
        </w:rPr>
        <w:t xml:space="preserve"> рекомендувати Верховній Раді України </w:t>
      </w:r>
      <w:r w:rsidRPr="00AD49A7">
        <w:rPr>
          <w:rFonts w:ascii="Times New Roman" w:hAnsi="Times New Roman"/>
          <w:b/>
          <w:sz w:val="28"/>
          <w:szCs w:val="28"/>
          <w:u w:val="single"/>
          <w:lang w:val="uk-UA" w:eastAsia="ru-RU"/>
        </w:rPr>
        <w:t>включити в порядок денний четвертої сесії</w:t>
      </w:r>
      <w:r w:rsidRPr="00AD49A7">
        <w:rPr>
          <w:rFonts w:ascii="Times New Roman" w:hAnsi="Times New Roman"/>
          <w:sz w:val="28"/>
          <w:szCs w:val="28"/>
          <w:lang w:val="uk-UA" w:eastAsia="ru-RU"/>
        </w:rPr>
        <w:t xml:space="preserve"> Верховної Ради України дев’ятого скликання та </w:t>
      </w:r>
      <w:r w:rsidRPr="00AD49A7">
        <w:rPr>
          <w:rFonts w:ascii="Times New Roman" w:hAnsi="Times New Roman"/>
          <w:b/>
          <w:sz w:val="28"/>
          <w:szCs w:val="28"/>
          <w:u w:val="single"/>
          <w:lang w:val="uk-UA" w:eastAsia="ru-RU"/>
        </w:rPr>
        <w:t>прийняти</w:t>
      </w:r>
      <w:r w:rsidRPr="00AD49A7">
        <w:rPr>
          <w:rFonts w:ascii="Times New Roman" w:hAnsi="Times New Roman"/>
          <w:sz w:val="28"/>
          <w:szCs w:val="28"/>
          <w:u w:val="single"/>
          <w:lang w:val="uk-UA" w:eastAsia="ru-RU"/>
        </w:rPr>
        <w:t xml:space="preserve"> </w:t>
      </w:r>
      <w:r w:rsidRPr="00AD49A7">
        <w:rPr>
          <w:rFonts w:ascii="Times New Roman" w:hAnsi="Times New Roman"/>
          <w:b/>
          <w:sz w:val="28"/>
          <w:szCs w:val="28"/>
          <w:u w:val="single"/>
          <w:lang w:val="uk-UA" w:eastAsia="ru-RU"/>
        </w:rPr>
        <w:t>за основу</w:t>
      </w:r>
      <w:r w:rsidRPr="00AD49A7">
        <w:rPr>
          <w:rFonts w:ascii="Times New Roman" w:hAnsi="Times New Roman"/>
          <w:b/>
          <w:sz w:val="28"/>
          <w:szCs w:val="28"/>
          <w:lang w:val="uk-UA" w:eastAsia="ru-RU"/>
        </w:rPr>
        <w:t xml:space="preserve"> </w:t>
      </w:r>
      <w:r w:rsidRPr="00AD49A7">
        <w:rPr>
          <w:rFonts w:ascii="Times New Roman" w:hAnsi="Times New Roman"/>
          <w:sz w:val="28"/>
          <w:szCs w:val="28"/>
          <w:lang w:val="uk-UA" w:eastAsia="ru-RU"/>
        </w:rPr>
        <w:t xml:space="preserve">проект Закону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ліцензування суб’єктів господарювання, які здійснюють виробництво спирту етилового) </w:t>
      </w:r>
      <w:r w:rsidRPr="00AD49A7">
        <w:rPr>
          <w:rFonts w:ascii="Times New Roman" w:hAnsi="Times New Roman"/>
          <w:b/>
          <w:sz w:val="28"/>
          <w:szCs w:val="28"/>
          <w:lang w:val="uk-UA" w:eastAsia="ru-RU"/>
        </w:rPr>
        <w:t>(реєстр.№3906 від 17.07.2020 року),</w:t>
      </w:r>
      <w:r w:rsidRPr="00AD49A7">
        <w:rPr>
          <w:rFonts w:ascii="Times New Roman" w:hAnsi="Times New Roman"/>
          <w:sz w:val="28"/>
          <w:szCs w:val="28"/>
          <w:lang w:val="uk-UA" w:eastAsia="ru-RU"/>
        </w:rPr>
        <w:t xml:space="preserve"> поданий народним депутатом України Гетманцевим Д.О. та іншими народними депутатами України, </w:t>
      </w:r>
      <w:r w:rsidRPr="00AD49A7">
        <w:rPr>
          <w:rFonts w:ascii="Times New Roman" w:hAnsi="Times New Roman"/>
          <w:b/>
          <w:sz w:val="28"/>
          <w:szCs w:val="28"/>
          <w:u w:val="single"/>
          <w:lang w:val="uk-UA" w:eastAsia="ru-RU"/>
        </w:rPr>
        <w:t>з урахуванням висловлених на засіданні Комітету пропозицій.</w:t>
      </w:r>
    </w:p>
    <w:p w:rsidR="00AD49A7" w:rsidRPr="00AD49A7" w:rsidRDefault="00AD49A7" w:rsidP="00AD49A7">
      <w:pPr>
        <w:spacing w:after="0" w:line="240" w:lineRule="auto"/>
        <w:ind w:firstLine="708"/>
        <w:jc w:val="both"/>
        <w:rPr>
          <w:rFonts w:ascii="Times New Roman" w:hAnsi="Times New Roman"/>
          <w:sz w:val="28"/>
          <w:szCs w:val="28"/>
          <w:lang w:val="uk-UA" w:eastAsia="ru-RU"/>
        </w:rPr>
      </w:pPr>
      <w:r w:rsidRPr="00AD49A7">
        <w:rPr>
          <w:rFonts w:ascii="Times New Roman" w:hAnsi="Times New Roman"/>
          <w:sz w:val="28"/>
          <w:szCs w:val="28"/>
          <w:lang w:val="uk-UA" w:eastAsia="ru-RU"/>
        </w:rPr>
        <w:t xml:space="preserve">Співдоповідачем за законопроектом на пленарному засіданні сесії Верховної Ради України визначено Голову Комітету, народного депутата України Д.О. Гетманцева. </w:t>
      </w:r>
    </w:p>
    <w:p w:rsidR="00AD49A7" w:rsidRPr="00AD49A7" w:rsidRDefault="00AD49A7" w:rsidP="00AD49A7">
      <w:pPr>
        <w:spacing w:after="0" w:line="240" w:lineRule="auto"/>
        <w:ind w:firstLine="708"/>
        <w:jc w:val="both"/>
        <w:rPr>
          <w:rFonts w:ascii="Times New Roman" w:hAnsi="Times New Roman"/>
          <w:sz w:val="28"/>
          <w:szCs w:val="28"/>
          <w:lang w:val="uk-UA" w:eastAsia="ru-RU"/>
        </w:rPr>
      </w:pPr>
    </w:p>
    <w:p w:rsidR="00AD49A7" w:rsidRPr="00AD49A7" w:rsidRDefault="00AD49A7" w:rsidP="00AD49A7">
      <w:pPr>
        <w:spacing w:after="0" w:line="240" w:lineRule="auto"/>
        <w:ind w:firstLine="708"/>
        <w:jc w:val="both"/>
        <w:rPr>
          <w:rFonts w:ascii="Times New Roman" w:hAnsi="Times New Roman"/>
          <w:sz w:val="28"/>
          <w:szCs w:val="28"/>
          <w:lang w:val="uk-UA" w:eastAsia="ru-RU"/>
        </w:rPr>
      </w:pPr>
    </w:p>
    <w:p w:rsidR="00AD49A7" w:rsidRPr="00AD49A7" w:rsidRDefault="00AD49A7" w:rsidP="00AD49A7">
      <w:pPr>
        <w:spacing w:after="0" w:line="240" w:lineRule="auto"/>
        <w:ind w:firstLine="708"/>
        <w:jc w:val="both"/>
        <w:rPr>
          <w:rFonts w:ascii="Times New Roman" w:hAnsi="Times New Roman"/>
          <w:b/>
          <w:sz w:val="28"/>
          <w:szCs w:val="28"/>
          <w:u w:val="single"/>
          <w:lang w:val="uk-UA" w:eastAsia="ru-RU"/>
        </w:rPr>
      </w:pPr>
      <w:r w:rsidRPr="00AD49A7">
        <w:rPr>
          <w:rFonts w:ascii="Times New Roman" w:hAnsi="Times New Roman"/>
          <w:b/>
          <w:sz w:val="28"/>
          <w:szCs w:val="28"/>
          <w:lang w:val="uk-UA" w:eastAsia="ru-RU"/>
        </w:rPr>
        <w:t>Голова Комітету                                                                Д.О. Гетманцев</w:t>
      </w:r>
    </w:p>
    <w:p w:rsidR="00573AFC" w:rsidRPr="00573AFC" w:rsidRDefault="00573AFC" w:rsidP="00573AFC">
      <w:pPr>
        <w:spacing w:after="0" w:line="240" w:lineRule="auto"/>
        <w:ind w:firstLine="708"/>
        <w:jc w:val="both"/>
        <w:rPr>
          <w:rFonts w:ascii="Times New Roman" w:hAnsi="Times New Roman"/>
          <w:b/>
          <w:sz w:val="28"/>
          <w:szCs w:val="28"/>
          <w:lang w:val="uk-UA" w:eastAsia="ru-RU"/>
        </w:rPr>
      </w:pPr>
    </w:p>
    <w:p w:rsidR="00573AFC" w:rsidRDefault="00573AFC"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Default="00AD49A7" w:rsidP="00573AFC">
      <w:pPr>
        <w:spacing w:after="0" w:line="240" w:lineRule="auto"/>
        <w:jc w:val="both"/>
        <w:rPr>
          <w:rFonts w:ascii="Times New Roman" w:hAnsi="Times New Roman"/>
          <w:sz w:val="28"/>
          <w:szCs w:val="28"/>
          <w:lang w:val="uk-UA" w:eastAsia="uk-UA"/>
        </w:rPr>
      </w:pPr>
    </w:p>
    <w:p w:rsidR="00AD49A7" w:rsidRPr="00573AFC" w:rsidRDefault="00AD49A7" w:rsidP="00573AFC">
      <w:pPr>
        <w:spacing w:after="0" w:line="240" w:lineRule="auto"/>
        <w:jc w:val="both"/>
        <w:rPr>
          <w:rFonts w:ascii="Times New Roman" w:hAnsi="Times New Roman"/>
          <w:sz w:val="28"/>
          <w:szCs w:val="28"/>
          <w:lang w:val="uk-UA" w:eastAsia="uk-UA"/>
        </w:rPr>
      </w:pPr>
    </w:p>
    <w:p w:rsidR="00573AFC" w:rsidRPr="00AD49A7" w:rsidRDefault="00573AFC" w:rsidP="00573AFC">
      <w:pPr>
        <w:spacing w:after="0" w:line="240" w:lineRule="auto"/>
        <w:jc w:val="both"/>
        <w:rPr>
          <w:rFonts w:ascii="Times New Roman" w:hAnsi="Times New Roman"/>
          <w:sz w:val="16"/>
          <w:szCs w:val="16"/>
          <w:lang w:val="uk-UA" w:eastAsia="uk-UA"/>
        </w:rPr>
      </w:pPr>
      <w:r w:rsidRPr="00AD49A7">
        <w:rPr>
          <w:rFonts w:ascii="Times New Roman" w:hAnsi="Times New Roman"/>
          <w:sz w:val="16"/>
          <w:szCs w:val="16"/>
          <w:lang w:val="uk-UA" w:eastAsia="uk-UA"/>
        </w:rPr>
        <w:t>Ющенко В.П.</w:t>
      </w:r>
    </w:p>
    <w:p w:rsidR="00A7635E" w:rsidRPr="00AD49A7" w:rsidRDefault="00AD49A7" w:rsidP="00B20CE7">
      <w:pPr>
        <w:spacing w:after="0" w:line="240" w:lineRule="auto"/>
        <w:jc w:val="both"/>
        <w:rPr>
          <w:rFonts w:ascii="Times New Roman" w:hAnsi="Times New Roman"/>
          <w:sz w:val="16"/>
          <w:szCs w:val="16"/>
          <w:lang w:val="uk-UA"/>
        </w:rPr>
      </w:pPr>
      <w:proofErr w:type="spellStart"/>
      <w:r>
        <w:rPr>
          <w:rFonts w:ascii="Times New Roman" w:hAnsi="Times New Roman"/>
          <w:sz w:val="16"/>
          <w:szCs w:val="16"/>
          <w:lang w:val="uk-UA" w:eastAsia="uk-UA"/>
        </w:rPr>
        <w:t>т</w:t>
      </w:r>
      <w:r w:rsidR="00573AFC" w:rsidRPr="00AD49A7">
        <w:rPr>
          <w:rFonts w:ascii="Times New Roman" w:hAnsi="Times New Roman"/>
          <w:sz w:val="16"/>
          <w:szCs w:val="16"/>
          <w:lang w:val="uk-UA" w:eastAsia="uk-UA"/>
        </w:rPr>
        <w:t>ел</w:t>
      </w:r>
      <w:proofErr w:type="spellEnd"/>
      <w:r w:rsidR="00573AFC" w:rsidRPr="00AD49A7">
        <w:rPr>
          <w:rFonts w:ascii="Times New Roman" w:hAnsi="Times New Roman"/>
          <w:sz w:val="16"/>
          <w:szCs w:val="16"/>
          <w:lang w:val="uk-UA" w:eastAsia="uk-UA"/>
        </w:rPr>
        <w:t>. 255-2459</w:t>
      </w:r>
    </w:p>
    <w:sectPr w:rsidR="00A7635E" w:rsidRPr="00AD49A7" w:rsidSect="00340E70">
      <w:headerReference w:type="default" r:id="rId10"/>
      <w:headerReference w:type="first" r:id="rId11"/>
      <w:footerReference w:type="first" r:id="rId12"/>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29C" w:rsidRDefault="009E029C" w:rsidP="005E306B">
      <w:pPr>
        <w:spacing w:after="0" w:line="240" w:lineRule="auto"/>
      </w:pPr>
      <w:r>
        <w:separator/>
      </w:r>
    </w:p>
  </w:endnote>
  <w:endnote w:type="continuationSeparator" w:id="0">
    <w:p w:rsidR="009E029C" w:rsidRDefault="009E029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E029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29C" w:rsidRDefault="009E029C" w:rsidP="005E306B">
      <w:pPr>
        <w:spacing w:after="0" w:line="240" w:lineRule="auto"/>
      </w:pPr>
      <w:r>
        <w:separator/>
      </w:r>
    </w:p>
  </w:footnote>
  <w:footnote w:type="continuationSeparator" w:id="0">
    <w:p w:rsidR="009E029C" w:rsidRDefault="009E029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AD49A7" w:rsidRDefault="0080545D" w:rsidP="00B311E8">
          <w:pPr>
            <w:pStyle w:val="a3"/>
            <w:tabs>
              <w:tab w:val="clear" w:pos="4677"/>
              <w:tab w:val="clear" w:pos="9355"/>
            </w:tabs>
            <w:spacing w:before="160" w:after="6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A071C"/>
    <w:rsid w:val="000F1586"/>
    <w:rsid w:val="00141617"/>
    <w:rsid w:val="0019108F"/>
    <w:rsid w:val="001966F0"/>
    <w:rsid w:val="001C68B6"/>
    <w:rsid w:val="001D3C24"/>
    <w:rsid w:val="0021032F"/>
    <w:rsid w:val="00235CD7"/>
    <w:rsid w:val="002A5D4C"/>
    <w:rsid w:val="002B4E4E"/>
    <w:rsid w:val="002B5FC1"/>
    <w:rsid w:val="002D0561"/>
    <w:rsid w:val="002E0A18"/>
    <w:rsid w:val="002E31BF"/>
    <w:rsid w:val="002E44DA"/>
    <w:rsid w:val="00340E70"/>
    <w:rsid w:val="003A554E"/>
    <w:rsid w:val="003C210F"/>
    <w:rsid w:val="003D1CBA"/>
    <w:rsid w:val="003D2324"/>
    <w:rsid w:val="00434B81"/>
    <w:rsid w:val="00451750"/>
    <w:rsid w:val="004852FA"/>
    <w:rsid w:val="004867A1"/>
    <w:rsid w:val="004E4F5C"/>
    <w:rsid w:val="004F7B8A"/>
    <w:rsid w:val="0050620F"/>
    <w:rsid w:val="0055005A"/>
    <w:rsid w:val="0056039F"/>
    <w:rsid w:val="0056352F"/>
    <w:rsid w:val="00573AFC"/>
    <w:rsid w:val="005A4728"/>
    <w:rsid w:val="005A6BFF"/>
    <w:rsid w:val="005B71F5"/>
    <w:rsid w:val="005E306B"/>
    <w:rsid w:val="005F20B5"/>
    <w:rsid w:val="00626A3E"/>
    <w:rsid w:val="006312B2"/>
    <w:rsid w:val="00660B13"/>
    <w:rsid w:val="0066623D"/>
    <w:rsid w:val="006F10E8"/>
    <w:rsid w:val="00713E93"/>
    <w:rsid w:val="0073224C"/>
    <w:rsid w:val="007F5D91"/>
    <w:rsid w:val="0080545D"/>
    <w:rsid w:val="00814487"/>
    <w:rsid w:val="00945B68"/>
    <w:rsid w:val="00957D31"/>
    <w:rsid w:val="00984348"/>
    <w:rsid w:val="009A720A"/>
    <w:rsid w:val="009E029C"/>
    <w:rsid w:val="00A00059"/>
    <w:rsid w:val="00A60747"/>
    <w:rsid w:val="00A7635E"/>
    <w:rsid w:val="00A833C8"/>
    <w:rsid w:val="00AB2825"/>
    <w:rsid w:val="00AD49A7"/>
    <w:rsid w:val="00AD7F82"/>
    <w:rsid w:val="00B20CE7"/>
    <w:rsid w:val="00B311E8"/>
    <w:rsid w:val="00BD0801"/>
    <w:rsid w:val="00BD17D3"/>
    <w:rsid w:val="00BF1E95"/>
    <w:rsid w:val="00C11FB6"/>
    <w:rsid w:val="00C27AE9"/>
    <w:rsid w:val="00C51801"/>
    <w:rsid w:val="00C86266"/>
    <w:rsid w:val="00CA7044"/>
    <w:rsid w:val="00CC39A1"/>
    <w:rsid w:val="00CD1020"/>
    <w:rsid w:val="00CD4A38"/>
    <w:rsid w:val="00CE3E1B"/>
    <w:rsid w:val="00CE6A4B"/>
    <w:rsid w:val="00D242C2"/>
    <w:rsid w:val="00D37FA2"/>
    <w:rsid w:val="00D52549"/>
    <w:rsid w:val="00D57E1B"/>
    <w:rsid w:val="00D818AE"/>
    <w:rsid w:val="00DF0115"/>
    <w:rsid w:val="00E33905"/>
    <w:rsid w:val="00F55423"/>
    <w:rsid w:val="00F91DD3"/>
    <w:rsid w:val="00FB6CF0"/>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395D9-E20E-4F71-851A-5942FD122D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0F7324-58B4-40C4-A193-826F3F9FF633}">
  <ds:schemaRefs>
    <ds:schemaRef ds:uri="http://schemas.microsoft.com/sharepoint/v3/contenttype/forms"/>
  </ds:schemaRefs>
</ds:datastoreItem>
</file>

<file path=customXml/itemProps3.xml><?xml version="1.0" encoding="utf-8"?>
<ds:datastoreItem xmlns:ds="http://schemas.openxmlformats.org/officeDocument/2006/customXml" ds:itemID="{3E1B5F7E-8B8E-4125-8DA6-9CAADE177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E3DE8E-AB3C-42C3-9516-E9350544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4185</Words>
  <Characters>2387</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Домбровський Валерій Дмитрович</dc:creator>
  <cp:keywords/>
  <dc:description/>
  <cp:lastModifiedBy>Домбровський Валерій Дмитрович</cp:lastModifiedBy>
  <cp:revision>2</cp:revision>
  <dcterms:created xsi:type="dcterms:W3CDTF">2020-09-18T12:50:00Z</dcterms:created>
  <dcterms:modified xsi:type="dcterms:W3CDTF">2020-09-18T12:50:00Z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