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745" w:rsidRPr="001666D8" w:rsidRDefault="00BE7745" w:rsidP="00BE7745">
      <w:pPr>
        <w:pStyle w:val="aa"/>
        <w:ind w:left="4956" w:firstLine="708"/>
        <w:jc w:val="both"/>
        <w:rPr>
          <w:sz w:val="24"/>
          <w:szCs w:val="24"/>
          <w:lang w:val="uk-UA"/>
        </w:rPr>
      </w:pPr>
      <w:bookmarkStart w:id="0" w:name="_GoBack"/>
      <w:bookmarkEnd w:id="0"/>
      <w:r w:rsidRPr="001666D8">
        <w:rPr>
          <w:sz w:val="24"/>
          <w:szCs w:val="24"/>
          <w:lang w:val="uk-UA"/>
        </w:rPr>
        <w:t xml:space="preserve">До реєстр. № 3915 від 04.11.2020 </w:t>
      </w:r>
    </w:p>
    <w:p w:rsidR="00BE7745" w:rsidRPr="001666D8" w:rsidRDefault="00BE7745" w:rsidP="00BE7745">
      <w:pPr>
        <w:pStyle w:val="aa"/>
        <w:ind w:left="4956" w:firstLine="708"/>
        <w:jc w:val="both"/>
        <w:rPr>
          <w:sz w:val="24"/>
          <w:szCs w:val="24"/>
          <w:lang w:val="uk-UA"/>
        </w:rPr>
      </w:pPr>
      <w:r w:rsidRPr="001666D8">
        <w:rPr>
          <w:sz w:val="24"/>
          <w:szCs w:val="24"/>
          <w:lang w:val="uk-UA"/>
        </w:rPr>
        <w:t>(друге читання)</w:t>
      </w:r>
    </w:p>
    <w:p w:rsidR="00BE7745" w:rsidRPr="001666D8" w:rsidRDefault="00BE7745" w:rsidP="00BE7745">
      <w:pPr>
        <w:pStyle w:val="aa"/>
        <w:ind w:left="4956" w:firstLine="708"/>
        <w:jc w:val="both"/>
        <w:rPr>
          <w:sz w:val="24"/>
          <w:szCs w:val="24"/>
          <w:lang w:val="uk-UA"/>
        </w:rPr>
      </w:pPr>
    </w:p>
    <w:p w:rsidR="00BE7745" w:rsidRPr="001666D8" w:rsidRDefault="00BE7745" w:rsidP="00BE7745">
      <w:pPr>
        <w:pStyle w:val="aa"/>
        <w:ind w:left="4956" w:firstLine="708"/>
        <w:jc w:val="both"/>
        <w:rPr>
          <w:sz w:val="24"/>
          <w:szCs w:val="24"/>
          <w:lang w:val="uk-UA"/>
        </w:rPr>
      </w:pPr>
    </w:p>
    <w:p w:rsidR="00BE7745" w:rsidRPr="001666D8" w:rsidRDefault="00BE7745" w:rsidP="00BE7745">
      <w:pPr>
        <w:pStyle w:val="aa"/>
        <w:ind w:left="4956" w:firstLine="708"/>
        <w:jc w:val="both"/>
        <w:rPr>
          <w:sz w:val="24"/>
          <w:szCs w:val="24"/>
          <w:lang w:val="uk-UA"/>
        </w:rPr>
      </w:pPr>
    </w:p>
    <w:p w:rsidR="00BE7745" w:rsidRPr="001666D8" w:rsidRDefault="00BE7745" w:rsidP="00BE7745">
      <w:pPr>
        <w:pStyle w:val="aa"/>
        <w:jc w:val="center"/>
        <w:rPr>
          <w:b/>
          <w:lang w:val="uk-UA"/>
        </w:rPr>
      </w:pPr>
    </w:p>
    <w:p w:rsidR="00BE7745" w:rsidRPr="001666D8" w:rsidRDefault="00BE7745" w:rsidP="00BE7745">
      <w:pPr>
        <w:pStyle w:val="aa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1666D8">
        <w:rPr>
          <w:b/>
          <w:lang w:val="uk-UA"/>
        </w:rPr>
        <w:t>ЗАУВАЖЕННЯ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666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проекту Закону України 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666D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«Про внесення зміни до статті 183 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666D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Кримінального процесуального кодексу України щодо права 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666D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слідчого судді, суду не визначати розмір застави 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666D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у кримінальному провадженні»</w:t>
      </w:r>
    </w:p>
    <w:p w:rsidR="00BE7745" w:rsidRPr="001666D8" w:rsidRDefault="00BE7745" w:rsidP="00BE7745">
      <w:pPr>
        <w:pStyle w:val="aa"/>
        <w:jc w:val="center"/>
        <w:rPr>
          <w:b/>
          <w:lang w:val="uk-UA"/>
        </w:rPr>
      </w:pPr>
      <w:r w:rsidRPr="001666D8">
        <w:rPr>
          <w:b/>
          <w:lang w:val="uk-UA"/>
        </w:rPr>
        <w:t xml:space="preserve"> (реєстр. № 3915)</w:t>
      </w:r>
    </w:p>
    <w:p w:rsidR="00BE7745" w:rsidRPr="001666D8" w:rsidRDefault="00BE7745" w:rsidP="00BE7745">
      <w:pPr>
        <w:pStyle w:val="aa"/>
        <w:jc w:val="center"/>
        <w:rPr>
          <w:lang w:val="uk-UA"/>
        </w:rPr>
      </w:pP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>У Головному юридичному управлінні розглянуто підготовлений Комітетом Верховної Ради України з питань правоохоронної діяльності до другого читання проект Закону України «</w:t>
      </w:r>
      <w:r w:rsidRPr="0016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внесення зміни до статті 183 Кримінального процесуального кодексу України щодо права слідчого судді, суду не визначати розмір застави у кримінальному провадженні</w:t>
      </w:r>
      <w:r w:rsidRPr="001666D8">
        <w:rPr>
          <w:rFonts w:ascii="Times New Roman" w:hAnsi="Times New Roman"/>
          <w:sz w:val="28"/>
          <w:szCs w:val="28"/>
          <w:lang w:val="uk-UA"/>
        </w:rPr>
        <w:t>»,</w:t>
      </w:r>
      <w:r w:rsidRPr="001666D8">
        <w:rPr>
          <w:lang w:val="uk-UA"/>
        </w:rPr>
        <w:t xml:space="preserve"> </w:t>
      </w:r>
      <w:r w:rsidRPr="001666D8">
        <w:rPr>
          <w:rFonts w:ascii="Times New Roman" w:hAnsi="Times New Roman"/>
          <w:sz w:val="28"/>
          <w:szCs w:val="28"/>
          <w:lang w:val="uk-UA"/>
        </w:rPr>
        <w:t>до тексту якого вважаємо за необхідне зауважити таке.</w:t>
      </w:r>
    </w:p>
    <w:p w:rsidR="00BE7745" w:rsidRPr="001666D8" w:rsidRDefault="00BE7745" w:rsidP="00BE774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Цим проектом пропонується доповнити частину четверту статті 183 Кримінального процесуального кодексу України (далі - КПК України) новим пунктом п’ятим, відповідно до положень якого </w:t>
      </w:r>
      <w:r w:rsidRPr="001666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слідчий суддя, суд при постановленні ухвали про застосування запобіжного заходу у вигляді тримання під вартою, враховуючи підстави та обставини, передбачені статтями 177 та 178 КПК України, має право </w:t>
      </w:r>
      <w:r w:rsidRPr="001666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не визначати розмір застави</w:t>
      </w:r>
      <w:r w:rsidRPr="001666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кримінальному провадженні щодо особливо тяжкого злочину у сфері обігу наркотичних засобів, психотропних речовин, їх аналогів або прекурсорів. 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E7745" w:rsidRPr="001666D8" w:rsidRDefault="00BE7745" w:rsidP="00BE7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666D8">
        <w:rPr>
          <w:rFonts w:ascii="Times New Roman" w:hAnsi="Times New Roman"/>
          <w:sz w:val="28"/>
          <w:szCs w:val="28"/>
          <w:lang w:val="uk-UA" w:eastAsia="ru-RU"/>
        </w:rPr>
        <w:t xml:space="preserve">У зв’язку з такими пропозиціями варто наголосити, що </w:t>
      </w:r>
      <w:r w:rsidRPr="001666D8">
        <w:rPr>
          <w:rFonts w:ascii="Times New Roman" w:hAnsi="Times New Roman"/>
          <w:sz w:val="28"/>
          <w:szCs w:val="28"/>
          <w:u w:val="single"/>
          <w:lang w:val="uk-UA" w:eastAsia="ru-RU"/>
        </w:rPr>
        <w:t>зберегли свою актуальність</w:t>
      </w:r>
      <w:r w:rsidRPr="001666D8">
        <w:rPr>
          <w:rFonts w:ascii="Times New Roman" w:hAnsi="Times New Roman"/>
          <w:sz w:val="28"/>
          <w:szCs w:val="28"/>
          <w:lang w:val="uk-UA" w:eastAsia="ru-RU"/>
        </w:rPr>
        <w:t xml:space="preserve"> зауваження Головного науково - експертного управління, висловлені ним до проекту у висновку від 01.09.2020 щодо неприйнятності </w:t>
      </w:r>
      <w:r w:rsidRPr="001666D8">
        <w:rPr>
          <w:rFonts w:ascii="Times New Roman" w:hAnsi="Times New Roman"/>
          <w:sz w:val="28"/>
          <w:szCs w:val="28"/>
          <w:lang w:val="uk-UA"/>
        </w:rPr>
        <w:t>необґрунтованого розширення переліку злочинів, щодо яких слідчий суддя, суд мають право не визначити розмір застави у кримінальному провадженні (зміни до частини четвертої статті 183 КПК України)</w:t>
      </w:r>
      <w:r w:rsidRPr="001666D8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E7745" w:rsidRPr="001666D8" w:rsidRDefault="00BE7745" w:rsidP="00BE7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E7745" w:rsidRPr="001666D8" w:rsidRDefault="00BE7745" w:rsidP="00BE7745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Враховуючи те, що Головне управління поділяє зазначені міркування вважаємо за необхідне ще раз звернути увагу на те, що </w:t>
      </w:r>
      <w:r w:rsidRPr="00C75624">
        <w:rPr>
          <w:rStyle w:val="st101"/>
          <w:b w:val="0"/>
          <w:lang w:val="uk-UA"/>
        </w:rPr>
        <w:t>13.04.2012 Верховною Радою України було прийнято нову редакцію КПК України і</w:t>
      </w:r>
      <w:r w:rsidRPr="001666D8">
        <w:rPr>
          <w:rStyle w:val="st101"/>
          <w:lang w:val="uk-UA"/>
        </w:rPr>
        <w:t xml:space="preserve"> </w:t>
      </w:r>
      <w:r w:rsidRPr="001666D8">
        <w:rPr>
          <w:rFonts w:ascii="Times New Roman" w:hAnsi="Times New Roman"/>
          <w:sz w:val="28"/>
          <w:szCs w:val="28"/>
          <w:lang w:val="uk-UA" w:eastAsia="ru-RU"/>
        </w:rPr>
        <w:t xml:space="preserve">частиною четвертою статті 183 якого було передбачено, що </w:t>
      </w:r>
      <w:r w:rsidRPr="001666D8">
        <w:rPr>
          <w:rFonts w:ascii="Times New Roman" w:hAnsi="Times New Roman"/>
          <w:color w:val="333333"/>
          <w:sz w:val="28"/>
          <w:szCs w:val="28"/>
          <w:lang w:val="uk-UA"/>
        </w:rPr>
        <w:t xml:space="preserve">слідчий суддя, суд при постановленні ухвали про застосування запобіжного заходу у вигляді тримання під вартою, має право не визначити розмір застави </w:t>
      </w:r>
      <w:r w:rsidRPr="001666D8">
        <w:rPr>
          <w:rFonts w:ascii="Times New Roman" w:hAnsi="Times New Roman"/>
          <w:color w:val="333333"/>
          <w:sz w:val="28"/>
          <w:szCs w:val="28"/>
          <w:u w:val="single"/>
          <w:lang w:val="uk-UA"/>
        </w:rPr>
        <w:t>лише у таких кримінальних провадженнях</w:t>
      </w:r>
      <w:r w:rsidRPr="001666D8">
        <w:rPr>
          <w:rFonts w:ascii="Times New Roman" w:hAnsi="Times New Roman"/>
          <w:color w:val="333333"/>
          <w:sz w:val="28"/>
          <w:szCs w:val="28"/>
          <w:lang w:val="uk-UA"/>
        </w:rPr>
        <w:t xml:space="preserve">, як </w:t>
      </w:r>
      <w:bookmarkStart w:id="1" w:name="n1795"/>
      <w:bookmarkEnd w:id="1"/>
      <w:r w:rsidRPr="001666D8">
        <w:rPr>
          <w:rFonts w:ascii="Times New Roman" w:hAnsi="Times New Roman"/>
          <w:color w:val="333333"/>
          <w:sz w:val="28"/>
          <w:szCs w:val="28"/>
          <w:lang w:val="uk-UA"/>
        </w:rPr>
        <w:t xml:space="preserve">щодо злочину, вчиненого із застосуванням насильства або погрозою його застосування; </w:t>
      </w:r>
      <w:bookmarkStart w:id="2" w:name="n1796"/>
      <w:bookmarkEnd w:id="2"/>
      <w:r w:rsidRPr="001666D8">
        <w:rPr>
          <w:rFonts w:ascii="Times New Roman" w:hAnsi="Times New Roman"/>
          <w:color w:val="333333"/>
          <w:sz w:val="28"/>
          <w:szCs w:val="28"/>
          <w:lang w:val="uk-UA"/>
        </w:rPr>
        <w:t xml:space="preserve">щодо злочину, який спричинив загибель людини; </w:t>
      </w:r>
      <w:bookmarkStart w:id="3" w:name="n1797"/>
      <w:bookmarkEnd w:id="3"/>
      <w:r w:rsidRPr="001666D8">
        <w:rPr>
          <w:rFonts w:ascii="Times New Roman" w:hAnsi="Times New Roman"/>
          <w:color w:val="333333"/>
          <w:sz w:val="28"/>
          <w:szCs w:val="28"/>
          <w:lang w:val="uk-UA"/>
        </w:rPr>
        <w:t>щодо особи, стосовно якої у цьому провадженні вже обирався запобіжний захід у вигляді застави, проте був порушений нею.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1666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Тобто на момент прийняття КПК України було обрано таку концепцію, за якою слідчому судді, суду надавалося право не визначати розмір застави лише </w:t>
      </w:r>
      <w:r w:rsidRPr="001666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у випадку </w:t>
      </w:r>
      <w:r w:rsidRPr="001666D8">
        <w:rPr>
          <w:rFonts w:ascii="Times New Roman" w:hAnsi="Times New Roman"/>
          <w:sz w:val="28"/>
          <w:szCs w:val="28"/>
          <w:u w:val="single"/>
          <w:lang w:val="uk-UA"/>
        </w:rPr>
        <w:t>вчинення насильницьких злочинів, пов’язаних з посяганням на життя або здоров’я людини, які є найвищою соціальною цінністю, що проголошені частиною першою  статті 3 Конституції України, та у випадку недотримання умов застави особою до якої її вже було застосовано.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Однак 04.06.20020 парламентом було прийнято Закон України «Про внесення змін до деяких законодавчих актів України щодо відповідальності за злочини, вчинені злочинною спільнотою» № 671-IX, яким частину четверту статті 183 КПК України доповнено пунктом 4, відповідно до якого слідчому судді, суду було надано право не визначати розмір застави у кримінальних провадженнях й </w:t>
      </w:r>
      <w:r w:rsidRPr="001666D8">
        <w:rPr>
          <w:rFonts w:ascii="Times New Roman" w:hAnsi="Times New Roman"/>
          <w:sz w:val="28"/>
          <w:szCs w:val="28"/>
          <w:u w:val="single"/>
          <w:lang w:val="uk-UA"/>
        </w:rPr>
        <w:t>щодо злочинів, передбачених статтями 255 – 255</w:t>
      </w:r>
      <w:r w:rsidRPr="001666D8">
        <w:rPr>
          <w:rFonts w:ascii="Times New Roman" w:hAnsi="Times New Roman"/>
          <w:sz w:val="28"/>
          <w:szCs w:val="28"/>
          <w:u w:val="single"/>
          <w:vertAlign w:val="superscript"/>
          <w:lang w:val="uk-UA"/>
        </w:rPr>
        <w:t>3</w:t>
      </w:r>
      <w:r w:rsidRPr="001666D8">
        <w:rPr>
          <w:rFonts w:ascii="Times New Roman" w:hAnsi="Times New Roman"/>
          <w:sz w:val="28"/>
          <w:szCs w:val="28"/>
          <w:u w:val="single"/>
          <w:lang w:val="uk-UA"/>
        </w:rPr>
        <w:t xml:space="preserve"> Кримінального кодексу України</w:t>
      </w:r>
      <w:r w:rsidRPr="001666D8">
        <w:rPr>
          <w:rFonts w:ascii="Times New Roman" w:hAnsi="Times New Roman"/>
          <w:sz w:val="28"/>
          <w:szCs w:val="28"/>
          <w:lang w:val="uk-UA"/>
        </w:rPr>
        <w:t xml:space="preserve"> (створення, керівництво злочинною спільнотою або злочинною організацією, участь у них; встановлення або поширення злочинного впливу; організація, сприяння у проведенні або участь у злочинному зібранні (сходці); звернення за застосуванням злочинного впливу).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>Зазначеним проектом так само пропонується подальше розширення переліку кримінальних проваджень шляхом віднесення до них особливо тяжкого злочину у сфері обігу наркотичних засобів, психотропних речовин, їх аналогів або прекурсорів, в яких слідчий суддя, суд мають право не визначити розмір застави у кримінальному провадженні (пункт 5 частини четвертої статті 183 КПК України).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Отже, законодавцем змінено концептуальний підхід до визначення кола кримінальних проваджень, в яких можливим є не визначення слідчим суддею, судом розміру застави, і підставою для реалізації такого права стало вчинення підозрюваним, обвинуваченим </w:t>
      </w:r>
      <w:r w:rsidRPr="001666D8">
        <w:rPr>
          <w:rFonts w:ascii="Times New Roman" w:hAnsi="Times New Roman"/>
          <w:sz w:val="28"/>
          <w:szCs w:val="28"/>
          <w:u w:val="single"/>
          <w:lang w:val="uk-UA"/>
        </w:rPr>
        <w:t xml:space="preserve">вже певних тяжких та особливо тяжких злочинів. 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За такої ситуації, новий законодавчий підхід в майбутньому може стати штучним підґрунтям й для необґрунтованого законодавчого розширення  переліку злочинів щодо яких слідчий суддя, суд матиме право не визначити </w:t>
      </w:r>
      <w:r w:rsidRPr="001666D8">
        <w:rPr>
          <w:rFonts w:ascii="Times New Roman" w:hAnsi="Times New Roman"/>
          <w:sz w:val="28"/>
          <w:szCs w:val="28"/>
          <w:lang w:val="uk-UA"/>
        </w:rPr>
        <w:lastRenderedPageBreak/>
        <w:t>розмір застави у кримінальному провадженні. До того ж надання слідчому судді, суду, передбачених проектом широких дискреційних повноважень може</w:t>
      </w:r>
      <w:r w:rsidRPr="001666D8">
        <w:rPr>
          <w:rStyle w:val="st42"/>
          <w:sz w:val="28"/>
          <w:szCs w:val="28"/>
          <w:lang w:val="uk-UA"/>
        </w:rPr>
        <w:t xml:space="preserve"> </w:t>
      </w:r>
      <w:r w:rsidRPr="001666D8">
        <w:rPr>
          <w:rFonts w:ascii="Times New Roman" w:hAnsi="Times New Roman"/>
          <w:sz w:val="28"/>
          <w:szCs w:val="28"/>
          <w:lang w:val="uk-UA"/>
        </w:rPr>
        <w:t xml:space="preserve">призвести до різної судової практики при вирішенні аналогічних питань та зловживань цим правом, оскільки у одному кримінальному провадженні щодо особливо тяжкого злочину у сфері обігу наркотичних засобів, психотропних речовин, їх аналогів або прекурсорів відповідний слідчий суддя (суд) не визначатиме розмір застави та застосує запобіжний захід у вигляді тримання під вартою, а в іншому – в аналогічному кримінальному провадженні застосує більш м’який запобіжний захід у вигляді застави. 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Такі положення можуть </w:t>
      </w:r>
      <w:r w:rsidRPr="001666D8">
        <w:rPr>
          <w:rStyle w:val="st42"/>
          <w:sz w:val="28"/>
          <w:szCs w:val="28"/>
          <w:lang w:val="uk-UA"/>
        </w:rPr>
        <w:t>зумовити проблеми із забезпеченням прав і свобод людини і громадянина з точки зору рівності прав, гарантованих статтею 21 Конституції України.</w:t>
      </w:r>
    </w:p>
    <w:p w:rsidR="00BE7745" w:rsidRPr="001666D8" w:rsidRDefault="00BE7745" w:rsidP="00BE774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666D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E7745" w:rsidRPr="001666D8" w:rsidRDefault="00BE7745" w:rsidP="00BE7745">
      <w:pPr>
        <w:pStyle w:val="aa"/>
        <w:ind w:firstLine="708"/>
        <w:jc w:val="both"/>
        <w:rPr>
          <w:lang w:val="uk-UA"/>
        </w:rPr>
      </w:pPr>
      <w:r w:rsidRPr="001666D8">
        <w:rPr>
          <w:b/>
          <w:lang w:val="uk-UA"/>
        </w:rPr>
        <w:t>Узагальнюючий висновок</w:t>
      </w:r>
      <w:r w:rsidRPr="001666D8">
        <w:rPr>
          <w:lang w:val="uk-UA"/>
        </w:rPr>
        <w:t xml:space="preserve">: проект може бути прийнятий за умови врахування висловлених зауважень та пропозицій. </w:t>
      </w:r>
    </w:p>
    <w:p w:rsidR="00BE7745" w:rsidRPr="001666D8" w:rsidRDefault="00BE7745" w:rsidP="00BE7745">
      <w:pPr>
        <w:pStyle w:val="aa"/>
        <w:jc w:val="both"/>
        <w:rPr>
          <w:lang w:val="uk-UA"/>
        </w:rPr>
      </w:pPr>
    </w:p>
    <w:p w:rsidR="00BE7745" w:rsidRPr="001666D8" w:rsidRDefault="00BE7745" w:rsidP="00BE7745">
      <w:pPr>
        <w:pStyle w:val="aa"/>
        <w:jc w:val="both"/>
        <w:rPr>
          <w:lang w:val="uk-UA"/>
        </w:rPr>
      </w:pPr>
    </w:p>
    <w:p w:rsidR="00BE7745" w:rsidRPr="001666D8" w:rsidRDefault="00BE7745" w:rsidP="00BE7745">
      <w:pPr>
        <w:pStyle w:val="aa"/>
        <w:jc w:val="both"/>
        <w:rPr>
          <w:lang w:val="uk-UA"/>
        </w:rPr>
      </w:pPr>
    </w:p>
    <w:p w:rsidR="00BE7745" w:rsidRPr="001666D8" w:rsidRDefault="00BE7745" w:rsidP="00BE7745">
      <w:pPr>
        <w:pStyle w:val="aa"/>
        <w:jc w:val="both"/>
        <w:rPr>
          <w:b/>
          <w:bCs/>
          <w:lang w:val="uk-UA"/>
        </w:rPr>
      </w:pPr>
      <w:r w:rsidRPr="001666D8">
        <w:rPr>
          <w:b/>
          <w:bCs/>
          <w:lang w:val="uk-UA"/>
        </w:rPr>
        <w:t>Перший заступник керівника</w:t>
      </w:r>
    </w:p>
    <w:p w:rsidR="00BE7745" w:rsidRPr="001666D8" w:rsidRDefault="00BE7745" w:rsidP="00BE7745">
      <w:pPr>
        <w:pStyle w:val="aa"/>
        <w:jc w:val="both"/>
        <w:rPr>
          <w:rFonts w:eastAsia="Calibri" w:cs="Times New Roman"/>
          <w:szCs w:val="28"/>
          <w:lang w:val="uk-UA"/>
        </w:rPr>
      </w:pPr>
      <w:r w:rsidRPr="001666D8">
        <w:rPr>
          <w:b/>
          <w:bCs/>
          <w:lang w:val="uk-UA"/>
        </w:rPr>
        <w:t>Головного управління                                                                    А. НИЖНИК</w:t>
      </w:r>
    </w:p>
    <w:p w:rsidR="00C54557" w:rsidRPr="00BE7745" w:rsidRDefault="00C54557" w:rsidP="00176AA0">
      <w:pPr>
        <w:jc w:val="right"/>
        <w:rPr>
          <w:rFonts w:ascii="Times New Roman" w:hAnsi="Times New Roman"/>
          <w:sz w:val="28"/>
          <w:szCs w:val="28"/>
        </w:rPr>
      </w:pPr>
    </w:p>
    <w:sectPr w:rsidR="00C54557" w:rsidRPr="00BE7745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FC3" w:rsidRDefault="00E65FC3" w:rsidP="005E306B">
      <w:pPr>
        <w:spacing w:after="0" w:line="240" w:lineRule="auto"/>
      </w:pPr>
      <w:r>
        <w:separator/>
      </w:r>
    </w:p>
  </w:endnote>
  <w:endnote w:type="continuationSeparator" w:id="0">
    <w:p w:rsidR="00E65FC3" w:rsidRDefault="00E65FC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FC3" w:rsidRDefault="00E65FC3" w:rsidP="005E306B">
      <w:pPr>
        <w:spacing w:after="0" w:line="240" w:lineRule="auto"/>
      </w:pPr>
      <w:r>
        <w:separator/>
      </w:r>
    </w:p>
  </w:footnote>
  <w:footnote w:type="continuationSeparator" w:id="0">
    <w:p w:rsidR="00E65FC3" w:rsidRDefault="00E65FC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1799515"/>
      <w:docPartObj>
        <w:docPartGallery w:val="Page Numbers (Top of Page)"/>
        <w:docPartUnique/>
      </w:docPartObj>
    </w:sdtPr>
    <w:sdtEndPr/>
    <w:sdtContent>
      <w:p w:rsidR="00700218" w:rsidRDefault="007002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D8E" w:rsidRPr="00C36D8E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B6CE8"/>
    <w:rsid w:val="000F1586"/>
    <w:rsid w:val="00111883"/>
    <w:rsid w:val="00141617"/>
    <w:rsid w:val="001666D8"/>
    <w:rsid w:val="00176AA0"/>
    <w:rsid w:val="0019108F"/>
    <w:rsid w:val="001966F0"/>
    <w:rsid w:val="001D3C24"/>
    <w:rsid w:val="002356E9"/>
    <w:rsid w:val="00235CD7"/>
    <w:rsid w:val="00290C62"/>
    <w:rsid w:val="002A5D4C"/>
    <w:rsid w:val="002B5FC1"/>
    <w:rsid w:val="002D0561"/>
    <w:rsid w:val="002E0A18"/>
    <w:rsid w:val="002E31BF"/>
    <w:rsid w:val="002E44DA"/>
    <w:rsid w:val="00352AFB"/>
    <w:rsid w:val="00365BB1"/>
    <w:rsid w:val="003D1CBA"/>
    <w:rsid w:val="004377E3"/>
    <w:rsid w:val="00451750"/>
    <w:rsid w:val="004E4F5C"/>
    <w:rsid w:val="004F65B4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4A7D"/>
    <w:rsid w:val="0066623D"/>
    <w:rsid w:val="006C2446"/>
    <w:rsid w:val="006F10E8"/>
    <w:rsid w:val="00700218"/>
    <w:rsid w:val="00713E93"/>
    <w:rsid w:val="00716F44"/>
    <w:rsid w:val="0073224C"/>
    <w:rsid w:val="007F5D91"/>
    <w:rsid w:val="0080545D"/>
    <w:rsid w:val="00820D72"/>
    <w:rsid w:val="00945B68"/>
    <w:rsid w:val="00957D31"/>
    <w:rsid w:val="009A720A"/>
    <w:rsid w:val="009F3A3F"/>
    <w:rsid w:val="00A00059"/>
    <w:rsid w:val="00A13372"/>
    <w:rsid w:val="00A833C8"/>
    <w:rsid w:val="00AD7F82"/>
    <w:rsid w:val="00B02CEF"/>
    <w:rsid w:val="00BD0801"/>
    <w:rsid w:val="00BE7745"/>
    <w:rsid w:val="00BF1E95"/>
    <w:rsid w:val="00C11FB6"/>
    <w:rsid w:val="00C27AE9"/>
    <w:rsid w:val="00C36D8E"/>
    <w:rsid w:val="00C54557"/>
    <w:rsid w:val="00C75624"/>
    <w:rsid w:val="00CC39A1"/>
    <w:rsid w:val="00CD4A38"/>
    <w:rsid w:val="00CE3E1B"/>
    <w:rsid w:val="00CE6A4B"/>
    <w:rsid w:val="00D242C2"/>
    <w:rsid w:val="00D30DFC"/>
    <w:rsid w:val="00D57E1B"/>
    <w:rsid w:val="00D74F25"/>
    <w:rsid w:val="00DD6C75"/>
    <w:rsid w:val="00E50354"/>
    <w:rsid w:val="00E65FC3"/>
    <w:rsid w:val="00F01A33"/>
    <w:rsid w:val="00F44513"/>
    <w:rsid w:val="00F55423"/>
    <w:rsid w:val="00F60AAA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99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st96">
    <w:name w:val="st96"/>
    <w:uiPriority w:val="99"/>
    <w:rsid w:val="00700218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700218"/>
    <w:rPr>
      <w:rFonts w:ascii="Times New Roman" w:hAnsi="Times New Roman" w:cs="Times New Roman"/>
      <w:b/>
      <w:bCs/>
      <w:color w:val="000000"/>
      <w:sz w:val="28"/>
      <w:szCs w:val="28"/>
    </w:rPr>
  </w:style>
  <w:style w:type="character" w:styleId="ad">
    <w:name w:val="Emphasis"/>
    <w:basedOn w:val="a0"/>
    <w:qFormat/>
    <w:locked/>
    <w:rsid w:val="00716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8CD24-9148-4D8D-938A-4F98408A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705</Words>
  <Characters>4677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Дячук Олена Миколаївна</cp:lastModifiedBy>
  <cp:revision>2</cp:revision>
  <cp:lastPrinted>2015-08-14T12:41:00Z</cp:lastPrinted>
  <dcterms:created xsi:type="dcterms:W3CDTF">2020-11-13T09:22:00Z</dcterms:created>
  <dcterms:modified xsi:type="dcterms:W3CDTF">2020-11-13T09:22:00Z</dcterms:modified>
</cp:coreProperties>
</file>