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906" w:rsidRPr="00E16C2C" w:rsidRDefault="001109A6" w:rsidP="006B4F0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16C2C">
        <w:rPr>
          <w:rFonts w:ascii="Times New Roman" w:hAnsi="Times New Roman"/>
          <w:b/>
          <w:sz w:val="28"/>
          <w:szCs w:val="28"/>
        </w:rPr>
        <w:t xml:space="preserve">ПОРІВНЯЛЬНА ТАБЛИЦЯ </w:t>
      </w:r>
    </w:p>
    <w:p w:rsidR="005C328E" w:rsidRPr="00E16C2C" w:rsidRDefault="001F4906" w:rsidP="00B861F2">
      <w:pPr>
        <w:jc w:val="center"/>
        <w:rPr>
          <w:rFonts w:ascii="Times New Roman" w:hAnsi="Times New Roman"/>
          <w:b/>
          <w:sz w:val="28"/>
          <w:szCs w:val="28"/>
        </w:rPr>
      </w:pPr>
      <w:r w:rsidRPr="00E16C2C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B861F2" w:rsidRPr="00E16C2C">
        <w:rPr>
          <w:rFonts w:ascii="Times New Roman" w:hAnsi="Times New Roman"/>
          <w:b/>
          <w:sz w:val="28"/>
          <w:szCs w:val="28"/>
        </w:rPr>
        <w:t>«Про внесення змін до Податкового кодексу Украї</w:t>
      </w:r>
      <w:r w:rsidR="00B861F2" w:rsidRPr="00181292">
        <w:rPr>
          <w:rFonts w:ascii="Times New Roman" w:hAnsi="Times New Roman"/>
          <w:b/>
          <w:sz w:val="28"/>
          <w:szCs w:val="28"/>
        </w:rPr>
        <w:t xml:space="preserve">ни </w:t>
      </w:r>
      <w:r w:rsidR="002076C9" w:rsidRPr="00181292">
        <w:rPr>
          <w:rFonts w:ascii="Times New Roman" w:hAnsi="Times New Roman"/>
          <w:b/>
          <w:sz w:val="28"/>
          <w:szCs w:val="28"/>
        </w:rPr>
        <w:t>(щодо забезпечення відповідності податкового законодавства принципам фіскальної достатності  та рівності усіх платників перед законом)»</w:t>
      </w:r>
    </w:p>
    <w:p w:rsidR="006B4F0F" w:rsidRPr="00E16C2C" w:rsidRDefault="006B4F0F" w:rsidP="006B4F0F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316"/>
        <w:gridCol w:w="7301"/>
      </w:tblGrid>
      <w:tr w:rsidR="0013523E" w:rsidRPr="00E16C2C" w:rsidTr="006B4F0F">
        <w:tc>
          <w:tcPr>
            <w:tcW w:w="7421" w:type="dxa"/>
          </w:tcPr>
          <w:p w:rsidR="006B4F0F" w:rsidRPr="00E16C2C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акта</w:t>
            </w:r>
            <w:proofErr w:type="spellEnd"/>
            <w:r w:rsidRPr="00E16C2C">
              <w:rPr>
                <w:rFonts w:ascii="Times New Roman" w:hAnsi="Times New Roman"/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422" w:type="dxa"/>
          </w:tcPr>
          <w:p w:rsidR="006B4F0F" w:rsidRPr="00E16C2C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13523E" w:rsidRPr="00E16C2C" w:rsidTr="005751F5">
        <w:tc>
          <w:tcPr>
            <w:tcW w:w="14843" w:type="dxa"/>
            <w:gridSpan w:val="2"/>
          </w:tcPr>
          <w:p w:rsidR="00A352D6" w:rsidRPr="00E16C2C" w:rsidRDefault="00A352D6" w:rsidP="00A352D6">
            <w:pPr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Податковий кодекс України</w:t>
            </w:r>
          </w:p>
          <w:p w:rsidR="006B4F0F" w:rsidRPr="00E16C2C" w:rsidRDefault="007715E4" w:rsidP="00A352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(Відомості Верховної Ради України, 2011</w:t>
            </w:r>
            <w:r w:rsidR="00D33630"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 xml:space="preserve"> р.</w:t>
            </w: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, № 13-14, № 15-16, № 17, ст.112)</w:t>
            </w:r>
          </w:p>
        </w:tc>
      </w:tr>
      <w:tr w:rsidR="0013523E" w:rsidRPr="00E16C2C" w:rsidTr="005751F5">
        <w:tc>
          <w:tcPr>
            <w:tcW w:w="14843" w:type="dxa"/>
            <w:gridSpan w:val="2"/>
          </w:tcPr>
          <w:p w:rsidR="0013523E" w:rsidRPr="00E16C2C" w:rsidRDefault="0013523E" w:rsidP="003C72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РОЗДІЛ II. АДМІНІСТРУВАННЯ ПОДАТКІВ, ЗБОРІВ, ПЛАТЕЖІВ</w:t>
            </w:r>
          </w:p>
        </w:tc>
      </w:tr>
      <w:tr w:rsidR="0013523E" w:rsidRPr="00E16C2C" w:rsidTr="005751F5">
        <w:tc>
          <w:tcPr>
            <w:tcW w:w="14843" w:type="dxa"/>
            <w:gridSpan w:val="2"/>
          </w:tcPr>
          <w:p w:rsidR="0013523E" w:rsidRPr="00E16C2C" w:rsidRDefault="0013523E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ГЛАВА 11. ВІДПОВІДАЛЬНІСТЬ</w:t>
            </w:r>
          </w:p>
        </w:tc>
      </w:tr>
      <w:tr w:rsidR="0013523E" w:rsidRPr="00E16C2C" w:rsidTr="006B4F0F">
        <w:tc>
          <w:tcPr>
            <w:tcW w:w="7421" w:type="dxa"/>
          </w:tcPr>
          <w:p w:rsidR="00B05554" w:rsidRPr="00E16C2C" w:rsidRDefault="0013523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>Стаття 126.</w:t>
            </w:r>
            <w:r w:rsidRPr="00E16C2C">
              <w:rPr>
                <w:sz w:val="28"/>
                <w:szCs w:val="28"/>
                <w:lang w:val="uk-UA"/>
              </w:rPr>
              <w:t xml:space="preserve"> Порушення правил сплати (перерахування) податків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126.1. У разі якщо платник податків не сплачує узгоджену суму грошового зобов’язання (крім випадків, передбачених пунктом 126.2 цієї статті) протягом строків, визначених цим Кодексом, такий платник податків притягується до відповідальності у вигляді штрафу у таких розмірах: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при затримці до 30 календарних днів включно, наступних за останнім днем строку сплати суми грошового зобов’язання, - у розмірі 10 відсотків погашеної суми податкового боргу;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lastRenderedPageBreak/>
              <w:t>при затримці більше 30 календарних днів, наступних за останнім днем строку сплати суми грошового зобов’язання, - у розмірі 20 відсотків погашеної суми податкового боргу.</w:t>
            </w:r>
          </w:p>
        </w:tc>
        <w:tc>
          <w:tcPr>
            <w:tcW w:w="7422" w:type="dxa"/>
          </w:tcPr>
          <w:p w:rsidR="00B05554" w:rsidRPr="00E16C2C" w:rsidRDefault="0013523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lastRenderedPageBreak/>
              <w:t xml:space="preserve">Стаття 126. </w:t>
            </w:r>
            <w:r w:rsidRPr="00E16C2C">
              <w:rPr>
                <w:sz w:val="28"/>
                <w:szCs w:val="28"/>
                <w:lang w:val="uk-UA"/>
              </w:rPr>
              <w:t>Порушення правил сплати (перерахування) податків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126.1. У разі якщо платник податків не сплачує узгоджену</w:t>
            </w:r>
            <w:r w:rsidRPr="00E16C2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16C2C">
              <w:rPr>
                <w:sz w:val="28"/>
                <w:szCs w:val="28"/>
                <w:lang w:val="uk-UA"/>
              </w:rPr>
              <w:t xml:space="preserve">суму грошового зобов’язання (крім випадків, передбачених пунктом 126.2 цієї статті), </w:t>
            </w:r>
            <w:r w:rsidRPr="00E16C2C">
              <w:rPr>
                <w:b/>
                <w:sz w:val="28"/>
                <w:szCs w:val="28"/>
                <w:lang w:val="uk-UA"/>
              </w:rPr>
              <w:t xml:space="preserve">у тому числі в разі несплати податку за місцезнаходженням відокремлених підрозділів у разі їх наявності, або у разі порушення платником податків порядку сплати до бюджету податку на доходи фізичних осіб, передбаченого абзацом першим підпункту 168.4.4 пункту 168.4 статті 168 Податкового кодексу України, </w:t>
            </w:r>
            <w:r w:rsidRPr="00E16C2C">
              <w:rPr>
                <w:sz w:val="28"/>
                <w:szCs w:val="28"/>
                <w:lang w:val="uk-UA"/>
              </w:rPr>
              <w:t>протягом строків, визначених цим Кодексом, такий платник податків притягується до відповідальності у вигляді штрафу у таких розмірах:</w:t>
            </w:r>
            <w:r w:rsidR="00C42A0A">
              <w:rPr>
                <w:sz w:val="28"/>
                <w:szCs w:val="28"/>
                <w:lang w:val="uk-UA"/>
              </w:rPr>
              <w:t xml:space="preserve"> 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при затримці до 30 календарних днів включно, наступних за останнім днем строку сплати суми грошового зобов’язання, - у розмірі 10 відсотків погашеної суми податкового боргу;</w:t>
            </w:r>
          </w:p>
          <w:p w:rsidR="0013523E" w:rsidRPr="00E16C2C" w:rsidRDefault="0013523E" w:rsidP="0013523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lastRenderedPageBreak/>
              <w:t>при затримці більше 30 календарних днів, наступних за останнім днем строку сплати суми грошового зобов’язання, - у розмірі 20 відсотків погашеної суми податкового боргу.</w:t>
            </w:r>
          </w:p>
        </w:tc>
      </w:tr>
      <w:tr w:rsidR="00B9056E" w:rsidRPr="00E16C2C" w:rsidTr="00FF0DE8">
        <w:tc>
          <w:tcPr>
            <w:tcW w:w="14843" w:type="dxa"/>
            <w:gridSpan w:val="2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lastRenderedPageBreak/>
              <w:t>РОЗДІЛ XII. ПОДАТОК НА МАЙНО</w:t>
            </w:r>
          </w:p>
        </w:tc>
      </w:tr>
      <w:tr w:rsidR="00B9056E" w:rsidRPr="00E16C2C" w:rsidTr="006B4F0F">
        <w:tc>
          <w:tcPr>
            <w:tcW w:w="7421" w:type="dxa"/>
          </w:tcPr>
          <w:p w:rsidR="0013523E" w:rsidRPr="00E16C2C" w:rsidRDefault="00854AB1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284. </w:t>
            </w:r>
            <w:r w:rsidRPr="00E16C2C">
              <w:rPr>
                <w:sz w:val="28"/>
                <w:szCs w:val="28"/>
                <w:lang w:val="uk-UA"/>
              </w:rPr>
              <w:t>Особливості оподаткування платою за землю</w:t>
            </w:r>
          </w:p>
          <w:p w:rsidR="00B9056E" w:rsidRPr="00E16C2C" w:rsidRDefault="00B9056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…</w:t>
            </w:r>
          </w:p>
          <w:p w:rsidR="00B9056E" w:rsidRPr="00C42A0A" w:rsidRDefault="00B9056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284.4. Плата за землю за земельні ділянки, надані гірничодобувним підприємствам для видобування корисних копалин та розробки родовищ корисних копалин, справляється у розмірі 25 відсотків податку, обчисленого відповідно до с</w:t>
            </w:r>
            <w:r w:rsidR="00C42A0A">
              <w:rPr>
                <w:sz w:val="28"/>
                <w:szCs w:val="28"/>
                <w:lang w:val="uk-UA"/>
              </w:rPr>
              <w:t xml:space="preserve">татей 274 і 277 цього Кодексу. </w:t>
            </w:r>
          </w:p>
        </w:tc>
        <w:tc>
          <w:tcPr>
            <w:tcW w:w="7422" w:type="dxa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284. </w:t>
            </w:r>
            <w:r w:rsidRPr="00E16C2C">
              <w:rPr>
                <w:sz w:val="28"/>
                <w:szCs w:val="28"/>
                <w:lang w:val="uk-UA"/>
              </w:rPr>
              <w:t>Особливості оподаткування платою за землю</w:t>
            </w:r>
          </w:p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…</w:t>
            </w:r>
          </w:p>
          <w:p w:rsidR="0013523E" w:rsidRPr="00E16C2C" w:rsidRDefault="00B9056E" w:rsidP="0013523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Виключити. </w:t>
            </w:r>
          </w:p>
        </w:tc>
      </w:tr>
      <w:tr w:rsidR="004101CD" w:rsidRPr="00E16C2C" w:rsidTr="006B4F0F">
        <w:tc>
          <w:tcPr>
            <w:tcW w:w="7421" w:type="dxa"/>
          </w:tcPr>
          <w:p w:rsidR="004101CD" w:rsidRPr="00E16C2C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288. </w:t>
            </w:r>
            <w:r w:rsidRPr="00E16C2C">
              <w:rPr>
                <w:sz w:val="28"/>
                <w:szCs w:val="28"/>
                <w:lang w:val="uk-UA"/>
              </w:rPr>
              <w:t>Орендна плата</w:t>
            </w:r>
          </w:p>
          <w:p w:rsidR="003C72A6" w:rsidRPr="00E16C2C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… 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288.5. Розмір орендної плати встановлюється у договорі оренди, але річна сума платежу: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288.5.1. не може бути меншою за розмір земельного податку: 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для земельних ділянок, нормативну грошову оцінку яких проведено, - у розмірі не більше 3 відсотків їх нормативної грошової оцінки, для земель загального користування - не більше 1 відсотка їх нормативної грошової оцінки, для сільськогосподарських угідь - не менше 0,3 відсотка та не більше 1 відсотка їх нормативної грошової оцінки;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lastRenderedPageBreak/>
              <w:t>для земельних ділянок, нормативну грошову оцінку яких не проведено, - у розмірі не більше 5 відсотків нормативної грошової оцінки одиниці площі ріллі по Автономній Республіці Крим або по області, для сільськогосподарських угідь - не менше 0,3 відсотка та не більше 5 відсотків нормативної грошової оцінки одиниці площі ріллі по Автономній Республіці Крим або по області;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288.5.2. не може перевищувати 12 відсотків нормативної грошової оцінки. </w:t>
            </w:r>
          </w:p>
        </w:tc>
        <w:tc>
          <w:tcPr>
            <w:tcW w:w="7422" w:type="dxa"/>
          </w:tcPr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lastRenderedPageBreak/>
              <w:t xml:space="preserve">Стаття 288. </w:t>
            </w:r>
            <w:r w:rsidRPr="00E16C2C">
              <w:rPr>
                <w:sz w:val="28"/>
                <w:szCs w:val="28"/>
                <w:lang w:val="uk-UA"/>
              </w:rPr>
              <w:t>Орендна плата</w:t>
            </w:r>
          </w:p>
          <w:p w:rsidR="003C72A6" w:rsidRPr="00E16C2C" w:rsidRDefault="003C72A6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… </w:t>
            </w:r>
          </w:p>
          <w:p w:rsidR="004101CD" w:rsidRPr="00E16C2C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288.5. Розмір орендної плати встановлюється у договорі оренди, але річна сума платежу: </w:t>
            </w:r>
          </w:p>
          <w:p w:rsidR="003C72A6" w:rsidRPr="00E16C2C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</w:rPr>
            </w:pPr>
            <w:r w:rsidRPr="00E16C2C">
              <w:rPr>
                <w:color w:val="000000"/>
                <w:sz w:val="28"/>
                <w:szCs w:val="28"/>
                <w:lang w:val="uk-UA" w:eastAsia="uk-UA"/>
              </w:rPr>
              <w:t xml:space="preserve">288.5.1. не може бути меншою </w:t>
            </w:r>
            <w:r w:rsidRPr="00E16C2C">
              <w:rPr>
                <w:rStyle w:val="20"/>
              </w:rPr>
              <w:t xml:space="preserve">12 відсотків нормативної грошової оцінки. </w:t>
            </w: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C42A0A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20"/>
                <w:b w:val="0"/>
              </w:rPr>
            </w:pPr>
          </w:p>
          <w:p w:rsidR="003C72A6" w:rsidRPr="00E16C2C" w:rsidRDefault="003C72A6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rStyle w:val="20"/>
              </w:rPr>
              <w:t xml:space="preserve">Виключити. </w:t>
            </w:r>
          </w:p>
        </w:tc>
      </w:tr>
      <w:tr w:rsidR="00B9056E" w:rsidRPr="00E16C2C" w:rsidTr="00B9056E">
        <w:tc>
          <w:tcPr>
            <w:tcW w:w="14843" w:type="dxa"/>
            <w:gridSpan w:val="2"/>
            <w:vAlign w:val="center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lastRenderedPageBreak/>
              <w:t>РОЗДІЛ XIV. СПЕЦІАЛЬНІ ПОДАТКОВІ РЕЖИМИ</w:t>
            </w:r>
          </w:p>
        </w:tc>
      </w:tr>
      <w:tr w:rsidR="00B9056E" w:rsidRPr="00E16C2C" w:rsidTr="00B9056E">
        <w:tc>
          <w:tcPr>
            <w:tcW w:w="14843" w:type="dxa"/>
            <w:gridSpan w:val="2"/>
            <w:vAlign w:val="center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>ГЛАВА 1. СПРОЩЕНА СИСТЕМА ОПОДАТКУВАННЯ, ОБЛІКУ ТА ЗВІТНОСТІ</w:t>
            </w:r>
          </w:p>
        </w:tc>
      </w:tr>
      <w:tr w:rsidR="005C4F62" w:rsidRPr="00E16C2C" w:rsidTr="006B4F0F">
        <w:tc>
          <w:tcPr>
            <w:tcW w:w="7421" w:type="dxa"/>
          </w:tcPr>
          <w:p w:rsidR="005C4F62" w:rsidRPr="00E16C2C" w:rsidRDefault="005C4F62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297. </w:t>
            </w:r>
            <w:r w:rsidRPr="00E16C2C">
              <w:rPr>
                <w:sz w:val="28"/>
                <w:szCs w:val="28"/>
                <w:lang w:val="uk-UA"/>
              </w:rPr>
              <w:t>Особливості нарахування, сплати та подання звітності з окремих податків і зборів платниками єдиного податку</w:t>
            </w:r>
          </w:p>
          <w:p w:rsidR="005C4F62" w:rsidRPr="00E16C2C" w:rsidRDefault="005C4F62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297.1. Платники єдиного податку звільняються від обов'язку нарахування, сплати та подання податкової звітності з таких податків і зборів: </w:t>
            </w:r>
          </w:p>
          <w:p w:rsidR="005C4F62" w:rsidRPr="00E16C2C" w:rsidRDefault="005C4F62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… </w:t>
            </w:r>
          </w:p>
          <w:p w:rsidR="00CD0A42" w:rsidRDefault="005C4F62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4) податку на майно (в частині земельного податку), крім земельного податку за земельні ділянки, що не використовуються платниками єдиного податку першої - третьої груп для провадження господарської діяльності та платниками єдиного податку четвертої групи для ведення сільськогосподарського </w:t>
            </w:r>
            <w:proofErr w:type="spellStart"/>
            <w:r w:rsidRPr="00E16C2C">
              <w:rPr>
                <w:sz w:val="28"/>
                <w:szCs w:val="28"/>
                <w:lang w:val="uk-UA"/>
              </w:rPr>
              <w:t>товаровиробництва</w:t>
            </w:r>
            <w:proofErr w:type="spellEnd"/>
            <w:r w:rsidRPr="00E16C2C">
              <w:rPr>
                <w:sz w:val="28"/>
                <w:szCs w:val="28"/>
                <w:lang w:val="uk-UA"/>
              </w:rPr>
              <w:t xml:space="preserve">; </w:t>
            </w:r>
          </w:p>
          <w:p w:rsidR="00732B1E" w:rsidRPr="00E16C2C" w:rsidRDefault="00732B1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422" w:type="dxa"/>
          </w:tcPr>
          <w:p w:rsidR="005C4F62" w:rsidRPr="00E16C2C" w:rsidRDefault="005C4F62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297. </w:t>
            </w:r>
            <w:r w:rsidRPr="00E16C2C">
              <w:rPr>
                <w:sz w:val="28"/>
                <w:szCs w:val="28"/>
                <w:lang w:val="uk-UA"/>
              </w:rPr>
              <w:t>Особливості нарахування, сплати та подання звітності з окремих податків і зборів платниками єдиного податку</w:t>
            </w:r>
          </w:p>
          <w:p w:rsidR="005C4F62" w:rsidRPr="00E16C2C" w:rsidRDefault="005C4F62" w:rsidP="005C4F6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297.1. Платники єдиного податку звільняються від обов'язку нарахування, сплати та подання податкової звітності з таких податків і зборів: </w:t>
            </w:r>
          </w:p>
          <w:p w:rsidR="005C4F62" w:rsidRPr="00E16C2C" w:rsidRDefault="005C4F62" w:rsidP="005C4F6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 xml:space="preserve">… </w:t>
            </w:r>
          </w:p>
          <w:p w:rsidR="005C4F62" w:rsidRPr="00E16C2C" w:rsidRDefault="005C4F62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Виключити. </w:t>
            </w:r>
          </w:p>
          <w:p w:rsidR="005C4F62" w:rsidRPr="00E16C2C" w:rsidRDefault="005C4F62" w:rsidP="003C72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B9056E" w:rsidRPr="00E16C2C" w:rsidTr="00E16C2C">
        <w:trPr>
          <w:trHeight w:val="379"/>
        </w:trPr>
        <w:tc>
          <w:tcPr>
            <w:tcW w:w="14843" w:type="dxa"/>
            <w:gridSpan w:val="2"/>
            <w:vAlign w:val="center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РОЗДІЛ XX. ПЕРЕХІДНІ ПОЛОЖЕННЯ</w:t>
            </w:r>
          </w:p>
        </w:tc>
      </w:tr>
      <w:tr w:rsidR="00B9056E" w:rsidRPr="00E16C2C" w:rsidTr="00E16C2C">
        <w:trPr>
          <w:trHeight w:val="302"/>
        </w:trPr>
        <w:tc>
          <w:tcPr>
            <w:tcW w:w="14843" w:type="dxa"/>
            <w:gridSpan w:val="2"/>
            <w:vAlign w:val="center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16C2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Підрозділ 6. Особливості справляння плати за землю </w:t>
            </w:r>
          </w:p>
        </w:tc>
      </w:tr>
      <w:tr w:rsidR="00732B1E" w:rsidRPr="00E16C2C" w:rsidTr="006B4F0F">
        <w:tc>
          <w:tcPr>
            <w:tcW w:w="7421" w:type="dxa"/>
          </w:tcPr>
          <w:p w:rsidR="00732B1E" w:rsidRPr="00E16C2C" w:rsidRDefault="00732B1E" w:rsidP="007D41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9. Установити, що індекс споживчих цін за 2017-2023 роки, що використовується для визначення коефіцієнта індексації нормативної грошової оцінки сільськогосподарських угідь, земель населених пунктів та інших земель несільськогосподарського призначення, застосовується із значенням 100 відсотків.</w:t>
            </w:r>
          </w:p>
        </w:tc>
        <w:tc>
          <w:tcPr>
            <w:tcW w:w="7422" w:type="dxa"/>
          </w:tcPr>
          <w:p w:rsidR="00732B1E" w:rsidRPr="00E16C2C" w:rsidRDefault="00732B1E" w:rsidP="007D41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>Виключити.</w:t>
            </w:r>
          </w:p>
        </w:tc>
      </w:tr>
      <w:tr w:rsidR="00732B1E" w:rsidRPr="00E16C2C" w:rsidTr="00FF6348">
        <w:tc>
          <w:tcPr>
            <w:tcW w:w="14843" w:type="dxa"/>
            <w:gridSpan w:val="2"/>
          </w:tcPr>
          <w:p w:rsidR="00732B1E" w:rsidRPr="00E16C2C" w:rsidRDefault="00732B1E" w:rsidP="00C1167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90297B">
              <w:rPr>
                <w:b/>
                <w:sz w:val="28"/>
                <w:szCs w:val="28"/>
                <w:lang w:val="uk-UA"/>
              </w:rPr>
              <w:t>Підрозділ 8. Особливості справляння єдиного податку та фіксованого податку</w:t>
            </w:r>
          </w:p>
        </w:tc>
      </w:tr>
      <w:tr w:rsidR="00732B1E" w:rsidRPr="00E16C2C" w:rsidTr="006B4F0F">
        <w:tc>
          <w:tcPr>
            <w:tcW w:w="7421" w:type="dxa"/>
          </w:tcPr>
          <w:p w:rsidR="00732B1E" w:rsidRPr="007D4146" w:rsidRDefault="00732B1E" w:rsidP="00732B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D4146">
              <w:rPr>
                <w:sz w:val="28"/>
                <w:szCs w:val="28"/>
                <w:lang w:val="uk-UA"/>
              </w:rPr>
              <w:t>5. Установити, що індекс споживчих цін за 2015 та 2017-2023 роки, що використовується для визначення величини коефіцієнта індексації нормативної грошової оцінки сільськогосподарських угідь (ріллі, сіножатей, пасовищ і багаторічних насаджень) та/або земель водного фонду (внутрішніх водойм, озер, ставків, водосховищ) для цілей оподаткування єдиним податком четвертої групи, застосовується із значенням 100 відсотків.</w:t>
            </w:r>
          </w:p>
        </w:tc>
        <w:tc>
          <w:tcPr>
            <w:tcW w:w="7422" w:type="dxa"/>
          </w:tcPr>
          <w:p w:rsidR="00732B1E" w:rsidRPr="00E16C2C" w:rsidRDefault="00732B1E" w:rsidP="00732B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Виключити. </w:t>
            </w:r>
          </w:p>
        </w:tc>
      </w:tr>
    </w:tbl>
    <w:p w:rsidR="006B4F0F" w:rsidRPr="00C42A0A" w:rsidRDefault="006B4F0F" w:rsidP="006B4F0F">
      <w:pPr>
        <w:jc w:val="center"/>
        <w:rPr>
          <w:rFonts w:ascii="Times New Roman" w:hAnsi="Times New Roman"/>
          <w:sz w:val="20"/>
        </w:rPr>
      </w:pPr>
    </w:p>
    <w:p w:rsidR="00C42A0A" w:rsidRPr="00C42A0A" w:rsidRDefault="00C42A0A" w:rsidP="006B4F0F">
      <w:pPr>
        <w:jc w:val="center"/>
        <w:rPr>
          <w:rFonts w:ascii="Times New Roman" w:hAnsi="Times New Roman"/>
          <w:sz w:val="20"/>
        </w:rPr>
      </w:pPr>
    </w:p>
    <w:p w:rsidR="00AB603D" w:rsidRPr="00E16C2C" w:rsidRDefault="00AB603D" w:rsidP="00AB603D">
      <w:pPr>
        <w:jc w:val="center"/>
        <w:rPr>
          <w:rFonts w:ascii="Times New Roman" w:hAnsi="Times New Roman"/>
          <w:b/>
          <w:sz w:val="28"/>
          <w:szCs w:val="28"/>
        </w:rPr>
      </w:pPr>
      <w:r w:rsidRPr="00E16C2C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E16C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E16C2C">
        <w:rPr>
          <w:rFonts w:ascii="Times New Roman" w:hAnsi="Times New Roman"/>
          <w:b/>
          <w:sz w:val="28"/>
          <w:szCs w:val="28"/>
        </w:rPr>
        <w:t>Л.О. Шпак</w:t>
      </w:r>
    </w:p>
    <w:sectPr w:rsidR="00AB603D" w:rsidRPr="00E16C2C" w:rsidSect="001852EE">
      <w:headerReference w:type="even" r:id="rId11"/>
      <w:footerReference w:type="default" r:id="rId12"/>
      <w:pgSz w:w="16838" w:h="11906" w:orient="landscape" w:code="9"/>
      <w:pgMar w:top="1134" w:right="1134" w:bottom="1134" w:left="107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583" w:rsidRDefault="00604583" w:rsidP="001F4906">
      <w:r>
        <w:separator/>
      </w:r>
    </w:p>
  </w:endnote>
  <w:endnote w:type="continuationSeparator" w:id="0">
    <w:p w:rsidR="00604583" w:rsidRDefault="00604583" w:rsidP="001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A05" w:rsidRPr="00C42A0A" w:rsidRDefault="00DB0A05" w:rsidP="006106AA">
    <w:pPr>
      <w:pStyle w:val="a8"/>
      <w:ind w:firstLine="708"/>
      <w:rPr>
        <w:rFonts w:asciiTheme="minorHAnsi" w:hAnsiTheme="minorHAns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583" w:rsidRDefault="00604583" w:rsidP="001F4906">
      <w:r>
        <w:separator/>
      </w:r>
    </w:p>
  </w:footnote>
  <w:footnote w:type="continuationSeparator" w:id="0">
    <w:p w:rsidR="00604583" w:rsidRDefault="00604583" w:rsidP="001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49516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2B53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6812"/>
    <w:multiLevelType w:val="hybridMultilevel"/>
    <w:tmpl w:val="69DCB47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5352"/>
    <w:multiLevelType w:val="hybridMultilevel"/>
    <w:tmpl w:val="18CA7D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C717F8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7E4A86"/>
    <w:multiLevelType w:val="hybridMultilevel"/>
    <w:tmpl w:val="4C2CA57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560FBD"/>
    <w:multiLevelType w:val="hybridMultilevel"/>
    <w:tmpl w:val="A64AF374"/>
    <w:lvl w:ilvl="0" w:tplc="3056CE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2EC6313"/>
    <w:multiLevelType w:val="hybridMultilevel"/>
    <w:tmpl w:val="74C4041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4840296"/>
    <w:multiLevelType w:val="hybridMultilevel"/>
    <w:tmpl w:val="52BA06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974CDA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4777045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BCD4057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C5D4511"/>
    <w:multiLevelType w:val="hybridMultilevel"/>
    <w:tmpl w:val="6AD85B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BF"/>
    <w:rsid w:val="000068EF"/>
    <w:rsid w:val="00011C54"/>
    <w:rsid w:val="000423D6"/>
    <w:rsid w:val="00060BAA"/>
    <w:rsid w:val="00072012"/>
    <w:rsid w:val="00095624"/>
    <w:rsid w:val="000A30AA"/>
    <w:rsid w:val="000F3FB3"/>
    <w:rsid w:val="001109A6"/>
    <w:rsid w:val="00115C97"/>
    <w:rsid w:val="0013523E"/>
    <w:rsid w:val="00146B77"/>
    <w:rsid w:val="001604BC"/>
    <w:rsid w:val="00181292"/>
    <w:rsid w:val="001852EE"/>
    <w:rsid w:val="001902F9"/>
    <w:rsid w:val="001B1AC6"/>
    <w:rsid w:val="001C03F8"/>
    <w:rsid w:val="001C3176"/>
    <w:rsid w:val="001D1962"/>
    <w:rsid w:val="001D2D40"/>
    <w:rsid w:val="001E2202"/>
    <w:rsid w:val="001F2B24"/>
    <w:rsid w:val="001F4906"/>
    <w:rsid w:val="002067D3"/>
    <w:rsid w:val="002076C9"/>
    <w:rsid w:val="002203DC"/>
    <w:rsid w:val="0026025C"/>
    <w:rsid w:val="00265CA6"/>
    <w:rsid w:val="002B3A1A"/>
    <w:rsid w:val="002B53D3"/>
    <w:rsid w:val="002C4450"/>
    <w:rsid w:val="002D6E36"/>
    <w:rsid w:val="002F7908"/>
    <w:rsid w:val="0032232F"/>
    <w:rsid w:val="003713C4"/>
    <w:rsid w:val="0037313A"/>
    <w:rsid w:val="00395EA9"/>
    <w:rsid w:val="003A09FE"/>
    <w:rsid w:val="003C72A6"/>
    <w:rsid w:val="004052A4"/>
    <w:rsid w:val="00405D8B"/>
    <w:rsid w:val="004101CD"/>
    <w:rsid w:val="00425D0E"/>
    <w:rsid w:val="00442A3F"/>
    <w:rsid w:val="00466D96"/>
    <w:rsid w:val="00475E9C"/>
    <w:rsid w:val="0048213F"/>
    <w:rsid w:val="004923BF"/>
    <w:rsid w:val="00493A3C"/>
    <w:rsid w:val="0049516A"/>
    <w:rsid w:val="004B397D"/>
    <w:rsid w:val="004E18A4"/>
    <w:rsid w:val="004E585A"/>
    <w:rsid w:val="005079CF"/>
    <w:rsid w:val="00513C3D"/>
    <w:rsid w:val="005574BD"/>
    <w:rsid w:val="00560AA8"/>
    <w:rsid w:val="005751F5"/>
    <w:rsid w:val="005A3E3D"/>
    <w:rsid w:val="005C328E"/>
    <w:rsid w:val="005C4F62"/>
    <w:rsid w:val="005E32EB"/>
    <w:rsid w:val="005E50DF"/>
    <w:rsid w:val="005F2DD8"/>
    <w:rsid w:val="00604583"/>
    <w:rsid w:val="00605706"/>
    <w:rsid w:val="006106AA"/>
    <w:rsid w:val="00617A1A"/>
    <w:rsid w:val="00641EAA"/>
    <w:rsid w:val="00651507"/>
    <w:rsid w:val="006A5B5A"/>
    <w:rsid w:val="006B3FBA"/>
    <w:rsid w:val="006B4F0F"/>
    <w:rsid w:val="006B62D0"/>
    <w:rsid w:val="007053BC"/>
    <w:rsid w:val="007216FF"/>
    <w:rsid w:val="00732B1E"/>
    <w:rsid w:val="00747696"/>
    <w:rsid w:val="00765001"/>
    <w:rsid w:val="007715E4"/>
    <w:rsid w:val="007D3EBC"/>
    <w:rsid w:val="007D4146"/>
    <w:rsid w:val="007E03B0"/>
    <w:rsid w:val="007E659B"/>
    <w:rsid w:val="007E78EE"/>
    <w:rsid w:val="007F5BC0"/>
    <w:rsid w:val="00833925"/>
    <w:rsid w:val="00854AB1"/>
    <w:rsid w:val="00860E64"/>
    <w:rsid w:val="00873985"/>
    <w:rsid w:val="0088780B"/>
    <w:rsid w:val="008A5BF4"/>
    <w:rsid w:val="008C2C99"/>
    <w:rsid w:val="008E6BB2"/>
    <w:rsid w:val="0090297B"/>
    <w:rsid w:val="009107A4"/>
    <w:rsid w:val="00914380"/>
    <w:rsid w:val="00940EA4"/>
    <w:rsid w:val="0096220C"/>
    <w:rsid w:val="00A352D6"/>
    <w:rsid w:val="00A4640F"/>
    <w:rsid w:val="00A524C8"/>
    <w:rsid w:val="00A71386"/>
    <w:rsid w:val="00A83374"/>
    <w:rsid w:val="00AA4BF2"/>
    <w:rsid w:val="00AA515D"/>
    <w:rsid w:val="00AB603D"/>
    <w:rsid w:val="00AC00E5"/>
    <w:rsid w:val="00AC073C"/>
    <w:rsid w:val="00AD3AB4"/>
    <w:rsid w:val="00B05554"/>
    <w:rsid w:val="00B27BF2"/>
    <w:rsid w:val="00B4679D"/>
    <w:rsid w:val="00B6445E"/>
    <w:rsid w:val="00B76D46"/>
    <w:rsid w:val="00B861F2"/>
    <w:rsid w:val="00B9056E"/>
    <w:rsid w:val="00BA69F7"/>
    <w:rsid w:val="00BB5459"/>
    <w:rsid w:val="00C11675"/>
    <w:rsid w:val="00C152E4"/>
    <w:rsid w:val="00C15824"/>
    <w:rsid w:val="00C23FF1"/>
    <w:rsid w:val="00C302A1"/>
    <w:rsid w:val="00C42A0A"/>
    <w:rsid w:val="00C75FC3"/>
    <w:rsid w:val="00C915E5"/>
    <w:rsid w:val="00CB65CB"/>
    <w:rsid w:val="00CD0A42"/>
    <w:rsid w:val="00D15825"/>
    <w:rsid w:val="00D33630"/>
    <w:rsid w:val="00D46668"/>
    <w:rsid w:val="00D62E66"/>
    <w:rsid w:val="00D72143"/>
    <w:rsid w:val="00D74B72"/>
    <w:rsid w:val="00DA2828"/>
    <w:rsid w:val="00DB0058"/>
    <w:rsid w:val="00DB0A05"/>
    <w:rsid w:val="00DE68C6"/>
    <w:rsid w:val="00DE7353"/>
    <w:rsid w:val="00E16C2C"/>
    <w:rsid w:val="00E540BA"/>
    <w:rsid w:val="00E701A6"/>
    <w:rsid w:val="00E723F5"/>
    <w:rsid w:val="00E87306"/>
    <w:rsid w:val="00EB0360"/>
    <w:rsid w:val="00EC1D66"/>
    <w:rsid w:val="00ED444B"/>
    <w:rsid w:val="00EE51E9"/>
    <w:rsid w:val="00F0779C"/>
    <w:rsid w:val="00F218A9"/>
    <w:rsid w:val="00F27ED7"/>
    <w:rsid w:val="00F30EC6"/>
    <w:rsid w:val="00F34831"/>
    <w:rsid w:val="00F35BD9"/>
    <w:rsid w:val="00F576DE"/>
    <w:rsid w:val="00F63A63"/>
    <w:rsid w:val="00F662F4"/>
    <w:rsid w:val="00F95FC8"/>
    <w:rsid w:val="00FD0DFB"/>
    <w:rsid w:val="00FE35C3"/>
    <w:rsid w:val="00FF0156"/>
    <w:rsid w:val="00FF0DE8"/>
    <w:rsid w:val="00FF3C14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549F48-8266-469A-BDA9-8C4F0828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906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1F4906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1F4906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1F4906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1F4906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paragraph" w:styleId="aa">
    <w:name w:val="header"/>
    <w:basedOn w:val="a"/>
    <w:link w:val="ab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1F4906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1F4906"/>
  </w:style>
  <w:style w:type="character" w:customStyle="1" w:styleId="rvts46">
    <w:name w:val="rvts46"/>
    <w:rsid w:val="001F4906"/>
  </w:style>
  <w:style w:type="character" w:customStyle="1" w:styleId="rvts11">
    <w:name w:val="rvts11"/>
    <w:rsid w:val="001F4906"/>
  </w:style>
  <w:style w:type="paragraph" w:styleId="HTML">
    <w:name w:val="HTML Preformatted"/>
    <w:basedOn w:val="a"/>
    <w:link w:val="HTML0"/>
    <w:uiPriority w:val="99"/>
    <w:unhideWhenUsed/>
    <w:rsid w:val="001F49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F4906"/>
    <w:rPr>
      <w:rFonts w:ascii="Courier New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1F4906"/>
    <w:rPr>
      <w:rFonts w:ascii="Tahoma" w:hAnsi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1F4906"/>
    <w:rPr>
      <w:rFonts w:ascii="Tahoma" w:hAnsi="Tahoma" w:cs="Times New Roman"/>
      <w:sz w:val="16"/>
      <w:szCs w:val="16"/>
      <w:lang w:val="x-none" w:eastAsia="ru-RU"/>
    </w:rPr>
  </w:style>
  <w:style w:type="character" w:customStyle="1" w:styleId="rvts9">
    <w:name w:val="rvts9"/>
    <w:rsid w:val="001F4906"/>
  </w:style>
  <w:style w:type="character" w:customStyle="1" w:styleId="rvts15">
    <w:name w:val="rvts15"/>
    <w:rsid w:val="001F4906"/>
  </w:style>
  <w:style w:type="table" w:styleId="af">
    <w:name w:val="Table Grid"/>
    <w:basedOn w:val="a1"/>
    <w:uiPriority w:val="59"/>
    <w:rsid w:val="001F490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f0">
    <w:name w:val="Normal (Web)"/>
    <w:basedOn w:val="a"/>
    <w:uiPriority w:val="99"/>
    <w:unhideWhenUsed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1">
    <w:name w:val="Абзац списку1"/>
    <w:basedOn w:val="a"/>
    <w:rsid w:val="001F490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CharStyle15">
    <w:name w:val="Char Style 15"/>
    <w:link w:val="Style14"/>
    <w:locked/>
    <w:rsid w:val="001F4906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1F4906"/>
    <w:pPr>
      <w:widowControl w:val="0"/>
      <w:shd w:val="clear" w:color="auto" w:fill="FFFFFF"/>
      <w:spacing w:after="300" w:line="240" w:lineRule="atLeast"/>
    </w:pPr>
    <w:rPr>
      <w:rFonts w:asciiTheme="minorHAnsi" w:hAnsiTheme="minorHAnsi"/>
      <w:sz w:val="27"/>
      <w:szCs w:val="22"/>
      <w:lang w:eastAsia="en-US"/>
    </w:rPr>
  </w:style>
  <w:style w:type="character" w:customStyle="1" w:styleId="a4">
    <w:name w:val="Нормальний текст Знак"/>
    <w:link w:val="a3"/>
    <w:uiPriority w:val="99"/>
    <w:locked/>
    <w:rsid w:val="001F4906"/>
    <w:rPr>
      <w:rFonts w:ascii="Antiqua" w:hAnsi="Antiqua"/>
      <w:sz w:val="20"/>
      <w:lang w:val="x-none" w:eastAsia="ru-RU"/>
    </w:rPr>
  </w:style>
  <w:style w:type="character" w:customStyle="1" w:styleId="2">
    <w:name w:val="Основной текст (2) + Полужирный"/>
    <w:basedOn w:val="a0"/>
    <w:rsid w:val="00E8730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f1">
    <w:name w:val="List Paragraph"/>
    <w:basedOn w:val="a"/>
    <w:uiPriority w:val="34"/>
    <w:qFormat/>
    <w:rsid w:val="00E87306"/>
    <w:pPr>
      <w:ind w:left="720"/>
      <w:contextualSpacing/>
    </w:pPr>
  </w:style>
  <w:style w:type="character" w:customStyle="1" w:styleId="rvts37">
    <w:name w:val="rvts37"/>
    <w:basedOn w:val="a0"/>
    <w:rsid w:val="007E78EE"/>
    <w:rPr>
      <w:rFonts w:cs="Times New Roman"/>
    </w:rPr>
  </w:style>
  <w:style w:type="paragraph" w:customStyle="1" w:styleId="rvps7">
    <w:name w:val="rvps7"/>
    <w:basedOn w:val="a"/>
    <w:rsid w:val="004E5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20">
    <w:name w:val="Основний текст (2) + Напівжирний"/>
    <w:basedOn w:val="a0"/>
    <w:rsid w:val="003C72A6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748D4-D9DD-44E7-B5E6-93A65C9450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DE9E2B-17ED-4C78-AC6E-43209F4555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00E72-6439-4887-9F92-A139C4278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4D8E34-A51C-4523-AC6E-447EC5A23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3687</Words>
  <Characters>2103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2020-07-22T11:56:00Z</dcterms:created>
  <dcterms:modified xsi:type="dcterms:W3CDTF">2020-07-22T11:56:00Z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