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F67" w:rsidRPr="00090F67" w:rsidRDefault="00090F67" w:rsidP="00090F67">
      <w:pPr>
        <w:jc w:val="right"/>
        <w:rPr>
          <w:rFonts w:ascii="Times New Roman" w:hAnsi="Times New Roman"/>
          <w:b/>
          <w:sz w:val="28"/>
          <w:szCs w:val="28"/>
        </w:rPr>
      </w:pPr>
      <w:bookmarkStart w:id="0" w:name="_GoBack"/>
      <w:bookmarkEnd w:id="0"/>
      <w:r w:rsidRPr="00090F67">
        <w:rPr>
          <w:rFonts w:ascii="Times New Roman" w:hAnsi="Times New Roman"/>
          <w:b/>
          <w:sz w:val="28"/>
          <w:szCs w:val="28"/>
        </w:rPr>
        <w:t>ПРОЕКТ</w:t>
      </w:r>
    </w:p>
    <w:p w:rsidR="00090F67" w:rsidRPr="00090F67" w:rsidRDefault="00090F67" w:rsidP="00090F67">
      <w:pPr>
        <w:jc w:val="right"/>
        <w:rPr>
          <w:rFonts w:ascii="Times New Roman" w:hAnsi="Times New Roman"/>
          <w:b/>
          <w:sz w:val="28"/>
          <w:szCs w:val="28"/>
        </w:rPr>
      </w:pPr>
      <w:r w:rsidRPr="00090F67">
        <w:rPr>
          <w:rFonts w:ascii="Times New Roman" w:hAnsi="Times New Roman"/>
          <w:b/>
          <w:sz w:val="28"/>
          <w:szCs w:val="28"/>
        </w:rPr>
        <w:t>вноситься народними</w:t>
      </w:r>
    </w:p>
    <w:p w:rsidR="00090F67" w:rsidRPr="00090F67" w:rsidRDefault="00090F67" w:rsidP="00090F67">
      <w:pPr>
        <w:jc w:val="right"/>
        <w:rPr>
          <w:rFonts w:ascii="Times New Roman" w:hAnsi="Times New Roman"/>
          <w:b/>
          <w:sz w:val="28"/>
          <w:szCs w:val="28"/>
        </w:rPr>
      </w:pPr>
      <w:r w:rsidRPr="00090F67">
        <w:rPr>
          <w:rFonts w:ascii="Times New Roman" w:hAnsi="Times New Roman"/>
          <w:b/>
          <w:sz w:val="28"/>
          <w:szCs w:val="28"/>
        </w:rPr>
        <w:t>депутатами України</w:t>
      </w:r>
    </w:p>
    <w:p w:rsidR="00090F67" w:rsidRPr="00090F67" w:rsidRDefault="00090F67" w:rsidP="00090F67">
      <w:pPr>
        <w:jc w:val="right"/>
        <w:rPr>
          <w:rFonts w:ascii="Times New Roman" w:hAnsi="Times New Roman"/>
          <w:b/>
          <w:sz w:val="28"/>
          <w:szCs w:val="28"/>
        </w:rPr>
      </w:pPr>
      <w:proofErr w:type="spellStart"/>
      <w:r w:rsidRPr="00090F67">
        <w:rPr>
          <w:rFonts w:ascii="Times New Roman" w:hAnsi="Times New Roman"/>
          <w:b/>
          <w:sz w:val="28"/>
          <w:szCs w:val="28"/>
        </w:rPr>
        <w:t>Чернєвим</w:t>
      </w:r>
      <w:proofErr w:type="spellEnd"/>
      <w:r w:rsidRPr="00090F67">
        <w:rPr>
          <w:rFonts w:ascii="Times New Roman" w:hAnsi="Times New Roman"/>
          <w:b/>
          <w:sz w:val="28"/>
          <w:szCs w:val="28"/>
        </w:rPr>
        <w:t xml:space="preserve"> Є.В. (посв.№26) та </w:t>
      </w:r>
      <w:proofErr w:type="spellStart"/>
      <w:r w:rsidRPr="00090F67">
        <w:rPr>
          <w:rFonts w:ascii="Times New Roman" w:hAnsi="Times New Roman"/>
          <w:b/>
          <w:sz w:val="28"/>
          <w:szCs w:val="28"/>
        </w:rPr>
        <w:t>Гетманцевим</w:t>
      </w:r>
      <w:proofErr w:type="spellEnd"/>
      <w:r w:rsidRPr="00090F67">
        <w:rPr>
          <w:rFonts w:ascii="Times New Roman" w:hAnsi="Times New Roman"/>
          <w:b/>
          <w:sz w:val="28"/>
          <w:szCs w:val="28"/>
        </w:rPr>
        <w:t xml:space="preserve"> Д.О. (посв.№20)</w:t>
      </w:r>
    </w:p>
    <w:p w:rsidR="00F7637D" w:rsidRDefault="00F7637D" w:rsidP="00F7637D">
      <w:pPr>
        <w:spacing w:after="0" w:line="240" w:lineRule="auto"/>
        <w:jc w:val="center"/>
        <w:rPr>
          <w:rFonts w:ascii="Times New Roman" w:hAnsi="Times New Roman"/>
          <w:b/>
          <w:smallCaps/>
          <w:color w:val="000000"/>
          <w:sz w:val="36"/>
          <w:szCs w:val="36"/>
        </w:rPr>
      </w:pPr>
    </w:p>
    <w:p w:rsidR="00E8568F" w:rsidRDefault="00E8568F">
      <w:pPr>
        <w:jc w:val="center"/>
        <w:rPr>
          <w:rFonts w:ascii="Times New Roman" w:eastAsia="Times New Roman" w:hAnsi="Times New Roman"/>
          <w:b/>
          <w:sz w:val="28"/>
          <w:szCs w:val="28"/>
        </w:rPr>
      </w:pPr>
    </w:p>
    <w:p w:rsidR="00E8568F" w:rsidRDefault="00F7637D">
      <w:pPr>
        <w:jc w:val="center"/>
        <w:rPr>
          <w:rFonts w:ascii="Times New Roman" w:eastAsia="Times New Roman" w:hAnsi="Times New Roman"/>
          <w:b/>
          <w:sz w:val="28"/>
          <w:szCs w:val="28"/>
        </w:rPr>
      </w:pPr>
      <w:r>
        <w:rPr>
          <w:rFonts w:ascii="Times New Roman" w:eastAsia="Times New Roman" w:hAnsi="Times New Roman"/>
          <w:b/>
          <w:sz w:val="28"/>
          <w:szCs w:val="28"/>
        </w:rPr>
        <w:t>Закон України</w:t>
      </w:r>
    </w:p>
    <w:p w:rsidR="00E8568F" w:rsidRDefault="00F7637D">
      <w:pPr>
        <w:jc w:val="center"/>
      </w:pPr>
      <w:r>
        <w:rPr>
          <w:rFonts w:ascii="Times New Roman" w:eastAsia="Times New Roman" w:hAnsi="Times New Roman"/>
          <w:b/>
          <w:sz w:val="28"/>
          <w:szCs w:val="28"/>
        </w:rPr>
        <w:t>«Про внесення змін до Податкового кодексу України та інших законів України (щодо заходів стимулювання розвитку індустрії інформаційних технологій в Україні)»</w:t>
      </w:r>
    </w:p>
    <w:p w:rsidR="00E8568F" w:rsidRDefault="00F7637D">
      <w:pPr>
        <w:spacing w:after="120" w:line="240" w:lineRule="auto"/>
        <w:ind w:firstLine="567"/>
        <w:rPr>
          <w:rFonts w:ascii="Times New Roman" w:eastAsia="Times New Roman" w:hAnsi="Times New Roman"/>
          <w:b/>
          <w:sz w:val="28"/>
          <w:szCs w:val="28"/>
        </w:rPr>
      </w:pPr>
      <w:r>
        <w:rPr>
          <w:rFonts w:ascii="Times New Roman" w:eastAsia="Times New Roman" w:hAnsi="Times New Roman"/>
          <w:b/>
          <w:sz w:val="28"/>
          <w:szCs w:val="28"/>
        </w:rPr>
        <w:t>Верховна Рада України постановляє:</w:t>
      </w:r>
    </w:p>
    <w:tbl>
      <w:tblPr>
        <w:tblStyle w:val="a9"/>
        <w:tblW w:w="9639" w:type="dxa"/>
        <w:tblInd w:w="0" w:type="dxa"/>
        <w:tblLayout w:type="fixed"/>
        <w:tblLook w:val="0000" w:firstRow="0" w:lastRow="0" w:firstColumn="0" w:lastColumn="0" w:noHBand="0" w:noVBand="0"/>
      </w:tblPr>
      <w:tblGrid>
        <w:gridCol w:w="9639"/>
      </w:tblGrid>
      <w:tr w:rsidR="00E8568F">
        <w:tc>
          <w:tcPr>
            <w:tcW w:w="9639" w:type="dxa"/>
            <w:shd w:val="clear" w:color="auto" w:fill="auto"/>
          </w:tcPr>
          <w:p w:rsidR="00E8568F" w:rsidRDefault="00F7637D">
            <w:pPr>
              <w:numPr>
                <w:ilvl w:val="0"/>
                <w:numId w:val="3"/>
              </w:numPr>
              <w:pBdr>
                <w:top w:val="nil"/>
                <w:left w:val="nil"/>
                <w:bottom w:val="nil"/>
                <w:right w:val="nil"/>
                <w:between w:val="nil"/>
              </w:pBdr>
              <w:spacing w:after="120" w:line="240" w:lineRule="auto"/>
              <w:ind w:left="0" w:firstLine="567"/>
              <w:jc w:val="both"/>
              <w:rPr>
                <w:rFonts w:ascii="Times New Roman" w:eastAsia="Times New Roman" w:hAnsi="Times New Roman"/>
                <w:color w:val="000000"/>
                <w:sz w:val="28"/>
                <w:szCs w:val="28"/>
              </w:rPr>
            </w:pPr>
            <w:proofErr w:type="spellStart"/>
            <w:r>
              <w:rPr>
                <w:rFonts w:ascii="Times New Roman" w:eastAsia="Times New Roman" w:hAnsi="Times New Roman"/>
                <w:color w:val="000000"/>
                <w:sz w:val="28"/>
                <w:szCs w:val="28"/>
              </w:rPr>
              <w:t>Внести</w:t>
            </w:r>
            <w:proofErr w:type="spellEnd"/>
            <w:r>
              <w:rPr>
                <w:rFonts w:ascii="Times New Roman" w:eastAsia="Times New Roman" w:hAnsi="Times New Roman"/>
                <w:color w:val="000000"/>
                <w:sz w:val="28"/>
                <w:szCs w:val="28"/>
              </w:rPr>
              <w:t xml:space="preserve"> до Податкового кодексу України (Відомості Верховної Ради України, 2011 р., № № 13 – 17, ст. 112) такі зміни:</w:t>
            </w:r>
          </w:p>
        </w:tc>
      </w:tr>
      <w:tr w:rsidR="00E8568F">
        <w:tc>
          <w:tcPr>
            <w:tcW w:w="9639" w:type="dxa"/>
            <w:shd w:val="clear" w:color="auto" w:fill="auto"/>
          </w:tcPr>
          <w:p w:rsidR="00E8568F" w:rsidRDefault="00F7637D">
            <w:pPr>
              <w:numPr>
                <w:ilvl w:val="0"/>
                <w:numId w:val="4"/>
              </w:numPr>
              <w:pBdr>
                <w:top w:val="nil"/>
                <w:left w:val="nil"/>
                <w:bottom w:val="nil"/>
                <w:right w:val="nil"/>
                <w:between w:val="nil"/>
              </w:pBdr>
              <w:spacing w:after="120" w:line="240" w:lineRule="auto"/>
              <w:ind w:left="0"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 пункті 14.1 статті 14:</w:t>
            </w:r>
          </w:p>
          <w:p w:rsidR="00E8568F" w:rsidRDefault="00F7637D">
            <w:pP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sz w:val="28"/>
                <w:szCs w:val="28"/>
              </w:rPr>
              <w:t xml:space="preserve">1) </w:t>
            </w:r>
            <w:r>
              <w:rPr>
                <w:rFonts w:ascii="Times New Roman" w:eastAsia="Times New Roman" w:hAnsi="Times New Roman"/>
                <w:color w:val="000000"/>
                <w:sz w:val="28"/>
                <w:szCs w:val="28"/>
              </w:rPr>
              <w:t>підпункт 14.1.71 доповнити  шістьма абзацами такого змісту:</w:t>
            </w:r>
          </w:p>
          <w:p w:rsidR="00E8568F" w:rsidRDefault="00F7637D">
            <w:pPr>
              <w:pBdr>
                <w:top w:val="nil"/>
                <w:left w:val="nil"/>
                <w:bottom w:val="nil"/>
                <w:right w:val="nil"/>
                <w:between w:val="nil"/>
              </w:pBdr>
              <w:shd w:val="clear" w:color="auto" w:fill="FFFFFF"/>
              <w:spacing w:after="120" w:line="240" w:lineRule="auto"/>
              <w:ind w:firstLine="567"/>
              <w:jc w:val="both"/>
              <w:rPr>
                <w:rFonts w:ascii="Times New Roman" w:eastAsia="Times New Roman" w:hAnsi="Times New Roman"/>
                <w:color w:val="333333"/>
                <w:sz w:val="28"/>
                <w:szCs w:val="28"/>
              </w:rPr>
            </w:pPr>
            <w:r>
              <w:rPr>
                <w:rFonts w:ascii="Times New Roman" w:eastAsia="Times New Roman" w:hAnsi="Times New Roman"/>
                <w:color w:val="000000"/>
                <w:sz w:val="28"/>
                <w:szCs w:val="28"/>
              </w:rPr>
              <w:t xml:space="preserve">«Звичайна ціна товарів визначається на рівні ціни  договору, але не нижче ціни: </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а) придбання майна (товарів), а для необоротних активів – не нижче балансової (залишкової) вартості за даними бухгалтерського обліку, що склалася станом на початок звітного (податкового) періоду, протягом якого здійснюються операції продажу (відчуження), ліквідації таких необоротних активів.</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 У разі неможливості визначення зазначених показників, а для цілей  оподаткування доходу від операцій суб’єктів ІТ індустрії також у разі придбання товарів у пов'язаної особи – резидента, використовуються правила підпункту "б" цього підпункту;</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б) не нижче середньозваженої ціни продажу (відчуження) товарів, яка визначається шляхом ділення загальної суми доходу від продажу (відчуження) відповідного товару непов'язаним особам протягом останніх трьох місяців (включаючи місяць, в якому здійснений продаж) на кількість такого товару, від продажу якого (яких) був отриманий дохід. Середньозважена ціна продажу (відчуження) сезонного товару або товарів (робіт, послуг), ціна на які залежить від сезонного коливання споживчого попиту, за вибором платника податку визначається шляхом ділення загальної суми доходу, отриманого платником податку від продажу (відчуження) відповідного товару непов'язаним особам протягом відповідного (аналогічного) місяця попереднього року, на кількість такого товару, від продажу якого (яких) був отриманий дохід. Така середньозважена ціна коригується з урахуванням зміни споживчих цін за </w:t>
            </w:r>
            <w:r>
              <w:rPr>
                <w:rFonts w:ascii="Times New Roman" w:eastAsia="Times New Roman" w:hAnsi="Times New Roman"/>
                <w:sz w:val="28"/>
                <w:szCs w:val="28"/>
              </w:rPr>
              <w:lastRenderedPageBreak/>
              <w:t>попередні 12 місяців. Цей підпункт застосовується, якщо обсяг продажу товарів непов'язаним особам перевищує обсяг продажів товарів пов'язаним особам. У разі неможливості визначення зазначених показників використовуються правила підпункту "в" цього підпункту;</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в) ціна, визначена на рівні виробничої собівартості, яка розрахована за правилами бухгалтерського обліку, в порядку, визначеному в обліковій політиці платника податку, або із застосуванням принципу «витягнутої руки» відповідно до статті 39 цього Кодексу, але без подання звіту та підготовки документації.</w:t>
            </w:r>
          </w:p>
          <w:p w:rsidR="00E8568F" w:rsidRDefault="00F7637D">
            <w:pPr>
              <w:spacing w:after="120" w:line="240" w:lineRule="auto"/>
              <w:ind w:firstLine="567"/>
              <w:jc w:val="both"/>
              <w:rPr>
                <w:rFonts w:ascii="Times New Roman" w:eastAsia="Times New Roman" w:hAnsi="Times New Roman"/>
                <w:b/>
                <w:sz w:val="28"/>
                <w:szCs w:val="28"/>
              </w:rPr>
            </w:pPr>
            <w:r>
              <w:rPr>
                <w:rFonts w:ascii="Times New Roman" w:eastAsia="Times New Roman" w:hAnsi="Times New Roman"/>
                <w:sz w:val="28"/>
                <w:szCs w:val="28"/>
              </w:rPr>
              <w:t>Правила, встановлені підпунктами "а", "б" і "в" цього підпункту, застосовуються послідовно в порядку їх черговості</w:t>
            </w:r>
            <w:r>
              <w:rPr>
                <w:rFonts w:ascii="Times New Roman" w:eastAsia="Times New Roman" w:hAnsi="Times New Roman"/>
                <w:b/>
                <w:sz w:val="28"/>
                <w:szCs w:val="28"/>
              </w:rPr>
              <w:t>.</w:t>
            </w:r>
            <w:r>
              <w:rPr>
                <w:rFonts w:ascii="Times New Roman" w:eastAsia="Times New Roman" w:hAnsi="Times New Roman"/>
                <w:color w:val="000000"/>
                <w:sz w:val="28"/>
                <w:szCs w:val="28"/>
              </w:rPr>
              <w:t>»;</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2) доповнити новими підпунктами 14.1.278, 14.179 та 14.180 такого  змісту: </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«14.1.278 реєстр ІТ індустрії - реєстр, що ведеться центральним органом виконавчої влади, що забезпечує реалізацію державної податкової політики, і містить відомості про юридичних осіб, що набули статус суб’єктів ІТ індустрії в порядку, визначеному Законом України «Про заходи щодо стимулювання розвитку ІТ індустрії в Україні.</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14.1.279. суб’єкт ІТ індустрії – юридична особа, зареєстрована за законодавством України, що відповідає вимогам Закону України «Про заходи щодо стимулювання розвитку ІТ індустрії в Україні», та при цьому:</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відповідно до її установчих документів та відомостей про юридичну особу, що містяться в </w:t>
            </w:r>
            <w:r>
              <w:rPr>
                <w:rFonts w:ascii="Times New Roman" w:eastAsia="Times New Roman" w:hAnsi="Times New Roman"/>
                <w:color w:val="2F353E"/>
                <w:sz w:val="28"/>
                <w:szCs w:val="28"/>
              </w:rPr>
              <w:t>Єдиному державному реєстрі юридичних осіб, фізичних осіб-підприємців та громадських формувань</w:t>
            </w:r>
            <w:r>
              <w:rPr>
                <w:rFonts w:ascii="Times New Roman" w:eastAsia="Times New Roman" w:hAnsi="Times New Roman"/>
                <w:sz w:val="28"/>
                <w:szCs w:val="28"/>
              </w:rPr>
              <w:t>, здійснює виключно види економічної діяльності в індустрії інформаційних технологій за переліком, визначеним центральним органом виконавчої влади, що забезпечує формування та реалізацію державної політики у сфері розвитку ІТ-індустрії;</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 розмір середньомісячної заробітної плати працівників ІТ індустрії, є не меншим за еквівалент 1 200 євро за офіційним курсом валют, встановленим Національним банком України станом на 1 січня календарного року;</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 питома вага витрат юридичної особи на оплату праці працівників ІТ індустрії, в загальній структурі витрат не менше 70 відсотків; </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розмір експортної виручки юридичної особи від здійснення діяльності в індустрії інформаційних технологій становить не менше 70 відсотків від її загального доходу від здійснення господарської діяльності (вимога застосовується до юридичної особи починаючи з другого календарного року після набуття статусу суб’єкта ІТ індустрії);</w:t>
            </w:r>
          </w:p>
          <w:p w:rsidR="00E8568F" w:rsidRDefault="00F7637D">
            <w:pPr>
              <w:spacing w:after="120" w:line="240" w:lineRule="auto"/>
              <w:ind w:firstLine="567"/>
              <w:jc w:val="both"/>
              <w:rPr>
                <w:rFonts w:ascii="Times New Roman" w:eastAsia="Times New Roman" w:hAnsi="Times New Roman"/>
                <w:color w:val="333333"/>
                <w:sz w:val="28"/>
                <w:szCs w:val="28"/>
              </w:rPr>
            </w:pPr>
            <w:r>
              <w:rPr>
                <w:rFonts w:ascii="Times New Roman" w:eastAsia="Times New Roman" w:hAnsi="Times New Roman"/>
                <w:color w:val="333333"/>
                <w:sz w:val="28"/>
                <w:szCs w:val="28"/>
                <w:highlight w:val="white"/>
              </w:rPr>
              <w:t>внесена до Реєстру ІТ індустрії</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14.1.280. працівники ІТ індустрії – особи, які перебувають із суб’єктом ІТ індустрії у трудових відносинах та безпосередньо задіяні у видах економічної діяльності в індустрії інформаційних технологій, за переліком, визначеним </w:t>
            </w:r>
            <w:r>
              <w:rPr>
                <w:rFonts w:ascii="Times New Roman" w:eastAsia="Times New Roman" w:hAnsi="Times New Roman"/>
                <w:sz w:val="28"/>
                <w:szCs w:val="28"/>
              </w:rPr>
              <w:lastRenderedPageBreak/>
              <w:t>центральним органом виконавчої влади, що забезпечує формування та реалізацію державної політики у сфері розвитку ІТ-індустрії».</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  Статтю  64 доповнити  пунктом 64.8  такого  змісту: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«64.8. Порядок обміну інформацією щодо включення/виключення платників податків до реєстру ІТ індустрії, а також про наявність/відсутність податкового боргу у платників податків, що включені до Реєстру ІТ індустрії, між центральним органом, виконавчої влади, що забезпечує формування та реалізацію державної політики у сфері розвитку ІТ-індустрії, та центральним органом виконавчої влади, що реалізує державну податкову політику, визначається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забезпечує формування та реалізацію державної політики у сфері розвитку ІТ-індустрії.».</w:t>
            </w:r>
          </w:p>
          <w:p w:rsidR="00E8568F" w:rsidRDefault="00E8568F">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p>
          <w:p w:rsidR="00E8568F" w:rsidRDefault="00F7637D">
            <w:pPr>
              <w:numPr>
                <w:ilvl w:val="0"/>
                <w:numId w:val="5"/>
              </w:numPr>
              <w:pBdr>
                <w:top w:val="nil"/>
                <w:left w:val="nil"/>
                <w:bottom w:val="nil"/>
                <w:right w:val="nil"/>
                <w:between w:val="nil"/>
              </w:pBdr>
              <w:spacing w:after="120" w:line="240" w:lineRule="auto"/>
              <w:ind w:left="0"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Пункт 134.1 статті 134 доповнити новим підпунктом 134.1.8  такого  змісту: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«134.1.8. дохід суб’єктів ІТ індустрії від здійснення діяльності в індустрії інформаційних технологій підлягає оподаткуванню згідно з пунктом 135.2 статті 135,  пунктом 137.10 статті 137 та пункту 141.9 статті 141 цього Кодексу».</w:t>
            </w:r>
          </w:p>
          <w:p w:rsidR="00E8568F" w:rsidRDefault="00E8568F">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p>
          <w:p w:rsidR="00E8568F" w:rsidRDefault="00F7637D">
            <w:pPr>
              <w:numPr>
                <w:ilvl w:val="0"/>
                <w:numId w:val="5"/>
              </w:numPr>
              <w:pBdr>
                <w:top w:val="nil"/>
                <w:left w:val="nil"/>
                <w:bottom w:val="nil"/>
                <w:right w:val="nil"/>
                <w:between w:val="nil"/>
              </w:pBdr>
              <w:spacing w:after="120" w:line="240" w:lineRule="auto"/>
              <w:ind w:left="0"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Статтю  135 доповнити  новим  пунктом 135.2   такого змісту: </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 Базою оподаткування доходу суб’єкта ІТ індустрії від здійснення економічної діяльності в індустрії інформаційних технологій є грошове вираження об'єкта оподаткування, розрахованого за правилами, визначеними цим пунктом Кодексу. У разі здійснення операцій, які є об'єктом оподаткування, у формі, відмінній від грошової, базою оподаткування є вартість такої операції, визначена на рівні звичайної ціни.</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 База оподаткування визначається як сума:</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135.2.1.1.</w:t>
            </w:r>
            <w:r>
              <w:rPr>
                <w:rFonts w:ascii="Times New Roman" w:eastAsia="Times New Roman" w:hAnsi="Times New Roman"/>
                <w:color w:val="000000"/>
                <w:sz w:val="28"/>
                <w:szCs w:val="28"/>
              </w:rPr>
              <w:tab/>
              <w:t>дивідендів, які виплачуються на користь неплатника податку у грошовій формі та/або відмінній від грошової формі, за винятком:</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дивідендів, які нараховуються на користь засновника/учасника юридичної особи – емітента у вигляді акцій (часток, паїв), за умови, що таке нарахування жодним чином не змінює пропорцій (часток) участі всіх засновників (учасників) у статутному капіталі емітента та в результаті якого збільшується статутний капітал емітента на сукупну номінальну вартість нарахованих дивідендів;</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135.2.1.2. коштів та/або вартості майна, які повертаються (яке повертається) або виплачуються у зв'язку з виходом зі складу учасників або акціонерів, в тому числі сума дивідендів, які нараховувались, але не виплачувались,  неплатнику податку – власнику корпоративних прав, </w:t>
            </w:r>
            <w:r>
              <w:rPr>
                <w:rFonts w:ascii="Times New Roman" w:eastAsia="Times New Roman" w:hAnsi="Times New Roman"/>
                <w:color w:val="000000"/>
                <w:sz w:val="28"/>
                <w:szCs w:val="28"/>
              </w:rPr>
              <w:lastRenderedPageBreak/>
              <w:t>емітованих юридичною особою, що є платником податку – резидентом, у тому числі у зв'язку з ліквідацією такої юридичної особи – емітента, зворотнім викупом цінних паперів, емітованих таким платником податку, в сумі, що перевищує:</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а) вартість внеску, здійсненого засновником та/або учасником (учасниками) до статутного капіталу юридичної особи, що є платником податку. Вартість внеску до статутного капіталу, здійсненого за рахунок дивідендів, які нараховуються на користь засновника та/або  учасника юридичної особи – емітента у вигляді акцій (часток, паїв), без фактичної виплати на користь засновника та/або учасника, для цілей застосування цієї норми вважається (визначається) такою, що дорівнює нулю. Якщо внесок був здійснений у формі, відмінній від грошової (крім випадку нарахування дивідендів на користь засновника та/або учасника юридичної особи – емітента у вигляді акцій (часток, паїв), то вартість такого внеску визначається на рівні звичайної ціни на момент здійснення внеску, а якщо таке визначення не здійснюється, то вважається, що вартість такого внеску дорівнює нулю;</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та/або</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б) вартість придбання акцій (часток, паїв), вартості цінних паперів, випущених платником податку, щодо яких здійснюється зворотній викуп. Вартість придбання акцій (часток, паїв), цінних паперів враховується для розрахунку суми перевищення лише в тому разі, коли розрахунки між сторонами купівлі-продажу, іншого відчуження таких акцій (часток, паїв), цінних паперів здійснювались на території України (в тому числі, коли переказ коштів (розрахунок) було ініційовано на території України, а його завершення відбулося за кордоном або переказ коштів (розрахунок) було ініційовано за кордоном, а завершення – відбулося на території України). Якщо розрахунки між сторонами купівлі-продажу, іншого відчуження акцій (часток, паїв), цінних паперів здійснювались не на території України та без врахування такої операції для цілей цього податку та/або податку на доходи фізичних осіб в Україні, то вважається, що вартість їх придбання дорівнює нулю;</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135.2.1.3. коштів та/або вартості майна, які сплачуються (повертаються) в межах спільної діяльності та/або довірчого управління неплатнику податку, наданих (наданого) у спільну діяльність та/або довірче управління, в сумі, що перевищує суму коштів та/або вартість майна, наданих (наданого) у спільну діяльність та/або довірче управління;</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135.2.1.4. виплати процентів (у тому числі тих, що були включені до суми основного боргу (тіла кредиту)), комісій, інших винагород, </w:t>
            </w:r>
            <w:proofErr w:type="spellStart"/>
            <w:r>
              <w:rPr>
                <w:rFonts w:ascii="Times New Roman" w:eastAsia="Times New Roman" w:hAnsi="Times New Roman"/>
                <w:color w:val="000000"/>
                <w:sz w:val="28"/>
                <w:szCs w:val="28"/>
              </w:rPr>
              <w:t>відшкодувань</w:t>
            </w:r>
            <w:proofErr w:type="spellEnd"/>
            <w:r>
              <w:rPr>
                <w:rFonts w:ascii="Times New Roman" w:eastAsia="Times New Roman" w:hAnsi="Times New Roman"/>
                <w:color w:val="000000"/>
                <w:sz w:val="28"/>
                <w:szCs w:val="28"/>
              </w:rPr>
              <w:t xml:space="preserve">, штрафів, пені, що пов'язані із залученням та/або використанням коштів, на користь не платників податку, </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Застосування норм цього пункту здійснюється без урахування сум процентів (у тому числі тих, що були включені до суми основного боргу (тіла кредиту)), комісій, інших винагород, </w:t>
            </w:r>
            <w:proofErr w:type="spellStart"/>
            <w:r>
              <w:rPr>
                <w:rFonts w:ascii="Times New Roman" w:eastAsia="Times New Roman" w:hAnsi="Times New Roman"/>
                <w:color w:val="000000"/>
                <w:sz w:val="28"/>
                <w:szCs w:val="28"/>
              </w:rPr>
              <w:t>відшкодувань</w:t>
            </w:r>
            <w:proofErr w:type="spellEnd"/>
            <w:r>
              <w:rPr>
                <w:rFonts w:ascii="Times New Roman" w:eastAsia="Times New Roman" w:hAnsi="Times New Roman"/>
                <w:color w:val="000000"/>
                <w:sz w:val="28"/>
                <w:szCs w:val="28"/>
              </w:rPr>
              <w:t xml:space="preserve">, штрафів, пені, що пов'язані із залученням та/або використанням коштів, виплачених на користь </w:t>
            </w:r>
            <w:r>
              <w:rPr>
                <w:rFonts w:ascii="Times New Roman" w:eastAsia="Times New Roman" w:hAnsi="Times New Roman"/>
                <w:color w:val="000000"/>
                <w:sz w:val="28"/>
                <w:szCs w:val="28"/>
              </w:rPr>
              <w:lastRenderedPageBreak/>
              <w:t>нерезидентів, оподаткування операцій з якими регулюється нормами підпункту 135.2.1.6 підпункту 135.2.1 пункту 135.2 цієї статті;</w:t>
            </w:r>
          </w:p>
          <w:p w:rsidR="00E8568F" w:rsidRDefault="00E8568F">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135.2.1.5. коштів, сплачених протягом податкового (звітного) кварталу на виконання боргових зобов'язань (за будь-якими кредитами, позиками, депозитами, операціями РЕПО, зобов'язання за договорами фінансового лізингу та іншими запозиченнями) у вигляді процентів (у тому числі тих, що були включені до суми основного боргу (тіла кредиту), комісій, інших винагород, </w:t>
            </w:r>
            <w:proofErr w:type="spellStart"/>
            <w:r>
              <w:rPr>
                <w:rFonts w:ascii="Times New Roman" w:eastAsia="Times New Roman" w:hAnsi="Times New Roman"/>
                <w:color w:val="000000"/>
                <w:sz w:val="28"/>
                <w:szCs w:val="28"/>
              </w:rPr>
              <w:t>відшкодувань</w:t>
            </w:r>
            <w:proofErr w:type="spellEnd"/>
            <w:r>
              <w:rPr>
                <w:rFonts w:ascii="Times New Roman" w:eastAsia="Times New Roman" w:hAnsi="Times New Roman"/>
                <w:color w:val="000000"/>
                <w:sz w:val="28"/>
                <w:szCs w:val="28"/>
              </w:rPr>
              <w:t>, що пов'язані із залученням та/або використанням коштів, у тому числі штрафів та пені):</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а) пов'язаній особі – нерезиденту, або;</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б) нерезиденту, якщо сукупна сума боргових зобов'язань (зобов'язання за будь-якими кредитами (позиками), поворотною фінансовою допомогою, депозитами, операціями РЕПО, зобов'язання за договорами фінансового лізингу та іншими запозиченнями незалежно від їх юридичного оформлення, включаючи нараховані, але не виплачені відсотки, штрафи та пені), перед всіма нерезидентами перевищує суму власного капіталу більш як у 3,5 рази.</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Таке перевищення визначається за наслідками податкового (звітного) року, виходячи з суми боргових зобов'язань, зазначених в абзаці першому цього підпункту, та суми власного капіталу, що для цілей цього підпункту визначається як середнє арифметичне значення співвідношення таких боргових зобов'язань та власного капіталу на початок податкового (звітного) року та на кінець кожного кварталу такого податкового (звітного) року. Під час розрахунку такого перевищення не враховуються суми, отримані від міжнародної фінансової організації, членом якої є Україна, або щодо якої Україна зобов'язалася забезпечувати правовий режим, який надається іншим міжнародним фінансовим організаціям чи резидентам, суми кредитів (позик), отриманих під державні гарантії за рішенням Кабінету Міністрів України, а також суми боргових зобов'язань, отриманих від нерезидентів, що зареєстровані у державах (на територіях), зазначених у підпункті 39.2.1.2 підпункту 39.2.1 пункту 39.2 статті 39 цього Кодексу;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 нерезидентам, що зареєстровані у державах (на територіях), зазначених у підпункті 39.2.1.2 підпункту 39.2.1 пункту 39.2 статті 39 цього Кодексу;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135.2.1.6. вартості майна (робіт, послуг), наданого (наданих) неплатнику податку без висування вимог щодо компенсації його (їх) вартості (в тому числі безоплатно наданих товарів (робіт, послуг), за винятком:</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а) наданого (наданих) неприбутковим організаціям, оподаткування операцій з якими регулюється нормами підпункту 135.2.1.9 підпункту 135.2.1 пункту 135.2 цієї статті;</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б) розповсюдженого (розповсюджених) платником податку під час проведення рекламних (маркетингових) заходів та за умови, якщо звичайна ціна </w:t>
            </w:r>
            <w:r>
              <w:rPr>
                <w:rFonts w:ascii="Times New Roman" w:eastAsia="Times New Roman" w:hAnsi="Times New Roman"/>
                <w:color w:val="000000"/>
                <w:sz w:val="28"/>
                <w:szCs w:val="28"/>
              </w:rPr>
              <w:lastRenderedPageBreak/>
              <w:t>одиниці товару (робіт, послуг), що використовується в рекламному (маркетинговому) заході як окрема одиниця розповсюдження, не перевищує розміру  двох прожиткових мінімумів на одну особу, встановленого на 1 січня відповідного податкового (звітного) року;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 якщо вартість такого майна, таких робіт, послуг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135.2.1.8. фінансової допомоги:</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наданої неплатнику податку, якщо така фінансова допомога не підлягає поверненню; </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наданої пов'язаній фізичній особі - неплатнику податку або пов’язаній особі – нерезиденту незалежно від наявності умови про повернення; </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наданої пов'язаній юридичній особі-неплатнику податку чи непов'язаній особі та залишається неповернутою протягом 12 календарних місяців, починаючи з місяця, наступним за податковим (звітним) кварталом, протягом якого була видана сума фінансової допомоги, </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за винятком:</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а) суми фінансової допомоги, наданої неприбутковим організаціям, оподаткування операцій з якими регулюється нормами підпункту 135.2.1.9 підпункту 135.2.1 пункту 135.2 цієї статті;</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б) суми фінансової допомоги, яка підлягає поверненню, наданої відповідно до положень колективного договору або за рішенням органу управління платника податку фізичній особі, яка перебуває в трудових відносинах з платником податку та не є пов'язаною з таким платником податку особою;</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 суми фінансової допомоги, яка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г) суми заборгованості за товари (роботи, послуги), поставлені платником податку неплатнику податку – резиденту – фізичній особі, прощеної платником податку, яка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135.2.1.9. фінансової допомоги та/або вартості безоплатно наданого платником податку майна (робіт, послуг) протягом податкового (звітного) року неприбутковим організаціям, які визначені підпунктами 133.4.2 та 133.4.3 пункту 133.4 статті 133 цього Кодексу, в розмірі, що перевищує 0,5 відсотка </w:t>
            </w:r>
            <w:r>
              <w:rPr>
                <w:rFonts w:ascii="Times New Roman" w:eastAsia="Times New Roman" w:hAnsi="Times New Roman"/>
                <w:color w:val="000000"/>
                <w:sz w:val="28"/>
                <w:szCs w:val="28"/>
              </w:rPr>
              <w:lastRenderedPageBreak/>
              <w:t>суми чистого доходу від реалізації майна (робіт, послуг), відображених у фінансовій звітності платника податку за попередній звітний (податковий) рік;</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135.2.1.10. коштів сплачених (переказаних) та/або вартості майна (в тому числі необоротних активів), наданих неплатнику податку – нерезиденту, у зв'язку з:</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135.2.1.10.1. переказом коштів з рахунків в українських банках на рахунки платника податку, відкриті за кордоном, за винятком:</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а) коштів, що перераховуються для погашення кредитів (позик), отриманих від нерезидента та/або сплати відсотків, якщо такі кредити (позики) були зараховані на рахунки в українських банках або спрямовані на оплату майна, яке було імпортовано на митну територію України;</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б) коштів, що перераховуються для забезпечення виконання зовнішньоекономічних контрактів з імпорту майна (робіт, послуг), якщо таке майно було імпортовано на митну територію України, а роботи (послуги) призначені для споживання на митній території України;</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135.2.1.10.2. погашенням зобов'язань (у тому числі боргових зобов'язань), що виникли за договорами, виконання яких не призводить (прямо або опосередковано) до зарахування коштів на рахунки платників податку в українських банках або отримання майна, робіт, послуг у випадках, зазначених у підпунктах "б", "в" підпункту 135.2.1.10.3, підпунктах "а", "б" підпункту 135.2.1.10.4 цього пункту;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135.2.1.10.3. вкладенням в об'єкти інвестицій (створення юридичних осіб за кордоном; відкриття філій, інших відокремлених підрозділів платника податку за кордоном; створення та/або утримання постійного місця діяльності, через яке повністю або частково проводиться господарська діяльність платника податку за кордоном; придбання майна, в тому числі (але не виключно), необоротних та/або нематеріальних активів, корпоративних прав та цінних паперів і їх похідних іноземних емітентів, прав власності на нерухоме майно, розташоване за межами України), якщо такі об'єкти інвестицій знаходяться за межами території України, за винятком:</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а) сплати членських (вступних) внесків до іноземних (міжнародних) організацій та установ у сумі, що не перевищує на одну організацію 200 розмірів прожиткового мінімуму на одну особу, встановленого на 1 січня відповідного податкового (звітного) року, або в сумі, що перевищує зазначений розмір, за умови сплати внеску до організації, членом якої є Україна;</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б) придбання майна (в тому числі необоротних активів), якщо воно імпортується (ввозиться) на територію України до моменту здійснення оплати або протягом 360 днів (або в інші строки, передбачені висновком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w:t>
            </w:r>
            <w:r>
              <w:rPr>
                <w:rFonts w:ascii="Times New Roman" w:eastAsia="Times New Roman" w:hAnsi="Times New Roman"/>
                <w:color w:val="000000"/>
                <w:sz w:val="28"/>
                <w:szCs w:val="28"/>
              </w:rPr>
              <w:lastRenderedPageBreak/>
              <w:t>дня виплати коштів (у тому числі отриманих за договором комісії, доручення або інших аналогічних підставах) за кордон в оплату його придбання;</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 придбання майна з метою його подальшого продажу за кордоном виключно за умови, що зарахування коштів від такого подальшого продажу на рахунки, відкриті в українських банках, здійснюється протягом 360 днів з дня виплати коштів за кордон в оплату його придбання;</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135.2.1.10.4. придбанням робіт (послуг), за винятком:</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а) придбання робіт (послуг), якщо платник податку отримує результати робіт (послуг) до моменту здійснення оплати або протягом 360 днів (або в інші строки, передбачені висновком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дня виплати коштів (у тому числі отриманих за договором комісії, доручення або на інших аналогічних підставах) за кордон в оплату придбання робіт (послуг);</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б) придбання робіт (послуг) з метою їх подальшого продажу за кордоном виключно за умови, що зарахування коштів від такого подальшого продажу на рахунки, відкриті в українських банках, здійснюється протягом 360 днів з дня виплати коштів за кордон в оплату придбання робіт (послуг);</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135.2.1.11. вартості майна, робіт (послуг), наданих неплатнику податку, у тому числі неплатнику податку – нерезиденту за договором, який передбачає виплату компенсації вартості такого майна (робіт, послуг) за винятком:</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продажу (надання) майна, в тому числі необоротних активів, якщо воно експортується (вивозиться) з території України або надання неплатнику податку, у тому числі неплатнику податку – нерезиденту робіт, послуг після отримання оплати або за умови, що зарахування коштів від такого продажу (надання) на рахунки, відкриті в українських банках, здійснюється протягом 360 днів;</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135.2.1.12. коштів та/або вартості майна, перерахованих (переданого) платником податку – резидентом, який провадить діяльність за рахунок та за дорученням нерезидента, на користь такого нерезидента в межах відповідного договору комісії, доручення, агентського договору чи аналогічних договорів, за винятком:</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а) суми коштів та/або вартості майна, які були надані (було надане) нерезидентом для виконання договору та повертаються нерезиденту (або уповноваженій таким нерезидентом особі);</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б) вартості майна, яке було закуплено за дорученням та за рахунок нерезидента за кошти, отримані безпосередньо для здійснення такої закупівлі;</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 суми коштів від продажу майна (за винятком корпоративних прав та цінних паперів), наданого нерезидентом для продажу, за винятком випадків, коли платник податку – резидент має ознаки постійного представництва;</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г) суми коштів, яка була сплачена нерезидентом (безпосередньо або через повіреного) під час придбання на території України цінних паперів або корпоративних прав (у тому числі суми коштів або вартості майна, за рахунок яких здійснювався внесок), кошти від продажу яких повертаються платником податку – резидентом на користь нерезидента.</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Положення цього пункту не застосовуються до операцій з переказу коштів (у тому числі з використанням внутрішньодержавних і міжнародних платіжних систем), розрахунково-касового обслуговування, інших операцій банків, пов'язаних з обслуговуванням рахунків та зобов'язань клієнтів;</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135.2.1.13. роялті, сплаченого неплатнику податку протягом податкового (звітного) року в обсязі, що перевищує суму доходів від роялті, збільшену на 4 відсотки чистого доходу від реалізації продукції (товарів, робіт, послуг), за даними фінансової звітності (без врахування доходу від роялті) за рік, що передує звітному. Застосування норм цього підпункту здійснюється без урахування суми роялті, яка оподатковується відповідно до підпункту 135.2.1.14 цієї статті. Для новостворених платників податку, у яких відсутній фінансовий звіт за попередній звітний рік, 4 відсотки розраховуються за даними фінансової звітності за поточний рік; </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135.2.1.14. роялті, сплаченого на користь:</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а) нерезидентів, що зареєстровані у державах (на територіях), зазначених у підпункті 39.2.1.2 підпункту 39.2.1 пункту 39.2 статті 39 цього Кодексу;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б) нерезидента щодо об'єктів, права інтелектуальної власності стосовно яких вперше виникли у резидента України. У разі виникнення розбіжностей між контролюючим органом та платником податку стосовно визначення особи, у якої вперше виникли (були набуті) права інтелектуальної власності на об'єкт інтелектуальної власності, такі контролюючі органи зобов'язані звернутися до центрального органу виконавчої влади, що реалізує державну політику у сфері інтелектуальної власності, для отримання відповідного висновку;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 нерезидента, який не підлягає оподаткуванню стосовно роялті в державі, резидентом якої він є;</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г) нерезидента, який не є </w:t>
            </w:r>
            <w:proofErr w:type="spellStart"/>
            <w:r>
              <w:rPr>
                <w:rFonts w:ascii="Times New Roman" w:eastAsia="Times New Roman" w:hAnsi="Times New Roman"/>
                <w:color w:val="000000"/>
                <w:sz w:val="28"/>
                <w:szCs w:val="28"/>
              </w:rPr>
              <w:t>бенефіціарним</w:t>
            </w:r>
            <w:proofErr w:type="spellEnd"/>
            <w:r>
              <w:rPr>
                <w:rFonts w:ascii="Times New Roman" w:eastAsia="Times New Roman" w:hAnsi="Times New Roman"/>
                <w:color w:val="000000"/>
                <w:sz w:val="28"/>
                <w:szCs w:val="28"/>
              </w:rPr>
              <w:t xml:space="preserve"> (фактичним) отримувачем (власником) роялті, за виключенням випадків, коли </w:t>
            </w:r>
            <w:proofErr w:type="spellStart"/>
            <w:r>
              <w:rPr>
                <w:rFonts w:ascii="Times New Roman" w:eastAsia="Times New Roman" w:hAnsi="Times New Roman"/>
                <w:color w:val="000000"/>
                <w:sz w:val="28"/>
                <w:szCs w:val="28"/>
              </w:rPr>
              <w:t>бенефіціар</w:t>
            </w:r>
            <w:proofErr w:type="spellEnd"/>
            <w:r>
              <w:rPr>
                <w:rFonts w:ascii="Times New Roman" w:eastAsia="Times New Roman" w:hAnsi="Times New Roman"/>
                <w:color w:val="000000"/>
                <w:sz w:val="28"/>
                <w:szCs w:val="28"/>
              </w:rPr>
              <w:t xml:space="preserve"> (фактичний власник) надав право отримувати роялті іншим особам.</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135.2.1.15. коштів та/або вартості майна, виплачених (переданого) як внесок засновника та/або учасника до статутного капіталу резидента юридичної особи – неплатника податку; як внесок у спільну діяльність особі – неплатнику податку; в довірче управління особі – неплатнику податку;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135.2.1.16. коштів та/або вартості майна, виплачених (переданого) у зв'язку з придбанням товарів, робіт, послуг у неплатника податку, що перебуває на спрощеній системі оподаткування.»</w:t>
            </w:r>
          </w:p>
          <w:p w:rsidR="00E8568F" w:rsidRDefault="00E8568F">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5.  Статтю 137  доповнити  пунктом 137.10   такого  змісту: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«137.10. Особливості обчислення та сплати податку на прибуток підприємств суб’єктами ІТ індустрії.</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137.10.1. Платники податку суб’єкти  ІТ індустрії самостійно визначають суми податку, що підлягають сплаті. Обов'язок щодо нарахування та сплати податку виникає у платника податку у разі здійснення операції, що є об'єктом обкладення податком.</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137.10.2. У разі здійснення оподаткованої операції в негрошовій формі або відчуження майна пов'язаній з платником податку фізичній особі платник податку зобов'язаний самостійно перевірити відповідність ціни договору звичайній ціні та визначити базу оподаткування на рівні звичайної ціни. Якщо платник податку не визначає базу на рівні звичайної ціни, контролюючий орган самостійно визначає різницю між звичайною ціною та договірною (контрактною) вартістю операції, яка підлягає оподаткуванню, та визначає податкові зобов’язання платнику податку.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137.10.3. Базовий податковий (звітний) період дорівнює календарному року.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137.10.4. Податкові зобов'язання визначаються у податковій декларації з податку, яка подається за наслідками податкового (звітного) року, протягом якого відбулась одна з таких подій:</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137.10.4.1. сплата коштів з рахунків в українських банках (у тому числі у зв'язку з наданням фінансової допомоги, яка не підлягає поверненню, переказом коштів на рахунки платника податку за кордоном) та/або надання (передача ризиків, пов'язаних з правом власності, або передача результатів робіт, послуг) майна (в тому числі товарів), робіт (послуг);</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137.10.4.2. зарахування зустрічних вимог, відступлення права вимоги чи переведення боргу, внаслідок чого припиняються зобов'язання платника податку за операціями, що є об'єктом оподаткування податком відповідно до підпункту 141.9.2 пункту 141.9 статті 141 цього Кодексу;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137.10.4.3. сплив 12-місячний строк з дати виплати неплатнику податку поворотної фінансової допомоги, яка залишається неповернутою на кінець звітного податкового кварталу (в тому числі за кредитами, позиками, наданими пов'язаній особі на строк більш як 12 місяців);</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137.10.4.4. сплив 360-денний строк (або строк, визначений у висновку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моменту виплати коштів та/або передання майна за кордон України, якщо такі кошти чи майно залишаються неповернутими або платник податку не отримав у рахунок сплачених коштів майно чи результати робіт (послуг) або в оплату наданих товарів робіт (послуг) кошти (не провів залік </w:t>
            </w:r>
            <w:r>
              <w:rPr>
                <w:rFonts w:ascii="Times New Roman" w:eastAsia="Times New Roman" w:hAnsi="Times New Roman"/>
                <w:color w:val="000000"/>
                <w:sz w:val="28"/>
                <w:szCs w:val="28"/>
              </w:rPr>
              <w:lastRenderedPageBreak/>
              <w:t xml:space="preserve">зустрічних вимог, внаслідок якого припиняється зобов'язання платника податку зі сплати коштів або вивезення майна за кордон). </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137.10.4.5. припинення трудових відносин платника податку з фізичною особою, яка отримала фінансову допомогу від платника податку відповідно до положень колективного договору або за рішенням вищого органу управління платника податку, а сума коштів, отримана як фінансова допомога, залишається неповернутою (повністю або частково);</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137.10.4.6. проведена інвентаризація, за наслідками якої виявлено нестачу товарів;</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137.10.4.7. сплата лізингових платежів за договором фінансового лізингу з нерезидентом – неплатником податку, якщо предмет лізингу не було ввезено в Україну;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137.10.5. Платник податку в порядку, встановленому центральним органом виконавчої влади, що забезпечує формування державної фінансової політики, засобами електронного кабінету надсилає контролюючому органу інформацію про фізичну особу – резидента, який не розрахувався з платником податку, якщо щодо такої заборгованості було прийняте рішення про її прощення (за винятком випадку, коли сума такої прощеної заборгованості не перевищує 25 відсотків мінімальної заробітної плати (у розрахунку на рік), встановленої на 1 січня податкового (звітного) року (у разі відсутності законодавчо затвердженої процедури банкрутства фізичних осіб).</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137.10.6. Якщо платнику податку повністю або частково повернуті кошти або товари, раніше надані платником за наслідками операції, за якою платник податку визначив суму податкових зобов'язань та сплатив відповідну суму до бюджету, або рішення суду про визнання угоди фіктивною чи удаваною скасоване, то сплачена сума податку у відповідній сумі вважається надмірно сплаченою сумою грошових зобов'язань та підлягає поверненню платнику податку відповідно до статті 43 цього Кодексу або за вибором платника податку може враховуватися для зменшення податкового зобов'язання з податку за поточний чи майбутні податкові (звітні) періоди.</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137.10.7. Якщо договір фінансового лізингу з нерезидентом-неплатником податку не передбачає ввезення предмету лізингу в Україну, то виплата лізингових платежів прирівнюється до операції зі здійснення інвестицій в об'єкти інвестицій, які знаходяться за межами території України.</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137.10.8. Якщо платник податку здійснює зарахування зустрічних вимог, відступлення права вимоги чи переведення боргу неплатнику податку, внаслідок чого припиняються зобов'язання платника податку, за операціями, що є об'єктом оподаткування податком відповідно до підпункту 141.9.2 пункту 141.9 статті 141 цього Кодексу, то здійснення такого зарахування зустрічних вимог, відступлення права вимоги чи переведення боргу неплатнику податку прирівнюється до об'єкту оподаткування. Проведення заліку зустрічних вимог (в тому числі з використанням клірингових розрахунків із залученням </w:t>
            </w:r>
            <w:r>
              <w:rPr>
                <w:rFonts w:ascii="Times New Roman" w:eastAsia="Times New Roman" w:hAnsi="Times New Roman"/>
                <w:color w:val="000000"/>
                <w:sz w:val="28"/>
                <w:szCs w:val="28"/>
              </w:rPr>
              <w:lastRenderedPageBreak/>
              <w:t xml:space="preserve">клірингових центрів або без такого залучення) з неплатником податку, відступлення права вимоги чи переведення боргу неплатнику податку прирівнюється до отримання майна та/або коштів, якщо внаслідок таких дій припиняються зобов'язання платника податку зі сплати коштів або </w:t>
            </w:r>
            <w:proofErr w:type="spellStart"/>
            <w:r>
              <w:rPr>
                <w:rFonts w:ascii="Times New Roman" w:eastAsia="Times New Roman" w:hAnsi="Times New Roman"/>
                <w:color w:val="000000"/>
                <w:sz w:val="28"/>
                <w:szCs w:val="28"/>
              </w:rPr>
              <w:t>або</w:t>
            </w:r>
            <w:proofErr w:type="spellEnd"/>
            <w:r>
              <w:rPr>
                <w:rFonts w:ascii="Times New Roman" w:eastAsia="Times New Roman" w:hAnsi="Times New Roman"/>
                <w:color w:val="000000"/>
                <w:sz w:val="28"/>
                <w:szCs w:val="28"/>
              </w:rPr>
              <w:t xml:space="preserve"> вивезення майна».</w:t>
            </w:r>
          </w:p>
          <w:p w:rsidR="00E8568F" w:rsidRDefault="00E8568F">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p>
        </w:tc>
      </w:tr>
      <w:tr w:rsidR="00E8568F">
        <w:tc>
          <w:tcPr>
            <w:tcW w:w="9639" w:type="dxa"/>
            <w:shd w:val="clear" w:color="auto" w:fill="auto"/>
          </w:tcPr>
          <w:p w:rsidR="00E8568F" w:rsidRDefault="00F7637D">
            <w:pPr>
              <w:numPr>
                <w:ilvl w:val="0"/>
                <w:numId w:val="1"/>
              </w:numPr>
              <w:pBdr>
                <w:top w:val="nil"/>
                <w:left w:val="nil"/>
                <w:bottom w:val="nil"/>
                <w:right w:val="nil"/>
                <w:between w:val="nil"/>
              </w:pBdr>
              <w:spacing w:after="120" w:line="240" w:lineRule="auto"/>
              <w:ind w:left="0"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Доповнити  статтю 141   новим  пунктом 141.9  такого  змісту:</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hAnsi="Times New Roman"/>
                <w:sz w:val="28"/>
                <w:szCs w:val="28"/>
                <w:highlight w:val="white"/>
              </w:rPr>
              <w:t xml:space="preserve">141.9. Особливості оподаткування </w:t>
            </w:r>
            <w:r>
              <w:rPr>
                <w:rFonts w:ascii="Times New Roman" w:eastAsia="Times New Roman" w:hAnsi="Times New Roman"/>
                <w:sz w:val="28"/>
                <w:szCs w:val="28"/>
              </w:rPr>
              <w:t>суб’єктів ІТ індустрії від здійснення діяльності в індустрії інформаційних технологій.</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141.9.1. Суб’єкти ІТ індустрії сплачують податок на прибуток за ставкою, визначеною відповідно до пункту 136.1 статті 136 цього Кодексу.</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141.9.2. Об’єктом оподаткування  доходу суб’єктів ІТ індустрії від здійснення діяльності в індустрії інформаційних технологій є виключно операції з:</w:t>
            </w:r>
          </w:p>
          <w:p w:rsidR="00E8568F" w:rsidRDefault="00F7637D">
            <w:pPr>
              <w:spacing w:after="120" w:line="240" w:lineRule="auto"/>
              <w:ind w:firstLine="567"/>
              <w:jc w:val="both"/>
              <w:rPr>
                <w:rFonts w:ascii="Times New Roman" w:eastAsia="Times New Roman" w:hAnsi="Times New Roman"/>
                <w:sz w:val="28"/>
                <w:szCs w:val="28"/>
                <w:highlight w:val="white"/>
              </w:rPr>
            </w:pPr>
            <w:r>
              <w:rPr>
                <w:rFonts w:ascii="Times New Roman" w:eastAsia="Times New Roman" w:hAnsi="Times New Roman"/>
                <w:sz w:val="28"/>
                <w:szCs w:val="28"/>
              </w:rPr>
              <w:t xml:space="preserve">141.9.2.1. </w:t>
            </w:r>
            <w:r>
              <w:rPr>
                <w:rFonts w:ascii="Times New Roman" w:eastAsia="Times New Roman" w:hAnsi="Times New Roman"/>
                <w:sz w:val="28"/>
                <w:szCs w:val="28"/>
                <w:highlight w:val="white"/>
              </w:rPr>
              <w:t>виплати дивідендів неплатнику податку в сумі, визначеній за правилами, встановленими підпунктом 135.2.1.1 підпункту 135.2.1 пункту 135.2 статті 135 цього Кодексу;</w:t>
            </w:r>
          </w:p>
          <w:p w:rsidR="00E8568F" w:rsidRDefault="00F7637D">
            <w:pPr>
              <w:spacing w:after="120" w:line="240" w:lineRule="auto"/>
              <w:ind w:firstLine="567"/>
              <w:jc w:val="both"/>
              <w:rPr>
                <w:rFonts w:ascii="Times New Roman" w:eastAsia="Times New Roman" w:hAnsi="Times New Roman"/>
                <w:sz w:val="28"/>
                <w:szCs w:val="28"/>
                <w:highlight w:val="white"/>
              </w:rPr>
            </w:pPr>
            <w:r>
              <w:rPr>
                <w:rFonts w:ascii="Times New Roman" w:eastAsia="Times New Roman" w:hAnsi="Times New Roman"/>
                <w:sz w:val="28"/>
                <w:szCs w:val="28"/>
              </w:rPr>
              <w:t xml:space="preserve">141.9.2.2. </w:t>
            </w:r>
            <w:r>
              <w:rPr>
                <w:rFonts w:ascii="Times New Roman" w:eastAsia="Times New Roman" w:hAnsi="Times New Roman"/>
                <w:sz w:val="28"/>
                <w:szCs w:val="28"/>
                <w:highlight w:val="white"/>
              </w:rPr>
              <w:t xml:space="preserve">виплати у грошовій формі та/або відмінній від грошової формі з повернення (виплати) внесків та/або інших сум власнику корпоративних прав-неплатнику податку, </w:t>
            </w:r>
            <w:r>
              <w:rPr>
                <w:rFonts w:ascii="Times New Roman" w:eastAsia="Times New Roman" w:hAnsi="Times New Roman"/>
                <w:sz w:val="28"/>
                <w:szCs w:val="28"/>
              </w:rPr>
              <w:t xml:space="preserve">в тому числі у </w:t>
            </w:r>
            <w:r>
              <w:rPr>
                <w:rFonts w:ascii="Times New Roman" w:eastAsia="Times New Roman" w:hAnsi="Times New Roman"/>
                <w:sz w:val="28"/>
                <w:szCs w:val="28"/>
                <w:highlight w:val="white"/>
              </w:rPr>
              <w:t xml:space="preserve">зв’язку з ліквідацією платника податку, </w:t>
            </w:r>
            <w:proofErr w:type="spellStart"/>
            <w:r>
              <w:rPr>
                <w:rFonts w:ascii="Times New Roman" w:eastAsia="Times New Roman" w:hAnsi="Times New Roman"/>
                <w:sz w:val="28"/>
                <w:szCs w:val="28"/>
                <w:highlight w:val="white"/>
              </w:rPr>
              <w:t>зворотнього</w:t>
            </w:r>
            <w:proofErr w:type="spellEnd"/>
            <w:r>
              <w:rPr>
                <w:rFonts w:ascii="Times New Roman" w:eastAsia="Times New Roman" w:hAnsi="Times New Roman"/>
                <w:sz w:val="28"/>
                <w:szCs w:val="28"/>
                <w:highlight w:val="white"/>
              </w:rPr>
              <w:t xml:space="preserve"> викупу цінних паперів, емітованих таким платником податку, в сумі, визначеній за правилами, встановленими підпунктом 135.2.1.2 підпункту 135.2.1 пункту 135.2 статті 135 цього Кодексу;</w:t>
            </w:r>
          </w:p>
          <w:p w:rsidR="00E8568F" w:rsidRDefault="00F7637D">
            <w:pPr>
              <w:spacing w:after="120" w:line="240" w:lineRule="auto"/>
              <w:ind w:firstLine="567"/>
              <w:jc w:val="both"/>
              <w:rPr>
                <w:rFonts w:ascii="Times New Roman" w:eastAsia="Times New Roman" w:hAnsi="Times New Roman"/>
                <w:sz w:val="28"/>
                <w:szCs w:val="28"/>
                <w:highlight w:val="white"/>
              </w:rPr>
            </w:pPr>
            <w:r>
              <w:rPr>
                <w:rFonts w:ascii="Times New Roman" w:eastAsia="Times New Roman" w:hAnsi="Times New Roman"/>
                <w:sz w:val="28"/>
                <w:szCs w:val="28"/>
              </w:rPr>
              <w:t xml:space="preserve">141.9.2.3. </w:t>
            </w:r>
            <w:r>
              <w:rPr>
                <w:rFonts w:ascii="Times New Roman" w:eastAsia="Times New Roman" w:hAnsi="Times New Roman"/>
                <w:sz w:val="28"/>
                <w:szCs w:val="28"/>
                <w:highlight w:val="white"/>
              </w:rPr>
              <w:t>виплати у грошовій формі та/або відмінній від грошової формі з поверненням внесків або суми, що перевищує суму внесків неплатнику податку, що надав майно в довірче управління чи спільну діяльність, у сумі, що визначається за правилами, встановленими підпунктом 135.2.1.4 підпункту 135.2.1 пункту 135.2 статті 135 цього Кодексу.</w:t>
            </w:r>
          </w:p>
          <w:p w:rsidR="00E8568F" w:rsidRDefault="00F7637D">
            <w:pPr>
              <w:spacing w:after="120" w:line="240" w:lineRule="auto"/>
              <w:ind w:firstLine="567"/>
              <w:jc w:val="both"/>
              <w:rPr>
                <w:rFonts w:ascii="Times New Roman" w:eastAsia="Times New Roman" w:hAnsi="Times New Roman"/>
                <w:sz w:val="28"/>
                <w:szCs w:val="28"/>
                <w:highlight w:val="white"/>
              </w:rPr>
            </w:pPr>
            <w:r>
              <w:rPr>
                <w:rFonts w:ascii="Times New Roman" w:eastAsia="Times New Roman" w:hAnsi="Times New Roman"/>
                <w:sz w:val="28"/>
                <w:szCs w:val="28"/>
              </w:rPr>
              <w:t xml:space="preserve">141.9.2.5. </w:t>
            </w:r>
            <w:r>
              <w:rPr>
                <w:rFonts w:ascii="Times New Roman" w:eastAsia="Times New Roman" w:hAnsi="Times New Roman"/>
                <w:sz w:val="28"/>
                <w:szCs w:val="28"/>
                <w:highlight w:val="white"/>
              </w:rPr>
              <w:t xml:space="preserve">виплати процентів (у тому числі тих, що були включені до суми основного боргу (тіла кредиту)), комісій, інших винагород, </w:t>
            </w:r>
            <w:proofErr w:type="spellStart"/>
            <w:r>
              <w:rPr>
                <w:rFonts w:ascii="Times New Roman" w:eastAsia="Times New Roman" w:hAnsi="Times New Roman"/>
                <w:sz w:val="28"/>
                <w:szCs w:val="28"/>
                <w:highlight w:val="white"/>
              </w:rPr>
              <w:t>відшкодувань</w:t>
            </w:r>
            <w:proofErr w:type="spellEnd"/>
            <w:r>
              <w:rPr>
                <w:rFonts w:ascii="Times New Roman" w:eastAsia="Times New Roman" w:hAnsi="Times New Roman"/>
                <w:sz w:val="28"/>
                <w:szCs w:val="28"/>
                <w:highlight w:val="white"/>
              </w:rPr>
              <w:t>, штрафів, пені, що пов'язані із залученням та/або використанням коштів, на користь неплатників податку, в тому числі нерезидентів, що зареєстровані у державах (на територіях), зазначених у підпункті 39.2.1.2 підпункту 39.2.1 пункту 39.2 статті 39 цього Кодексу, або на користь пов'язаної особи – нерезидента за будь-якими кредитами, позиками, депозитами, операціями РЕПО, зобов'язаннями за договорами фінансового лізингу та іншими запозиченнями в сумі, визначеній за правилами, встановленими підпунктами 135.2.1.5, 135.2.1.6 підпункту 135.2.1 пункту 135.2 статті 135 цього Кодексу;</w:t>
            </w:r>
          </w:p>
          <w:p w:rsidR="00E8568F" w:rsidRDefault="00F7637D">
            <w:pPr>
              <w:spacing w:after="120" w:line="240" w:lineRule="auto"/>
              <w:ind w:firstLine="567"/>
              <w:jc w:val="both"/>
              <w:rPr>
                <w:rFonts w:ascii="Times New Roman" w:eastAsia="Times New Roman" w:hAnsi="Times New Roman"/>
                <w:sz w:val="28"/>
                <w:szCs w:val="28"/>
                <w:highlight w:val="white"/>
              </w:rPr>
            </w:pPr>
            <w:r>
              <w:rPr>
                <w:rFonts w:ascii="Times New Roman" w:eastAsia="Times New Roman" w:hAnsi="Times New Roman"/>
                <w:sz w:val="28"/>
                <w:szCs w:val="28"/>
              </w:rPr>
              <w:t xml:space="preserve">141.9.2.6. </w:t>
            </w:r>
            <w:r>
              <w:rPr>
                <w:rFonts w:ascii="Times New Roman" w:eastAsia="Times New Roman" w:hAnsi="Times New Roman"/>
                <w:sz w:val="28"/>
                <w:szCs w:val="28"/>
                <w:highlight w:val="white"/>
              </w:rPr>
              <w:t xml:space="preserve">передачі майна неплатнику податку без висування вимог щодо компенсації його вартості, в тому числі безоплатно надане майно (роботи, </w:t>
            </w:r>
            <w:r>
              <w:rPr>
                <w:rFonts w:ascii="Times New Roman" w:eastAsia="Times New Roman" w:hAnsi="Times New Roman"/>
                <w:sz w:val="28"/>
                <w:szCs w:val="28"/>
                <w:highlight w:val="white"/>
              </w:rPr>
              <w:lastRenderedPageBreak/>
              <w:t>послуги) в сумі, визначеній за правилами, встановленими підпунктом 135.2.1.7 підпункту 135.2.1 пункту 135.2 статті 135 цього Кодексу;</w:t>
            </w:r>
          </w:p>
          <w:p w:rsidR="00E8568F" w:rsidRDefault="00F7637D">
            <w:pPr>
              <w:spacing w:after="120" w:line="240" w:lineRule="auto"/>
              <w:ind w:firstLine="567"/>
              <w:jc w:val="both"/>
              <w:rPr>
                <w:rFonts w:ascii="Times New Roman" w:eastAsia="Times New Roman" w:hAnsi="Times New Roman"/>
                <w:sz w:val="28"/>
                <w:szCs w:val="28"/>
                <w:highlight w:val="white"/>
              </w:rPr>
            </w:pPr>
            <w:r>
              <w:rPr>
                <w:rFonts w:ascii="Times New Roman" w:eastAsia="Times New Roman" w:hAnsi="Times New Roman"/>
                <w:sz w:val="28"/>
                <w:szCs w:val="28"/>
              </w:rPr>
              <w:t xml:space="preserve">141.9.2.7. </w:t>
            </w:r>
            <w:r>
              <w:rPr>
                <w:rFonts w:ascii="Times New Roman" w:eastAsia="Times New Roman" w:hAnsi="Times New Roman"/>
                <w:sz w:val="28"/>
                <w:szCs w:val="28"/>
                <w:highlight w:val="white"/>
              </w:rPr>
              <w:t>виплати (надання)</w:t>
            </w:r>
            <w:r>
              <w:rPr>
                <w:rFonts w:ascii="Times New Roman" w:eastAsia="Times New Roman" w:hAnsi="Times New Roman"/>
                <w:sz w:val="28"/>
                <w:szCs w:val="28"/>
              </w:rPr>
              <w:t xml:space="preserve"> </w:t>
            </w:r>
            <w:r>
              <w:rPr>
                <w:rFonts w:ascii="Times New Roman" w:eastAsia="Times New Roman" w:hAnsi="Times New Roman"/>
                <w:sz w:val="28"/>
                <w:szCs w:val="28"/>
                <w:highlight w:val="white"/>
              </w:rPr>
              <w:t>фінансової допомоги неплатнику податку в сумі, визначеній за правилами, встановленими підпунктами 135.2.1.8, 135.2.1.9 підпункту 135.2.1 пункту 135.2 статті 135 цього Кодексу;</w:t>
            </w:r>
          </w:p>
          <w:p w:rsidR="00E8568F" w:rsidRDefault="00F7637D">
            <w:pPr>
              <w:spacing w:after="120" w:line="240" w:lineRule="auto"/>
              <w:ind w:firstLine="567"/>
              <w:jc w:val="both"/>
              <w:rPr>
                <w:rFonts w:ascii="Times New Roman" w:eastAsia="Times New Roman" w:hAnsi="Times New Roman"/>
                <w:sz w:val="28"/>
                <w:szCs w:val="28"/>
                <w:highlight w:val="white"/>
              </w:rPr>
            </w:pPr>
            <w:r>
              <w:rPr>
                <w:rFonts w:ascii="Times New Roman" w:eastAsia="Times New Roman" w:hAnsi="Times New Roman"/>
                <w:sz w:val="28"/>
                <w:szCs w:val="28"/>
              </w:rPr>
              <w:t xml:space="preserve">141.9.2.8. </w:t>
            </w:r>
            <w:r>
              <w:rPr>
                <w:rFonts w:ascii="Times New Roman" w:eastAsia="Times New Roman" w:hAnsi="Times New Roman"/>
                <w:sz w:val="28"/>
                <w:szCs w:val="28"/>
                <w:highlight w:val="white"/>
              </w:rPr>
              <w:t>виплати (переказу), що здійснюється у грошовій формі та/або у відмінній від грошової формі у зв'язку з: переказом коштів з рахунків в українських банках на рахунки платника податку, відкриті за кордоном; погашенням зобов'язань (у тому числі боргових зобов'язань), що виникли за договорами, виконання яких не призводить до зарахування коштів на рахунки платників податку в українських банках або до отримання платником податку майна, робіт, послуг; вкладенням в об'єкти інвестицій (в тому числі придбанням майна), які перебувають за межами території України; придбанням робіт (послуг) у неплатника податку–нерезидента, в сумі, визначеній за правилами, встановленими підпунктом 135.2.1.10 підпункту 135.2.1 пункту 135.2 статті 135 цього Кодексу;</w:t>
            </w:r>
          </w:p>
          <w:p w:rsidR="00E8568F" w:rsidRDefault="00F7637D">
            <w:pPr>
              <w:spacing w:after="120" w:line="240" w:lineRule="auto"/>
              <w:ind w:firstLine="567"/>
              <w:jc w:val="both"/>
              <w:rPr>
                <w:rFonts w:ascii="Times New Roman" w:eastAsia="Times New Roman" w:hAnsi="Times New Roman"/>
                <w:sz w:val="28"/>
                <w:szCs w:val="28"/>
                <w:highlight w:val="white"/>
              </w:rPr>
            </w:pPr>
            <w:r>
              <w:rPr>
                <w:rFonts w:ascii="Times New Roman" w:eastAsia="Times New Roman" w:hAnsi="Times New Roman"/>
                <w:sz w:val="28"/>
                <w:szCs w:val="28"/>
              </w:rPr>
              <w:t xml:space="preserve">141.9.2.9. </w:t>
            </w:r>
            <w:r>
              <w:rPr>
                <w:rFonts w:ascii="Times New Roman" w:eastAsia="Times New Roman" w:hAnsi="Times New Roman"/>
                <w:sz w:val="28"/>
                <w:szCs w:val="28"/>
                <w:highlight w:val="white"/>
              </w:rPr>
              <w:t>передачі майна, надання робіт, послуг неплатнику податку, за договором, який передбачає виплату компенсації його (їх) вартості, в сумі, визначеній за правилами, встановленими підпунктом 135.2.1.11 підпункту 135.2.1 пункту 135.2 статті 135 цього Кодексу;</w:t>
            </w:r>
          </w:p>
          <w:p w:rsidR="00E8568F" w:rsidRDefault="00F7637D">
            <w:pPr>
              <w:spacing w:after="120" w:line="240" w:lineRule="auto"/>
              <w:ind w:firstLine="567"/>
              <w:jc w:val="both"/>
              <w:rPr>
                <w:rFonts w:ascii="Times New Roman" w:eastAsia="Times New Roman" w:hAnsi="Times New Roman"/>
                <w:sz w:val="28"/>
                <w:szCs w:val="28"/>
                <w:highlight w:val="white"/>
              </w:rPr>
            </w:pPr>
            <w:r>
              <w:rPr>
                <w:rFonts w:ascii="Times New Roman" w:eastAsia="Times New Roman" w:hAnsi="Times New Roman"/>
                <w:sz w:val="28"/>
                <w:szCs w:val="28"/>
              </w:rPr>
              <w:t xml:space="preserve">141.9.2.10. </w:t>
            </w:r>
            <w:r>
              <w:rPr>
                <w:rFonts w:ascii="Times New Roman" w:eastAsia="Times New Roman" w:hAnsi="Times New Roman"/>
                <w:sz w:val="28"/>
                <w:szCs w:val="28"/>
                <w:highlight w:val="white"/>
              </w:rPr>
              <w:t>виплата коштів та/або передача майна платником податку – резидентом, який провадить діяльність від імені, за рахунок та за дорученням нерезидента, на користь такого нерезидента в межах відповідного договору комісії, доручення, агентського договору чи аналогічних договорів, у сумі, визначеній за правилами, встановленими підпунктом 135.2.1.12 підпункту 135.2.1 пункту 135.2 статті 135 цього Кодексу;</w:t>
            </w:r>
          </w:p>
          <w:p w:rsidR="00E8568F" w:rsidRDefault="00F7637D">
            <w:pPr>
              <w:spacing w:after="120" w:line="240" w:lineRule="auto"/>
              <w:ind w:firstLine="567"/>
              <w:jc w:val="both"/>
              <w:rPr>
                <w:rFonts w:ascii="Times New Roman" w:eastAsia="Times New Roman" w:hAnsi="Times New Roman"/>
                <w:sz w:val="28"/>
                <w:szCs w:val="28"/>
                <w:highlight w:val="white"/>
              </w:rPr>
            </w:pPr>
            <w:r>
              <w:rPr>
                <w:rFonts w:ascii="Times New Roman" w:eastAsia="Times New Roman" w:hAnsi="Times New Roman"/>
                <w:sz w:val="28"/>
                <w:szCs w:val="28"/>
              </w:rPr>
              <w:t xml:space="preserve">141.9.2.11. </w:t>
            </w:r>
            <w:r>
              <w:rPr>
                <w:rFonts w:ascii="Times New Roman" w:eastAsia="Times New Roman" w:hAnsi="Times New Roman"/>
                <w:sz w:val="28"/>
                <w:szCs w:val="28"/>
                <w:highlight w:val="white"/>
              </w:rPr>
              <w:t>виплати роялті неплатнику податку в сумі, визначеній за правилами, встановленими підпунктами 135.2.1.13, 135.2.1.14 підпункту 135.2.1 пункту 135.2 статті 135 цього Кодексу;</w:t>
            </w:r>
          </w:p>
          <w:p w:rsidR="00E8568F" w:rsidRDefault="00F7637D">
            <w:pPr>
              <w:spacing w:after="120" w:line="240" w:lineRule="auto"/>
              <w:ind w:firstLine="567"/>
              <w:jc w:val="both"/>
              <w:rPr>
                <w:rFonts w:ascii="Times New Roman" w:eastAsia="Times New Roman" w:hAnsi="Times New Roman"/>
                <w:sz w:val="28"/>
                <w:szCs w:val="28"/>
                <w:highlight w:val="white"/>
              </w:rPr>
            </w:pPr>
            <w:r>
              <w:rPr>
                <w:rFonts w:ascii="Times New Roman" w:eastAsia="Times New Roman" w:hAnsi="Times New Roman"/>
                <w:sz w:val="28"/>
                <w:szCs w:val="28"/>
              </w:rPr>
              <w:t xml:space="preserve">141.9.2.12. </w:t>
            </w:r>
            <w:r>
              <w:rPr>
                <w:rFonts w:ascii="Times New Roman" w:eastAsia="Times New Roman" w:hAnsi="Times New Roman"/>
                <w:sz w:val="28"/>
                <w:szCs w:val="28"/>
                <w:highlight w:val="white"/>
              </w:rPr>
              <w:t>виплати, що здійснюється у грошовій формі та/або відмінній від грошової формі у зв'язку з внесенням до статутного капіталу або у спільну діяльність, в довірче управління, якщо отримувачем таких коштів та/або майна є особа – неплатник податку, в сумі, визначеній за правилами, встановленими підпунктом 135.2.1.15 підпункту 135.2.1 пункту 135.2 статті 135 цього Кодексу;</w:t>
            </w:r>
          </w:p>
          <w:p w:rsidR="00E8568F" w:rsidRDefault="00F7637D">
            <w:pPr>
              <w:spacing w:after="120" w:line="240" w:lineRule="auto"/>
              <w:ind w:firstLine="567"/>
              <w:jc w:val="both"/>
              <w:rPr>
                <w:rFonts w:ascii="Times New Roman" w:eastAsia="Times New Roman" w:hAnsi="Times New Roman"/>
                <w:sz w:val="28"/>
                <w:szCs w:val="28"/>
                <w:highlight w:val="white"/>
              </w:rPr>
            </w:pPr>
            <w:r>
              <w:rPr>
                <w:rFonts w:ascii="Times New Roman" w:eastAsia="Times New Roman" w:hAnsi="Times New Roman"/>
                <w:sz w:val="28"/>
                <w:szCs w:val="28"/>
              </w:rPr>
              <w:t xml:space="preserve">141.9.2.13. </w:t>
            </w:r>
            <w:r>
              <w:rPr>
                <w:rFonts w:ascii="Times New Roman" w:eastAsia="Times New Roman" w:hAnsi="Times New Roman"/>
                <w:sz w:val="28"/>
                <w:szCs w:val="28"/>
                <w:highlight w:val="white"/>
              </w:rPr>
              <w:t>виплати, що здійснюється у грошовій формі та/або відмінній від грошової формі у зв'язку з придбанням майна (робіт, послуг) у неплатника податку, що перебуває на спрощеній системі оподаткування в сумі, визначеній за правилами, встановленими підпунктом 135.2.1.16 підпункту 135.2.1 пункту 135.2 статті 135 цього Кодексу;</w:t>
            </w:r>
          </w:p>
          <w:p w:rsidR="00E8568F" w:rsidRDefault="00F7637D">
            <w:pPr>
              <w:spacing w:after="120" w:line="240" w:lineRule="auto"/>
              <w:ind w:firstLine="567"/>
              <w:jc w:val="both"/>
              <w:rPr>
                <w:rFonts w:ascii="Times New Roman" w:eastAsia="Times New Roman" w:hAnsi="Times New Roman"/>
                <w:sz w:val="28"/>
                <w:szCs w:val="28"/>
                <w:highlight w:val="white"/>
              </w:rPr>
            </w:pPr>
            <w:r>
              <w:rPr>
                <w:rFonts w:ascii="Times New Roman" w:eastAsia="Times New Roman" w:hAnsi="Times New Roman"/>
                <w:sz w:val="28"/>
                <w:szCs w:val="28"/>
              </w:rPr>
              <w:t xml:space="preserve">141.9.2.14. </w:t>
            </w:r>
            <w:r>
              <w:rPr>
                <w:rFonts w:ascii="Times New Roman" w:eastAsia="Times New Roman" w:hAnsi="Times New Roman"/>
                <w:sz w:val="28"/>
                <w:szCs w:val="28"/>
                <w:highlight w:val="white"/>
              </w:rPr>
              <w:t xml:space="preserve">господарські операції, які визнаються контрольованими відповідно до статті 39 цього Кодексу, якщо їх умови не відповідають принципу </w:t>
            </w:r>
            <w:r>
              <w:rPr>
                <w:rFonts w:ascii="Times New Roman" w:eastAsia="Times New Roman" w:hAnsi="Times New Roman"/>
                <w:sz w:val="28"/>
                <w:szCs w:val="28"/>
                <w:highlight w:val="white"/>
              </w:rPr>
              <w:lastRenderedPageBreak/>
              <w:t>"витягнутої руки", в сумі, визначеній за правилами, встановленими підпунктом 141.9.3 пункту 141.9 статті 141 цього Кодексу;</w:t>
            </w:r>
          </w:p>
          <w:p w:rsidR="00E8568F" w:rsidRDefault="00F7637D">
            <w:pPr>
              <w:spacing w:after="120" w:line="240" w:lineRule="auto"/>
              <w:ind w:firstLine="567"/>
              <w:jc w:val="both"/>
              <w:rPr>
                <w:rFonts w:ascii="Times New Roman" w:eastAsia="Times New Roman" w:hAnsi="Times New Roman"/>
                <w:color w:val="333333"/>
                <w:sz w:val="28"/>
                <w:szCs w:val="28"/>
                <w:highlight w:val="white"/>
              </w:rPr>
            </w:pPr>
            <w:r>
              <w:rPr>
                <w:rFonts w:ascii="Times New Roman" w:eastAsia="Times New Roman" w:hAnsi="Times New Roman"/>
                <w:sz w:val="28"/>
                <w:szCs w:val="28"/>
                <w:highlight w:val="white"/>
              </w:rPr>
              <w:t>Суб'єкт ІТ індустрії  окремо від доходу</w:t>
            </w:r>
            <w:r>
              <w:rPr>
                <w:rFonts w:ascii="Times New Roman" w:eastAsia="Times New Roman" w:hAnsi="Times New Roman"/>
                <w:sz w:val="28"/>
                <w:szCs w:val="28"/>
              </w:rPr>
              <w:t xml:space="preserve"> від здійснення діяльності в індустрії інформаційних технологій визначає </w:t>
            </w:r>
            <w:r>
              <w:rPr>
                <w:rFonts w:ascii="Times New Roman" w:eastAsia="Times New Roman" w:hAnsi="Times New Roman"/>
                <w:color w:val="333333"/>
                <w:sz w:val="28"/>
                <w:szCs w:val="28"/>
                <w:highlight w:val="white"/>
              </w:rPr>
              <w:t>скоригований прибуток контрольованої іноземної компанії, визначений відповідно до статті 39</w:t>
            </w:r>
            <w:r>
              <w:rPr>
                <w:rFonts w:ascii="Times New Roman" w:eastAsia="Times New Roman" w:hAnsi="Times New Roman"/>
                <w:color w:val="333333"/>
                <w:sz w:val="28"/>
                <w:szCs w:val="28"/>
                <w:highlight w:val="white"/>
                <w:vertAlign w:val="superscript"/>
              </w:rPr>
              <w:t xml:space="preserve">2 </w:t>
            </w:r>
            <w:r>
              <w:rPr>
                <w:rFonts w:ascii="Times New Roman" w:eastAsia="Times New Roman" w:hAnsi="Times New Roman"/>
                <w:color w:val="333333"/>
                <w:sz w:val="28"/>
                <w:szCs w:val="28"/>
                <w:highlight w:val="white"/>
              </w:rPr>
              <w:t xml:space="preserve">цього Кодексу. </w:t>
            </w:r>
          </w:p>
          <w:p w:rsidR="00E8568F" w:rsidRDefault="00F7637D">
            <w:pPr>
              <w:spacing w:after="120" w:line="240" w:lineRule="auto"/>
              <w:ind w:firstLine="567"/>
              <w:jc w:val="both"/>
              <w:rPr>
                <w:rFonts w:ascii="Times New Roman" w:eastAsia="Times New Roman" w:hAnsi="Times New Roman"/>
                <w:sz w:val="28"/>
                <w:szCs w:val="28"/>
                <w:highlight w:val="white"/>
              </w:rPr>
            </w:pPr>
            <w:r>
              <w:rPr>
                <w:rFonts w:ascii="Times New Roman" w:eastAsia="Times New Roman" w:hAnsi="Times New Roman"/>
                <w:sz w:val="28"/>
                <w:szCs w:val="28"/>
                <w:highlight w:val="white"/>
              </w:rPr>
              <w:t>141.9.3. Порядок визначення бази оподаткування в разі здійснення операцій, якщо їх умови не відповідають принципу "витягнутої руки"</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У разі здійснення платником податків контрольованих операцій, умови яких не відповідають принципу "витягнутої руки", база оподаткування визначається як сума (вартісний еквівалент) перевищення фінансового результату, визначеного відповідно до умов контрольованої операції (контрольованих операцій), що відповідають принципу "витягнутої руки", над фінансовим результатом, визначеним/отриманим платником податку у контрольованій операції (контрольованих операціях)».</w:t>
            </w:r>
          </w:p>
          <w:p w:rsidR="00E8568F" w:rsidRDefault="00E8568F">
            <w:pPr>
              <w:spacing w:after="120" w:line="240" w:lineRule="auto"/>
              <w:ind w:firstLine="567"/>
              <w:jc w:val="both"/>
              <w:rPr>
                <w:rFonts w:ascii="Times New Roman" w:eastAsia="Times New Roman" w:hAnsi="Times New Roman"/>
                <w:sz w:val="28"/>
                <w:szCs w:val="28"/>
              </w:rPr>
            </w:pPr>
          </w:p>
          <w:p w:rsidR="00E8568F" w:rsidRDefault="00F7637D">
            <w:pPr>
              <w:numPr>
                <w:ilvl w:val="0"/>
                <w:numId w:val="1"/>
              </w:numPr>
              <w:pBdr>
                <w:top w:val="nil"/>
                <w:left w:val="nil"/>
                <w:bottom w:val="nil"/>
                <w:right w:val="nil"/>
                <w:between w:val="nil"/>
              </w:pBdr>
              <w:spacing w:after="120" w:line="240" w:lineRule="auto"/>
              <w:ind w:left="0"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Доповнити  статтю 170  новим  пунктом 170.14  такого  змісту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«170.14 Особливості оподаткування доходів працівників ІТ індустрії</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Податковим агентом платника податку - працівників ІТ індустрії під час нарахування (виплати) на його користь доходів у вигляді заробітної плати, інших заохочувальних та компенсаційних виплат або інших виплат і винагород, які нараховуються (виплачуються, надаються) платнику у зв’язку з трудовими відносинами) є суб’єкт ІТ індустрії.</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Доходи працівника ІТ індустрії у вигляді заробітної плати, інших заохочувальних та компенсаційних виплат або інших виплат і винагород, які нараховуються (виплачуються, надаються) платнику у зв’язку з трудовими відносинами),  оподатковуються  за ставкою, визначеною пунктом 167.2 статті  167 цього Кодексу.</w:t>
            </w:r>
          </w:p>
          <w:p w:rsidR="00E8568F" w:rsidRDefault="00E8568F">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p>
          <w:p w:rsidR="00E8568F" w:rsidRDefault="00F7637D">
            <w:pPr>
              <w:numPr>
                <w:ilvl w:val="0"/>
                <w:numId w:val="1"/>
              </w:numPr>
              <w:pBdr>
                <w:top w:val="nil"/>
                <w:left w:val="nil"/>
                <w:bottom w:val="nil"/>
                <w:right w:val="nil"/>
                <w:between w:val="nil"/>
              </w:pBdr>
              <w:spacing w:after="120" w:line="240" w:lineRule="auto"/>
              <w:ind w:left="0" w:firstLine="567"/>
              <w:jc w:val="both"/>
              <w:rPr>
                <w:rFonts w:ascii="Times New Roman" w:eastAsia="Times New Roman" w:hAnsi="Times New Roman"/>
                <w:b/>
                <w:color w:val="000000"/>
                <w:sz w:val="28"/>
                <w:szCs w:val="28"/>
              </w:rPr>
            </w:pPr>
            <w:r>
              <w:rPr>
                <w:rFonts w:ascii="Times New Roman" w:eastAsia="Times New Roman" w:hAnsi="Times New Roman"/>
                <w:color w:val="000000"/>
                <w:sz w:val="28"/>
                <w:szCs w:val="28"/>
              </w:rPr>
              <w:t>У розділі ХХ «Перехідні положення»:</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highlight w:val="white"/>
              </w:rPr>
            </w:pPr>
            <w:r>
              <w:rPr>
                <w:rFonts w:ascii="Times New Roman" w:eastAsia="Times New Roman" w:hAnsi="Times New Roman"/>
                <w:color w:val="000000"/>
                <w:sz w:val="28"/>
                <w:szCs w:val="28"/>
              </w:rPr>
              <w:t>1) )</w:t>
            </w:r>
            <w:r>
              <w:rPr>
                <w:rFonts w:ascii="Times New Roman" w:eastAsia="Times New Roman" w:hAnsi="Times New Roman"/>
                <w:color w:val="000000"/>
                <w:sz w:val="28"/>
                <w:szCs w:val="28"/>
                <w:highlight w:val="white"/>
              </w:rPr>
              <w:t xml:space="preserve">   підрозділ  4   доповнити пунктом  54 такого  змісту;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highlight w:val="white"/>
              </w:rPr>
              <w:t>«</w:t>
            </w:r>
            <w:r>
              <w:rPr>
                <w:rFonts w:ascii="Times New Roman" w:eastAsia="Times New Roman" w:hAnsi="Times New Roman"/>
                <w:color w:val="000000"/>
                <w:sz w:val="28"/>
                <w:szCs w:val="28"/>
              </w:rPr>
              <w:t>54. На період з 1 січня 2021 року до 31 грудня 2022 року платники податку на прибуток підприємств - суб’єкти ІТ індустрії мають право під час визначення об’єкта оподаткування не враховувати операції з отримання послуг інформаційного характеру, наданих суб’єктами господарювання, що перебувають на спрощеній системі оподаткування, якщо загальна вартість таких операцій не перевищує 5 відсотків об’єкта оподаткування за результатами податкового (звітного) року.».</w:t>
            </w:r>
          </w:p>
          <w:p w:rsidR="00E8568F" w:rsidRDefault="00E8568F">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ІІ. </w:t>
            </w:r>
            <w:proofErr w:type="spellStart"/>
            <w:r>
              <w:rPr>
                <w:rFonts w:ascii="Times New Roman" w:eastAsia="Times New Roman" w:hAnsi="Times New Roman"/>
                <w:color w:val="000000"/>
                <w:sz w:val="28"/>
                <w:szCs w:val="28"/>
              </w:rPr>
              <w:t>Внести</w:t>
            </w:r>
            <w:proofErr w:type="spellEnd"/>
            <w:r>
              <w:rPr>
                <w:rFonts w:ascii="Times New Roman" w:eastAsia="Times New Roman" w:hAnsi="Times New Roman"/>
                <w:color w:val="000000"/>
                <w:sz w:val="28"/>
                <w:szCs w:val="28"/>
              </w:rPr>
              <w:t xml:space="preserve"> зміни до таких законодавчих актів України:</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статтю  8 Закону України «Про збір та облік єдиного внеску на загальнообов'язкове державне соціальне страхування» (Відомості Верховної Ради України, 2011 р., № 2-3, ст. 11 із наступними змінами) доповнити  пунктом 14</w:t>
            </w:r>
            <w:r>
              <w:rPr>
                <w:rFonts w:ascii="Times New Roman" w:eastAsia="Times New Roman" w:hAnsi="Times New Roman"/>
                <w:color w:val="000000"/>
                <w:sz w:val="28"/>
                <w:szCs w:val="28"/>
                <w:vertAlign w:val="superscript"/>
              </w:rPr>
              <w:t xml:space="preserve">1 </w:t>
            </w:r>
            <w:r>
              <w:rPr>
                <w:rFonts w:ascii="Times New Roman" w:eastAsia="Times New Roman" w:hAnsi="Times New Roman"/>
                <w:color w:val="000000"/>
                <w:sz w:val="28"/>
                <w:szCs w:val="28"/>
              </w:rPr>
              <w:t>такого  змісту: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vertAlign w:val="superscript"/>
              </w:rPr>
            </w:pPr>
            <w:r>
              <w:rPr>
                <w:rFonts w:ascii="Times New Roman" w:eastAsia="Times New Roman" w:hAnsi="Times New Roman"/>
                <w:color w:val="000000"/>
                <w:sz w:val="28"/>
                <w:szCs w:val="28"/>
              </w:rPr>
              <w:t>«14</w:t>
            </w:r>
            <w:r>
              <w:rPr>
                <w:rFonts w:ascii="Times New Roman" w:eastAsia="Times New Roman" w:hAnsi="Times New Roman"/>
                <w:color w:val="000000"/>
                <w:sz w:val="28"/>
                <w:szCs w:val="28"/>
                <w:vertAlign w:val="superscript"/>
              </w:rPr>
              <w:t>1</w:t>
            </w:r>
            <w:r>
              <w:rPr>
                <w:rFonts w:ascii="Times New Roman" w:eastAsia="Times New Roman" w:hAnsi="Times New Roman"/>
                <w:color w:val="000000"/>
                <w:sz w:val="28"/>
                <w:szCs w:val="28"/>
              </w:rPr>
              <w:t xml:space="preserve">.Єдиний внесок для платників - суб’єктів ІТ індустрії, що відповідають вимогам Закону України «Про заходи щодо стимулювання розвитку ІТ-індустрії в Україні», встановлюється у розмірі 5 відсотків  визначеної пунктом 1 частини першої статті 7 цього Закону бази нарахування єдиного внеску для працівників ІТ індустрії, що відповідають вимогам Закону України «Про заходи щодо стимулювання розвитку ІТ індустрії в Україні». </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При цьому сума єдиного внеску не може бути меншою за подвійний розмір мінімального страхового внеску.»</w:t>
            </w:r>
          </w:p>
          <w:p w:rsidR="00E8568F" w:rsidRDefault="00E8568F">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ІІІ. Прикінцеві положення</w:t>
            </w:r>
          </w:p>
          <w:p w:rsidR="00E8568F" w:rsidRDefault="00F7637D">
            <w:pPr>
              <w:pStyle w:val="a3"/>
              <w:numPr>
                <w:ilvl w:val="0"/>
                <w:numId w:val="2"/>
              </w:numPr>
              <w:spacing w:after="120"/>
              <w:ind w:left="0" w:firstLine="567"/>
              <w:jc w:val="both"/>
              <w:rPr>
                <w:rFonts w:ascii="Times New Roman" w:eastAsia="Times New Roman" w:hAnsi="Times New Roman" w:cs="Times New Roman"/>
                <w:sz w:val="28"/>
                <w:szCs w:val="28"/>
              </w:rPr>
            </w:pPr>
            <w:bookmarkStart w:id="1" w:name="_heading=h.gjdgxs" w:colFirst="0" w:colLast="0"/>
            <w:bookmarkEnd w:id="1"/>
            <w:r>
              <w:rPr>
                <w:rFonts w:ascii="Times New Roman" w:eastAsia="Times New Roman" w:hAnsi="Times New Roman" w:cs="Times New Roman"/>
                <w:sz w:val="28"/>
                <w:szCs w:val="28"/>
              </w:rPr>
              <w:t>Цей Закон набирає чинності з  1  січня   2021  року,  однак не  раніше  набуття чинності Законом України «Про заходи щодо стимулювання розвитку ІТ індустрії в Україні».</w:t>
            </w:r>
          </w:p>
        </w:tc>
      </w:tr>
    </w:tbl>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2. Кабінету Міністрів України у тримісячний строк з дня набрання чинності цим Законом:</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прийняти нормативно-правові акти, необхідні для реалізації цього Закону;</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привести свої нормативно-правові акти у відповідність із цим Законом;</w:t>
      </w:r>
    </w:p>
    <w:p w:rsidR="00E8568F" w:rsidRDefault="00F7637D">
      <w:pPr>
        <w:pBdr>
          <w:top w:val="nil"/>
          <w:left w:val="nil"/>
          <w:bottom w:val="nil"/>
          <w:right w:val="nil"/>
          <w:between w:val="nil"/>
        </w:pBdr>
        <w:spacing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забезпечити прийняття, перегляд міністерствами та іншими центральними органами виконавчої влади їх нормативно-правових актів, що необхідні для реалізації  цього Закону.</w:t>
      </w:r>
    </w:p>
    <w:p w:rsidR="00E8568F" w:rsidRDefault="00E8568F">
      <w:pPr>
        <w:spacing w:after="120" w:line="240" w:lineRule="auto"/>
        <w:ind w:firstLine="567"/>
        <w:jc w:val="both"/>
        <w:rPr>
          <w:rFonts w:ascii="Times New Roman" w:eastAsia="Times New Roman" w:hAnsi="Times New Roman"/>
          <w:sz w:val="28"/>
          <w:szCs w:val="28"/>
        </w:rPr>
      </w:pPr>
    </w:p>
    <w:p w:rsidR="00E8568F" w:rsidRDefault="00F7637D">
      <w:pPr>
        <w:spacing w:after="120" w:line="240" w:lineRule="auto"/>
        <w:ind w:firstLine="567"/>
        <w:jc w:val="both"/>
        <w:rPr>
          <w:rFonts w:ascii="Times New Roman" w:eastAsia="Times New Roman" w:hAnsi="Times New Roman"/>
          <w:b/>
          <w:sz w:val="28"/>
          <w:szCs w:val="28"/>
        </w:rPr>
      </w:pPr>
      <w:r>
        <w:rPr>
          <w:rFonts w:ascii="Times New Roman" w:eastAsia="Times New Roman" w:hAnsi="Times New Roman"/>
          <w:b/>
          <w:sz w:val="28"/>
          <w:szCs w:val="28"/>
        </w:rPr>
        <w:t>Голова Верховної Ради</w:t>
      </w:r>
    </w:p>
    <w:p w:rsidR="00E8568F" w:rsidRDefault="00F7637D">
      <w:pPr>
        <w:spacing w:after="120" w:line="240" w:lineRule="auto"/>
        <w:ind w:firstLine="567"/>
        <w:jc w:val="both"/>
        <w:rPr>
          <w:rFonts w:ascii="Times New Roman" w:eastAsia="Times New Roman" w:hAnsi="Times New Roman"/>
          <w:sz w:val="28"/>
          <w:szCs w:val="28"/>
        </w:rPr>
      </w:pPr>
      <w:r>
        <w:rPr>
          <w:rFonts w:ascii="Times New Roman" w:eastAsia="Times New Roman" w:hAnsi="Times New Roman"/>
          <w:b/>
          <w:sz w:val="28"/>
          <w:szCs w:val="28"/>
        </w:rPr>
        <w:tab/>
      </w:r>
      <w:r>
        <w:rPr>
          <w:rFonts w:ascii="Times New Roman" w:eastAsia="Times New Roman" w:hAnsi="Times New Roman"/>
          <w:b/>
          <w:sz w:val="28"/>
          <w:szCs w:val="28"/>
        </w:rPr>
        <w:tab/>
        <w:t>України</w:t>
      </w:r>
    </w:p>
    <w:p w:rsidR="00E8568F" w:rsidRDefault="00E8568F"/>
    <w:sectPr w:rsidR="00E8568F">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56431"/>
    <w:multiLevelType w:val="multilevel"/>
    <w:tmpl w:val="060C7C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69E4DDF"/>
    <w:multiLevelType w:val="multilevel"/>
    <w:tmpl w:val="67B62828"/>
    <w:lvl w:ilvl="0">
      <w:start w:val="6"/>
      <w:numFmt w:val="decimal"/>
      <w:lvlText w:val="%1."/>
      <w:lvlJc w:val="left"/>
      <w:pPr>
        <w:ind w:left="1211" w:hanging="360"/>
      </w:pPr>
      <w:rPr>
        <w:b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300A19CB"/>
    <w:multiLevelType w:val="multilevel"/>
    <w:tmpl w:val="4F90A782"/>
    <w:lvl w:ilvl="0">
      <w:start w:val="3"/>
      <w:numFmt w:val="decimal"/>
      <w:lvlText w:val="%1."/>
      <w:lvlJc w:val="left"/>
      <w:pPr>
        <w:ind w:left="644"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3E755F5"/>
    <w:multiLevelType w:val="multilevel"/>
    <w:tmpl w:val="C0F29570"/>
    <w:lvl w:ilvl="0">
      <w:start w:val="1"/>
      <w:numFmt w:val="upperRoman"/>
      <w:lvlText w:val="%1."/>
      <w:lvlJc w:val="left"/>
      <w:pPr>
        <w:ind w:left="1713" w:hanging="71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4" w15:restartNumberingAfterBreak="0">
    <w:nsid w:val="41226F19"/>
    <w:multiLevelType w:val="multilevel"/>
    <w:tmpl w:val="DB96B8FE"/>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68F"/>
    <w:rsid w:val="00090F67"/>
    <w:rsid w:val="00E8568F"/>
    <w:rsid w:val="00F043CB"/>
    <w:rsid w:val="00F763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82C244-C374-46C1-8143-5F7AB17F2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2E8"/>
    <w:rPr>
      <w:rFonts w:cs="Times New Roman"/>
      <w:lang w:eastAsia="ru-RU"/>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130D27"/>
    <w:pPr>
      <w:spacing w:after="0" w:line="240" w:lineRule="auto"/>
      <w:contextualSpacing/>
    </w:pPr>
    <w:rPr>
      <w:rFonts w:asciiTheme="majorHAnsi" w:eastAsiaTheme="majorEastAsia" w:hAnsiTheme="majorHAnsi" w:cstheme="majorBidi"/>
      <w:spacing w:val="-10"/>
      <w:kern w:val="28"/>
      <w:sz w:val="56"/>
      <w:szCs w:val="56"/>
      <w:lang w:eastAsia="en-US"/>
    </w:rPr>
  </w:style>
  <w:style w:type="table" w:customStyle="1" w:styleId="20">
    <w:name w:val="2"/>
    <w:basedOn w:val="a1"/>
    <w:rsid w:val="00B612E8"/>
    <w:pPr>
      <w:widowControl w:val="0"/>
      <w:autoSpaceDE w:val="0"/>
      <w:autoSpaceDN w:val="0"/>
      <w:spacing w:after="0" w:line="240" w:lineRule="auto"/>
    </w:pPr>
    <w:rPr>
      <w:rFonts w:cs="Times New Roman"/>
      <w:lang w:val="en-US" w:eastAsia="ru-RU"/>
    </w:rPr>
    <w:tblPr>
      <w:tblStyleRowBandSize w:val="1"/>
      <w:tblStyleColBandSize w:val="1"/>
    </w:tblPr>
  </w:style>
  <w:style w:type="table" w:customStyle="1" w:styleId="10">
    <w:name w:val="1"/>
    <w:basedOn w:val="a1"/>
    <w:rsid w:val="00B612E8"/>
    <w:pPr>
      <w:widowControl w:val="0"/>
      <w:autoSpaceDE w:val="0"/>
      <w:autoSpaceDN w:val="0"/>
      <w:spacing w:after="0" w:line="240" w:lineRule="auto"/>
    </w:pPr>
    <w:rPr>
      <w:rFonts w:cs="Times New Roman"/>
      <w:lang w:val="en-US" w:eastAsia="ru-RU"/>
    </w:rPr>
    <w:tblPr>
      <w:tblStyleRowBandSize w:val="1"/>
      <w:tblStyleColBandSize w:val="1"/>
      <w:tblCellMar>
        <w:left w:w="115" w:type="dxa"/>
        <w:right w:w="115" w:type="dxa"/>
      </w:tblCellMar>
    </w:tblPr>
  </w:style>
  <w:style w:type="paragraph" w:customStyle="1" w:styleId="StyleZakonu">
    <w:name w:val="StyleZakonu"/>
    <w:basedOn w:val="a"/>
    <w:link w:val="StyleZakonu0"/>
    <w:rsid w:val="00B612E8"/>
    <w:pPr>
      <w:spacing w:after="60" w:line="220" w:lineRule="exact"/>
      <w:ind w:firstLine="284"/>
      <w:jc w:val="both"/>
    </w:pPr>
    <w:rPr>
      <w:rFonts w:ascii="Times New Roman" w:eastAsia="Times New Roman" w:hAnsi="Times New Roman"/>
      <w:sz w:val="20"/>
      <w:szCs w:val="20"/>
    </w:rPr>
  </w:style>
  <w:style w:type="character" w:customStyle="1" w:styleId="StyleZakonu0">
    <w:name w:val="StyleZakonu Знак"/>
    <w:link w:val="StyleZakonu"/>
    <w:locked/>
    <w:rsid w:val="00B612E8"/>
    <w:rPr>
      <w:rFonts w:ascii="Times New Roman" w:eastAsia="Times New Roman" w:hAnsi="Times New Roman" w:cs="Times New Roman"/>
      <w:sz w:val="20"/>
      <w:szCs w:val="20"/>
      <w:lang w:val="uk-UA" w:eastAsia="ru-RU"/>
    </w:rPr>
  </w:style>
  <w:style w:type="paragraph" w:styleId="a5">
    <w:name w:val="List Paragraph"/>
    <w:basedOn w:val="a"/>
    <w:uiPriority w:val="34"/>
    <w:qFormat/>
    <w:rsid w:val="001B425B"/>
    <w:pPr>
      <w:ind w:left="720"/>
      <w:contextualSpacing/>
    </w:pPr>
  </w:style>
  <w:style w:type="paragraph" w:styleId="a6">
    <w:name w:val="annotation text"/>
    <w:basedOn w:val="a"/>
    <w:link w:val="a7"/>
    <w:uiPriority w:val="99"/>
    <w:unhideWhenUsed/>
    <w:rsid w:val="00130D27"/>
    <w:pPr>
      <w:spacing w:after="200" w:line="240" w:lineRule="auto"/>
    </w:pPr>
    <w:rPr>
      <w:rFonts w:eastAsia="Times New Roman"/>
      <w:sz w:val="20"/>
      <w:szCs w:val="20"/>
      <w:lang w:eastAsia="en-US"/>
    </w:rPr>
  </w:style>
  <w:style w:type="character" w:customStyle="1" w:styleId="a7">
    <w:name w:val="Текст примітки Знак"/>
    <w:basedOn w:val="a0"/>
    <w:link w:val="a6"/>
    <w:uiPriority w:val="99"/>
    <w:rsid w:val="00130D27"/>
    <w:rPr>
      <w:rFonts w:ascii="Calibri" w:eastAsia="Times New Roman" w:hAnsi="Calibri" w:cs="Times New Roman"/>
      <w:sz w:val="20"/>
      <w:szCs w:val="20"/>
      <w:lang w:val="uk-UA"/>
    </w:rPr>
  </w:style>
  <w:style w:type="character" w:customStyle="1" w:styleId="a4">
    <w:name w:val="Назва Знак"/>
    <w:basedOn w:val="a0"/>
    <w:link w:val="a3"/>
    <w:uiPriority w:val="10"/>
    <w:rsid w:val="00130D27"/>
    <w:rPr>
      <w:rFonts w:asciiTheme="majorHAnsi" w:eastAsiaTheme="majorEastAsia" w:hAnsiTheme="majorHAnsi" w:cstheme="majorBidi"/>
      <w:spacing w:val="-10"/>
      <w:kern w:val="28"/>
      <w:sz w:val="56"/>
      <w:szCs w:val="56"/>
    </w:rPr>
  </w:style>
  <w:style w:type="paragraph" w:styleId="a8">
    <w:name w:val="Subtitle"/>
    <w:basedOn w:val="a"/>
    <w:next w:val="a"/>
    <w:pPr>
      <w:keepNext/>
      <w:keepLines/>
      <w:spacing w:before="360" w:after="80"/>
    </w:pPr>
    <w:rPr>
      <w:rFonts w:ascii="Georgia" w:eastAsia="Georgia" w:hAnsi="Georgia" w:cs="Georgia"/>
      <w:i/>
      <w:color w:val="666666"/>
      <w:sz w:val="48"/>
      <w:szCs w:val="48"/>
    </w:rPr>
  </w:style>
  <w:style w:type="table" w:customStyle="1" w:styleId="a9">
    <w:basedOn w:val="TableNormal"/>
    <w:tblPr>
      <w:tblStyleRowBandSize w:val="1"/>
      <w:tblStyleColBandSize w:val="1"/>
      <w:tblCellMar>
        <w:left w:w="72" w:type="dxa"/>
        <w:right w:w="72" w:type="dxa"/>
      </w:tblCellMar>
    </w:tblPr>
  </w:style>
  <w:style w:type="paragraph" w:styleId="aa">
    <w:name w:val="Balloon Text"/>
    <w:basedOn w:val="a"/>
    <w:link w:val="ab"/>
    <w:uiPriority w:val="99"/>
    <w:semiHidden/>
    <w:unhideWhenUsed/>
    <w:rsid w:val="00090F67"/>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090F6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346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PhFp1Bl6ZlHjWgPzrYVYNQB+fw==">AMUW2mWEQiQBF4DB6juCKQLmz8dQCosq8FXW1MtOyoH7tAhJze5yzmFsjy0QopbyI4IAeIURm/Aq4iQ3f8IW0V6setmiFOEYnx4RF39qh49IZUaXwdzYtXavfvTn0gZvXZwCznjBOvlh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24150</Words>
  <Characters>13766</Characters>
  <Application>Microsoft Office Word</Application>
  <DocSecurity>0</DocSecurity>
  <Lines>114</Lines>
  <Paragraphs>75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2020-08-11T08:17:00Z</cp:lastPrinted>
  <dcterms:created xsi:type="dcterms:W3CDTF">2020-08-11T09:11:00Z</dcterms:created>
  <dcterms:modified xsi:type="dcterms:W3CDTF">2020-08-11T09:11:00Z</dcterms:modified>
</cp:coreProperties>
</file>