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535" w:rsidRPr="00A72C6E" w:rsidRDefault="007E3535" w:rsidP="007E3535">
      <w:pPr>
        <w:pStyle w:val="a8"/>
        <w:tabs>
          <w:tab w:val="clear" w:pos="4677"/>
          <w:tab w:val="clear" w:pos="9355"/>
        </w:tabs>
        <w:jc w:val="center"/>
        <w:rPr>
          <w:color w:val="002060"/>
          <w:sz w:val="32"/>
          <w:szCs w:val="32"/>
          <w:lang w:val="uk-UA"/>
        </w:rPr>
      </w:pPr>
      <w:r w:rsidRPr="00A72C6E">
        <w:rPr>
          <w:noProof/>
          <w:lang w:val="uk-UA" w:eastAsia="uk-UA"/>
        </w:rPr>
        <w:drawing>
          <wp:anchor distT="360045" distB="0" distL="114300" distR="114300" simplePos="0" relativeHeight="251659264"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535" w:rsidRPr="00A72C6E" w:rsidRDefault="007E3535" w:rsidP="007E3535">
      <w:pPr>
        <w:pStyle w:val="a8"/>
        <w:tabs>
          <w:tab w:val="clear" w:pos="4677"/>
          <w:tab w:val="clear" w:pos="9355"/>
        </w:tabs>
        <w:jc w:val="center"/>
        <w:rPr>
          <w:color w:val="002060"/>
          <w:sz w:val="32"/>
          <w:szCs w:val="32"/>
          <w:lang w:val="uk-UA"/>
        </w:rPr>
      </w:pPr>
    </w:p>
    <w:p w:rsidR="007E3535" w:rsidRPr="00A72C6E" w:rsidRDefault="007E3535" w:rsidP="007E3535">
      <w:pPr>
        <w:pStyle w:val="a8"/>
        <w:tabs>
          <w:tab w:val="clear" w:pos="4677"/>
          <w:tab w:val="clear" w:pos="9355"/>
        </w:tabs>
        <w:jc w:val="center"/>
        <w:rPr>
          <w:color w:val="002060"/>
          <w:sz w:val="32"/>
          <w:szCs w:val="32"/>
          <w:lang w:val="uk-UA"/>
        </w:rPr>
      </w:pPr>
    </w:p>
    <w:p w:rsidR="007E3535" w:rsidRPr="00A72C6E" w:rsidRDefault="007E3535" w:rsidP="007E3535">
      <w:pPr>
        <w:pStyle w:val="a8"/>
        <w:tabs>
          <w:tab w:val="clear" w:pos="4677"/>
          <w:tab w:val="clear" w:pos="9355"/>
        </w:tabs>
        <w:spacing w:before="80"/>
        <w:jc w:val="center"/>
        <w:rPr>
          <w:color w:val="1829A8"/>
          <w:spacing w:val="20"/>
          <w:sz w:val="34"/>
          <w:szCs w:val="34"/>
          <w:lang w:val="uk-UA"/>
        </w:rPr>
      </w:pPr>
      <w:r w:rsidRPr="00A72C6E">
        <w:rPr>
          <w:color w:val="1829A8"/>
          <w:spacing w:val="20"/>
          <w:sz w:val="34"/>
          <w:szCs w:val="34"/>
          <w:lang w:val="uk-UA"/>
        </w:rPr>
        <w:t>ВЕРХОВНА РАДА УКРАЇНИ</w:t>
      </w:r>
    </w:p>
    <w:p w:rsidR="007E3535" w:rsidRPr="00A72C6E" w:rsidRDefault="007E3535" w:rsidP="007E3535">
      <w:pPr>
        <w:pStyle w:val="a8"/>
        <w:tabs>
          <w:tab w:val="clear" w:pos="4677"/>
          <w:tab w:val="clear" w:pos="9355"/>
        </w:tabs>
        <w:spacing w:before="100"/>
        <w:jc w:val="center"/>
        <w:rPr>
          <w:b/>
          <w:color w:val="1829A8"/>
          <w:spacing w:val="20"/>
          <w:sz w:val="24"/>
          <w:szCs w:val="24"/>
          <w:lang w:val="uk-UA"/>
        </w:rPr>
      </w:pPr>
      <w:r w:rsidRPr="00A72C6E">
        <w:rPr>
          <w:b/>
          <w:color w:val="1829A8"/>
          <w:spacing w:val="20"/>
          <w:sz w:val="24"/>
          <w:szCs w:val="24"/>
          <w:lang w:val="uk-UA"/>
        </w:rPr>
        <w:t>Комітет з питань інтеграції України з Європейським Союзом</w:t>
      </w:r>
    </w:p>
    <w:p w:rsidR="007E3535" w:rsidRPr="00A72C6E" w:rsidRDefault="007E3535" w:rsidP="007E3535">
      <w:pPr>
        <w:jc w:val="center"/>
      </w:pPr>
      <w:r w:rsidRPr="00A72C6E">
        <w:rPr>
          <w:color w:val="1829A8"/>
          <w:sz w:val="20"/>
          <w:szCs w:val="20"/>
        </w:rPr>
        <w:t xml:space="preserve">01008, м.Київ-8, вул. М. Грушевського, 5, </w:t>
      </w:r>
      <w:proofErr w:type="spellStart"/>
      <w:r w:rsidRPr="00A72C6E">
        <w:rPr>
          <w:color w:val="1829A8"/>
          <w:sz w:val="20"/>
          <w:szCs w:val="20"/>
        </w:rPr>
        <w:t>тел</w:t>
      </w:r>
      <w:proofErr w:type="spellEnd"/>
      <w:r w:rsidRPr="00A72C6E">
        <w:rPr>
          <w:color w:val="1829A8"/>
          <w:sz w:val="20"/>
          <w:szCs w:val="20"/>
        </w:rPr>
        <w:t>.: 255-34-42, факс: 255-33-13, e-</w:t>
      </w:r>
      <w:proofErr w:type="spellStart"/>
      <w:r w:rsidRPr="00A72C6E">
        <w:rPr>
          <w:color w:val="1829A8"/>
          <w:sz w:val="20"/>
          <w:szCs w:val="20"/>
        </w:rPr>
        <w:t>mail</w:t>
      </w:r>
      <w:proofErr w:type="spellEnd"/>
      <w:r w:rsidRPr="00A72C6E">
        <w:rPr>
          <w:color w:val="1829A8"/>
          <w:sz w:val="20"/>
          <w:szCs w:val="20"/>
        </w:rPr>
        <w:t>: comeuroint@v.rada.gov.ua</w:t>
      </w:r>
    </w:p>
    <w:p w:rsidR="007E3535" w:rsidRPr="00A72C6E" w:rsidRDefault="007E3535" w:rsidP="007E3535">
      <w:pPr>
        <w:jc w:val="center"/>
      </w:pPr>
    </w:p>
    <w:p w:rsidR="007E3535" w:rsidRPr="00A72C6E" w:rsidRDefault="007E3535" w:rsidP="00166E9D">
      <w:pPr>
        <w:jc w:val="center"/>
        <w:rPr>
          <w:rFonts w:eastAsia="Calibri"/>
          <w:b/>
          <w:sz w:val="28"/>
          <w:szCs w:val="28"/>
        </w:rPr>
      </w:pPr>
    </w:p>
    <w:p w:rsidR="00166E9D" w:rsidRPr="00A72C6E" w:rsidRDefault="00166E9D" w:rsidP="00166E9D">
      <w:pPr>
        <w:jc w:val="center"/>
        <w:rPr>
          <w:rFonts w:eastAsia="Calibri"/>
          <w:b/>
          <w:sz w:val="28"/>
          <w:szCs w:val="28"/>
        </w:rPr>
      </w:pPr>
      <w:r w:rsidRPr="00A72C6E">
        <w:rPr>
          <w:rFonts w:eastAsia="Calibri"/>
          <w:b/>
          <w:sz w:val="28"/>
          <w:szCs w:val="28"/>
        </w:rPr>
        <w:t>ВИСНОВОК</w:t>
      </w:r>
    </w:p>
    <w:p w:rsidR="00166E9D" w:rsidRPr="00A72C6E" w:rsidRDefault="00166E9D" w:rsidP="00166E9D">
      <w:pPr>
        <w:jc w:val="center"/>
        <w:rPr>
          <w:rFonts w:eastAsia="Calibri"/>
          <w:b/>
          <w:sz w:val="28"/>
          <w:szCs w:val="28"/>
        </w:rPr>
      </w:pPr>
      <w:r w:rsidRPr="00A72C6E">
        <w:rPr>
          <w:rFonts w:eastAsia="Calibri"/>
          <w:b/>
          <w:sz w:val="28"/>
          <w:szCs w:val="28"/>
        </w:rPr>
        <w:t xml:space="preserve">щодо проекту Закону України </w:t>
      </w:r>
    </w:p>
    <w:p w:rsidR="00166E9D" w:rsidRPr="00A72C6E" w:rsidRDefault="00166E9D" w:rsidP="00166E9D">
      <w:pPr>
        <w:suppressAutoHyphens/>
        <w:autoSpaceDE w:val="0"/>
        <w:jc w:val="center"/>
        <w:rPr>
          <w:rFonts w:eastAsia="Calibri"/>
          <w:b/>
          <w:sz w:val="28"/>
          <w:szCs w:val="28"/>
          <w:lang w:eastAsia="ar-SA"/>
        </w:rPr>
      </w:pPr>
      <w:r w:rsidRPr="00A72C6E">
        <w:rPr>
          <w:rFonts w:eastAsia="Calibri"/>
          <w:b/>
          <w:sz w:val="28"/>
          <w:szCs w:val="28"/>
          <w:lang w:eastAsia="ar-SA"/>
        </w:rPr>
        <w:t xml:space="preserve">"Про </w:t>
      </w:r>
      <w:r w:rsidR="00867D9B" w:rsidRPr="00867D9B">
        <w:rPr>
          <w:rFonts w:eastAsia="Calibri"/>
          <w:b/>
          <w:sz w:val="28"/>
          <w:szCs w:val="28"/>
          <w:lang w:eastAsia="ar-SA"/>
        </w:rPr>
        <w:t>заходи щодо стимулювання розвитку ІТ-індустрії в Україні</w:t>
      </w:r>
      <w:r w:rsidRPr="00A72C6E">
        <w:rPr>
          <w:rFonts w:eastAsia="Calibri"/>
          <w:b/>
          <w:sz w:val="28"/>
          <w:szCs w:val="28"/>
          <w:lang w:eastAsia="ar-SA"/>
        </w:rPr>
        <w:t>"</w:t>
      </w:r>
    </w:p>
    <w:p w:rsidR="00166E9D" w:rsidRPr="00A72C6E" w:rsidRDefault="00166E9D" w:rsidP="0046054F">
      <w:pPr>
        <w:jc w:val="center"/>
        <w:rPr>
          <w:bCs/>
          <w:sz w:val="28"/>
          <w:szCs w:val="28"/>
        </w:rPr>
      </w:pPr>
      <w:r w:rsidRPr="00A72C6E">
        <w:rPr>
          <w:bCs/>
          <w:sz w:val="28"/>
          <w:szCs w:val="28"/>
        </w:rPr>
        <w:t>(реєстр. №</w:t>
      </w:r>
      <w:r w:rsidR="005E2DBE" w:rsidRPr="005E2DBE">
        <w:t xml:space="preserve"> </w:t>
      </w:r>
      <w:r w:rsidR="00867D9B" w:rsidRPr="00867D9B">
        <w:rPr>
          <w:bCs/>
          <w:sz w:val="28"/>
          <w:szCs w:val="28"/>
        </w:rPr>
        <w:t>3979 від 11.08.2020</w:t>
      </w:r>
      <w:r w:rsidRPr="00A72C6E">
        <w:rPr>
          <w:bCs/>
          <w:sz w:val="28"/>
          <w:szCs w:val="28"/>
        </w:rPr>
        <w:t xml:space="preserve">, </w:t>
      </w:r>
      <w:proofErr w:type="spellStart"/>
      <w:r w:rsidRPr="00A72C6E">
        <w:rPr>
          <w:bCs/>
          <w:sz w:val="28"/>
          <w:szCs w:val="28"/>
        </w:rPr>
        <w:t>н.д</w:t>
      </w:r>
      <w:proofErr w:type="spellEnd"/>
      <w:r w:rsidRPr="00A72C6E">
        <w:rPr>
          <w:bCs/>
          <w:sz w:val="28"/>
          <w:szCs w:val="28"/>
        </w:rPr>
        <w:t xml:space="preserve">. </w:t>
      </w:r>
      <w:proofErr w:type="spellStart"/>
      <w:r w:rsidR="00867D9B">
        <w:rPr>
          <w:bCs/>
          <w:sz w:val="28"/>
          <w:szCs w:val="28"/>
        </w:rPr>
        <w:t>Є</w:t>
      </w:r>
      <w:r w:rsidR="0046054F" w:rsidRPr="00A72C6E">
        <w:rPr>
          <w:bCs/>
          <w:sz w:val="28"/>
          <w:szCs w:val="28"/>
        </w:rPr>
        <w:t>.</w:t>
      </w:r>
      <w:r w:rsidR="00867D9B" w:rsidRPr="00867D9B">
        <w:rPr>
          <w:bCs/>
          <w:sz w:val="28"/>
          <w:szCs w:val="28"/>
        </w:rPr>
        <w:t>Чернєв</w:t>
      </w:r>
      <w:proofErr w:type="spellEnd"/>
      <w:r w:rsidR="005E2DBE">
        <w:rPr>
          <w:bCs/>
          <w:sz w:val="28"/>
          <w:szCs w:val="28"/>
        </w:rPr>
        <w:t xml:space="preserve"> та </w:t>
      </w:r>
      <w:proofErr w:type="spellStart"/>
      <w:r w:rsidR="005E2DBE">
        <w:rPr>
          <w:bCs/>
          <w:sz w:val="28"/>
          <w:szCs w:val="28"/>
        </w:rPr>
        <w:t>інш</w:t>
      </w:r>
      <w:proofErr w:type="spellEnd"/>
      <w:r w:rsidR="005E2DBE">
        <w:rPr>
          <w:bCs/>
          <w:sz w:val="28"/>
          <w:szCs w:val="28"/>
        </w:rPr>
        <w:t>.</w:t>
      </w:r>
      <w:r w:rsidRPr="00A72C6E">
        <w:rPr>
          <w:bCs/>
          <w:sz w:val="28"/>
          <w:szCs w:val="28"/>
        </w:rPr>
        <w:t>)</w:t>
      </w:r>
    </w:p>
    <w:p w:rsidR="00166E9D" w:rsidRPr="00A72C6E" w:rsidRDefault="00166E9D" w:rsidP="00166E9D">
      <w:pPr>
        <w:shd w:val="clear" w:color="auto" w:fill="FFFFFF"/>
        <w:ind w:firstLine="709"/>
        <w:textAlignment w:val="baseline"/>
        <w:rPr>
          <w:rFonts w:eastAsia="Calibri"/>
          <w:b/>
          <w:bCs/>
          <w:sz w:val="28"/>
          <w:szCs w:val="28"/>
        </w:rPr>
      </w:pPr>
    </w:p>
    <w:p w:rsidR="00166E9D" w:rsidRPr="00A72C6E" w:rsidRDefault="00166E9D" w:rsidP="00166E9D">
      <w:pPr>
        <w:shd w:val="clear" w:color="auto" w:fill="FFFFFF"/>
        <w:ind w:firstLine="709"/>
        <w:jc w:val="both"/>
        <w:textAlignment w:val="baseline"/>
        <w:rPr>
          <w:rFonts w:eastAsia="Calibri"/>
          <w:b/>
          <w:sz w:val="28"/>
          <w:szCs w:val="28"/>
        </w:rPr>
      </w:pPr>
      <w:r w:rsidRPr="00A72C6E">
        <w:rPr>
          <w:rFonts w:eastAsia="Calibri"/>
          <w:b/>
          <w:bCs/>
          <w:sz w:val="28"/>
          <w:szCs w:val="28"/>
        </w:rPr>
        <w:t xml:space="preserve">1. </w:t>
      </w:r>
      <w:r w:rsidRPr="00A72C6E">
        <w:rPr>
          <w:rFonts w:eastAsia="Calibri"/>
          <w:b/>
          <w:sz w:val="28"/>
          <w:szCs w:val="28"/>
        </w:rPr>
        <w:t>Загальна характеристика законопроекту</w:t>
      </w:r>
    </w:p>
    <w:p w:rsidR="00867D9B" w:rsidRDefault="00166E9D" w:rsidP="00867D9B">
      <w:pPr>
        <w:ind w:firstLine="709"/>
        <w:jc w:val="both"/>
        <w:rPr>
          <w:sz w:val="28"/>
          <w:szCs w:val="28"/>
        </w:rPr>
      </w:pPr>
      <w:r w:rsidRPr="00A72C6E">
        <w:rPr>
          <w:sz w:val="28"/>
          <w:szCs w:val="28"/>
        </w:rPr>
        <w:t xml:space="preserve">Законопроектом пропонується </w:t>
      </w:r>
      <w:r w:rsidR="00867D9B">
        <w:rPr>
          <w:color w:val="000000"/>
          <w:sz w:val="28"/>
          <w:szCs w:val="28"/>
        </w:rPr>
        <w:t>запровад</w:t>
      </w:r>
      <w:r w:rsidR="00867D9B">
        <w:rPr>
          <w:color w:val="000000"/>
          <w:sz w:val="28"/>
          <w:szCs w:val="28"/>
        </w:rPr>
        <w:t>ити</w:t>
      </w:r>
      <w:r w:rsidR="00867D9B">
        <w:rPr>
          <w:color w:val="000000"/>
          <w:sz w:val="28"/>
          <w:szCs w:val="28"/>
        </w:rPr>
        <w:t xml:space="preserve"> низк</w:t>
      </w:r>
      <w:r w:rsidR="00867D9B">
        <w:rPr>
          <w:color w:val="000000"/>
          <w:sz w:val="28"/>
          <w:szCs w:val="28"/>
        </w:rPr>
        <w:t>у</w:t>
      </w:r>
      <w:r w:rsidR="00867D9B">
        <w:rPr>
          <w:color w:val="000000"/>
          <w:sz w:val="28"/>
          <w:szCs w:val="28"/>
        </w:rPr>
        <w:t xml:space="preserve"> заходів щодо стимулювання розвитку ІТ-індустрії</w:t>
      </w:r>
      <w:r w:rsidR="00867D9B">
        <w:rPr>
          <w:color w:val="000000"/>
          <w:sz w:val="28"/>
          <w:szCs w:val="28"/>
        </w:rPr>
        <w:t xml:space="preserve">, зокрема: </w:t>
      </w:r>
      <w:r w:rsidR="00867D9B">
        <w:rPr>
          <w:sz w:val="28"/>
          <w:szCs w:val="28"/>
        </w:rPr>
        <w:t>особливий режим оподаткування суб’єктів ІТ-індустрії відповідно до податкового законодавства;</w:t>
      </w:r>
      <w:r w:rsidR="00867D9B">
        <w:rPr>
          <w:sz w:val="28"/>
          <w:szCs w:val="28"/>
        </w:rPr>
        <w:t xml:space="preserve"> </w:t>
      </w:r>
      <w:r w:rsidR="00867D9B">
        <w:rPr>
          <w:sz w:val="28"/>
          <w:szCs w:val="28"/>
        </w:rPr>
        <w:t>особливий режим оподаткування працівників ІТ-індустрії щодо їх  доходів у вигляді заробітної плати та прирівняних до неї платежів відповідно до податкового законодавства;</w:t>
      </w:r>
      <w:r w:rsidR="00867D9B">
        <w:rPr>
          <w:sz w:val="28"/>
          <w:szCs w:val="28"/>
        </w:rPr>
        <w:t xml:space="preserve"> </w:t>
      </w:r>
      <w:r w:rsidR="00867D9B">
        <w:rPr>
          <w:sz w:val="28"/>
          <w:szCs w:val="28"/>
        </w:rPr>
        <w:t>можливість обрання контрактної форми трудового договору при оформленні трудових відносин між суб’єктами ІТ-індустрії та їх працівниками.</w:t>
      </w:r>
    </w:p>
    <w:p w:rsidR="00166E9D" w:rsidRPr="00A72C6E" w:rsidRDefault="00867D9B" w:rsidP="00867D9B">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textAlignment w:val="baseline"/>
        <w:rPr>
          <w:bCs/>
          <w:sz w:val="28"/>
          <w:szCs w:val="28"/>
        </w:rPr>
      </w:pPr>
      <w:r>
        <w:rPr>
          <w:sz w:val="28"/>
          <w:szCs w:val="28"/>
        </w:rPr>
        <w:t xml:space="preserve">При цьому передбачається, </w:t>
      </w:r>
      <w:r w:rsidR="00862EFA">
        <w:rPr>
          <w:sz w:val="28"/>
          <w:szCs w:val="28"/>
        </w:rPr>
        <w:t>що н</w:t>
      </w:r>
      <w:r w:rsidR="00862EFA" w:rsidRPr="00862EFA">
        <w:rPr>
          <w:sz w:val="28"/>
          <w:szCs w:val="28"/>
        </w:rPr>
        <w:t>а відносини, що виникають у зв’язку із запровадженням заходів стимулювання розвитку ІТ-індустрії відповідно до цього Закону, не поширюється дія Закону України «Про державну допомогу суб’єктам господарювання»</w:t>
      </w:r>
      <w:r w:rsidR="00166E9D" w:rsidRPr="00A72C6E">
        <w:rPr>
          <w:sz w:val="28"/>
          <w:szCs w:val="28"/>
        </w:rPr>
        <w:t>.</w:t>
      </w:r>
    </w:p>
    <w:p w:rsidR="00166E9D" w:rsidRPr="00A72C6E" w:rsidRDefault="00166E9D" w:rsidP="005E2DBE">
      <w:pPr>
        <w:ind w:firstLine="720"/>
        <w:contextualSpacing/>
        <w:jc w:val="both"/>
        <w:rPr>
          <w:b/>
          <w:sz w:val="28"/>
          <w:szCs w:val="28"/>
        </w:rPr>
      </w:pPr>
      <w:r w:rsidRPr="00A72C6E">
        <w:rPr>
          <w:sz w:val="28"/>
          <w:szCs w:val="28"/>
        </w:rPr>
        <w:t xml:space="preserve"> </w:t>
      </w:r>
      <w:r w:rsidRPr="00A72C6E">
        <w:rPr>
          <w:b/>
          <w:sz w:val="28"/>
          <w:szCs w:val="28"/>
        </w:rPr>
        <w:t>2. Належність законопроекту за предметом правового регулювання до сфери дії права Європейського Союзу</w:t>
      </w:r>
    </w:p>
    <w:p w:rsidR="00166E9D" w:rsidRPr="00A72C6E" w:rsidRDefault="00166E9D" w:rsidP="00562C0F">
      <w:pPr>
        <w:spacing w:before="120"/>
        <w:ind w:firstLine="720"/>
        <w:jc w:val="both"/>
        <w:rPr>
          <w:sz w:val="28"/>
          <w:szCs w:val="28"/>
        </w:rPr>
      </w:pPr>
      <w:r w:rsidRPr="00A72C6E">
        <w:rPr>
          <w:sz w:val="28"/>
          <w:szCs w:val="28"/>
        </w:rPr>
        <w:t>Положення проекту закону охоплюється міжнародно-правовими зобов’язаннями України у сфері європейської інтеграції, передбаченими у рамках Глави 4 «Оподаткування» та Глави 10 «Політика у сфері промисловості та підприємництва» Розділу V «Економічне та галузеве співробітництво»</w:t>
      </w:r>
      <w:r w:rsidR="00867D9B">
        <w:rPr>
          <w:sz w:val="28"/>
          <w:szCs w:val="28"/>
        </w:rPr>
        <w:t xml:space="preserve"> та статтею 264 </w:t>
      </w:r>
      <w:r w:rsidRPr="00A72C6E">
        <w:rPr>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5E2DBE" w:rsidRDefault="005E2DBE" w:rsidP="00166E9D">
      <w:pPr>
        <w:ind w:firstLine="708"/>
        <w:rPr>
          <w:b/>
          <w:sz w:val="28"/>
          <w:szCs w:val="28"/>
        </w:rPr>
      </w:pPr>
    </w:p>
    <w:p w:rsidR="00166E9D" w:rsidRPr="00A72C6E" w:rsidRDefault="005E2DBE" w:rsidP="00166E9D">
      <w:pPr>
        <w:ind w:firstLine="708"/>
        <w:rPr>
          <w:b/>
          <w:sz w:val="28"/>
          <w:szCs w:val="28"/>
        </w:rPr>
      </w:pPr>
      <w:r>
        <w:rPr>
          <w:b/>
          <w:sz w:val="28"/>
          <w:szCs w:val="28"/>
        </w:rPr>
        <w:t xml:space="preserve"> </w:t>
      </w:r>
      <w:r w:rsidR="00166E9D" w:rsidRPr="00A72C6E">
        <w:rPr>
          <w:b/>
          <w:sz w:val="28"/>
          <w:szCs w:val="28"/>
        </w:rPr>
        <w:t>3. Відповідність законопроекту праву ЄС</w:t>
      </w:r>
    </w:p>
    <w:p w:rsidR="00B87A37" w:rsidRDefault="00B87A37" w:rsidP="00B87A37">
      <w:pPr>
        <w:ind w:firstLine="720"/>
        <w:jc w:val="both"/>
        <w:rPr>
          <w:sz w:val="28"/>
          <w:szCs w:val="28"/>
        </w:rPr>
      </w:pPr>
      <w:r w:rsidRPr="00B87A37">
        <w:rPr>
          <w:sz w:val="28"/>
          <w:szCs w:val="28"/>
        </w:rPr>
        <w:t>Статт</w:t>
      </w:r>
      <w:r>
        <w:rPr>
          <w:sz w:val="28"/>
          <w:szCs w:val="28"/>
        </w:rPr>
        <w:t>ею</w:t>
      </w:r>
      <w:r w:rsidRPr="00B87A37">
        <w:rPr>
          <w:sz w:val="28"/>
          <w:szCs w:val="28"/>
        </w:rPr>
        <w:t xml:space="preserve"> 254</w:t>
      </w:r>
      <w:r>
        <w:rPr>
          <w:sz w:val="28"/>
          <w:szCs w:val="28"/>
        </w:rPr>
        <w:t xml:space="preserve"> Угоди про асоціацію передбачається, що с</w:t>
      </w:r>
      <w:r w:rsidRPr="00B87A37">
        <w:rPr>
          <w:sz w:val="28"/>
          <w:szCs w:val="28"/>
        </w:rPr>
        <w:t xml:space="preserve">торони визнають важливість вільної та неспотвореної конкуренції у торговельних відносинах. Сторони визнають, що </w:t>
      </w:r>
      <w:proofErr w:type="spellStart"/>
      <w:r w:rsidRPr="00B87A37">
        <w:rPr>
          <w:sz w:val="28"/>
          <w:szCs w:val="28"/>
        </w:rPr>
        <w:t>антиконкурентні</w:t>
      </w:r>
      <w:proofErr w:type="spellEnd"/>
      <w:r w:rsidRPr="00B87A37">
        <w:rPr>
          <w:sz w:val="28"/>
          <w:szCs w:val="28"/>
        </w:rPr>
        <w:t xml:space="preserve"> господарські практики та угоди потенційно можуть спотворити належне функціонування ринків та загалом зменшити позитивні наслідки лібералізації торгівлі. </w:t>
      </w:r>
    </w:p>
    <w:p w:rsidR="00B87A37" w:rsidRPr="00B87A37" w:rsidRDefault="00B87A37" w:rsidP="00B87A37">
      <w:pPr>
        <w:ind w:firstLine="720"/>
        <w:jc w:val="both"/>
        <w:rPr>
          <w:sz w:val="28"/>
          <w:szCs w:val="28"/>
        </w:rPr>
      </w:pPr>
      <w:r>
        <w:rPr>
          <w:sz w:val="28"/>
          <w:szCs w:val="28"/>
        </w:rPr>
        <w:lastRenderedPageBreak/>
        <w:t>До таких практик, зокрема відносяться:</w:t>
      </w:r>
    </w:p>
    <w:p w:rsidR="00B87A37" w:rsidRPr="00B87A37" w:rsidRDefault="00B87A37" w:rsidP="00B87A37">
      <w:pPr>
        <w:ind w:firstLine="720"/>
        <w:jc w:val="both"/>
        <w:rPr>
          <w:sz w:val="28"/>
          <w:szCs w:val="28"/>
        </w:rPr>
      </w:pPr>
      <w:r w:rsidRPr="00B87A37">
        <w:rPr>
          <w:sz w:val="28"/>
          <w:szCs w:val="28"/>
        </w:rPr>
        <w:t>(a)</w:t>
      </w:r>
      <w:r w:rsidRPr="00B87A37">
        <w:rPr>
          <w:sz w:val="28"/>
          <w:szCs w:val="28"/>
        </w:rPr>
        <w:tab/>
        <w:t>угоди, узгоджені дії суб’єктів господарювання та рішення об’єднань суб’єктів господарювання</w:t>
      </w:r>
      <w:bookmarkStart w:id="0" w:name="_GoBack"/>
      <w:bookmarkEnd w:id="0"/>
      <w:r w:rsidRPr="00B87A37">
        <w:rPr>
          <w:sz w:val="28"/>
          <w:szCs w:val="28"/>
        </w:rPr>
        <w:t xml:space="preserve">, метою або наслідками яких є перешкоджання, обмеження, спотворення чи суттєве послаблення конкуренції на території будь-якої із Сторін; </w:t>
      </w:r>
    </w:p>
    <w:p w:rsidR="00B87A37" w:rsidRPr="00B87A37" w:rsidRDefault="00B87A37" w:rsidP="00B87A37">
      <w:pPr>
        <w:ind w:firstLine="720"/>
        <w:jc w:val="both"/>
        <w:rPr>
          <w:sz w:val="28"/>
          <w:szCs w:val="28"/>
        </w:rPr>
      </w:pPr>
      <w:r w:rsidRPr="00B87A37">
        <w:rPr>
          <w:sz w:val="28"/>
          <w:szCs w:val="28"/>
        </w:rPr>
        <w:t>(b)</w:t>
      </w:r>
      <w:r w:rsidRPr="00B87A37">
        <w:rPr>
          <w:sz w:val="28"/>
          <w:szCs w:val="28"/>
        </w:rPr>
        <w:tab/>
        <w:t>зловживання одним або декількома суб’єктами господарювання домінуючим становищем на території будь-якої із Сторін; або</w:t>
      </w:r>
    </w:p>
    <w:p w:rsidR="00B87A37" w:rsidRDefault="00B87A37" w:rsidP="00B87A37">
      <w:pPr>
        <w:ind w:firstLine="720"/>
        <w:jc w:val="both"/>
        <w:rPr>
          <w:sz w:val="28"/>
          <w:szCs w:val="28"/>
        </w:rPr>
      </w:pPr>
      <w:r w:rsidRPr="00B87A37">
        <w:rPr>
          <w:sz w:val="28"/>
          <w:szCs w:val="28"/>
        </w:rPr>
        <w:t>(c)</w:t>
      </w:r>
      <w:r w:rsidRPr="00B87A37">
        <w:rPr>
          <w:sz w:val="28"/>
          <w:szCs w:val="28"/>
        </w:rPr>
        <w:tab/>
        <w:t>концентрація суб’єктів господарювання, що має наслідком монополізацію чи значне обмеження конкуренції на ринку на території будь-якої із Сторін.</w:t>
      </w:r>
    </w:p>
    <w:p w:rsidR="00862EFA" w:rsidRDefault="00B87A37" w:rsidP="00B87A37">
      <w:pPr>
        <w:ind w:firstLine="720"/>
        <w:jc w:val="both"/>
        <w:rPr>
          <w:i/>
          <w:sz w:val="28"/>
          <w:szCs w:val="28"/>
        </w:rPr>
      </w:pPr>
      <w:r>
        <w:rPr>
          <w:sz w:val="28"/>
          <w:szCs w:val="28"/>
        </w:rPr>
        <w:t>Відповідно до с</w:t>
      </w:r>
      <w:r w:rsidR="00862EFA" w:rsidRPr="00862EFA">
        <w:rPr>
          <w:sz w:val="28"/>
          <w:szCs w:val="28"/>
        </w:rPr>
        <w:t>татт</w:t>
      </w:r>
      <w:r>
        <w:rPr>
          <w:sz w:val="28"/>
          <w:szCs w:val="28"/>
        </w:rPr>
        <w:t>і</w:t>
      </w:r>
      <w:r w:rsidR="00862EFA" w:rsidRPr="00862EFA">
        <w:rPr>
          <w:sz w:val="28"/>
          <w:szCs w:val="28"/>
        </w:rPr>
        <w:t xml:space="preserve"> 255</w:t>
      </w:r>
      <w:r>
        <w:rPr>
          <w:sz w:val="28"/>
          <w:szCs w:val="28"/>
        </w:rPr>
        <w:t xml:space="preserve"> Угоди про асоціацію </w:t>
      </w:r>
      <w:r w:rsidR="00862EFA" w:rsidRPr="00862EFA">
        <w:rPr>
          <w:sz w:val="28"/>
          <w:szCs w:val="28"/>
        </w:rPr>
        <w:t xml:space="preserve">Україна та ЄС </w:t>
      </w:r>
      <w:r>
        <w:rPr>
          <w:sz w:val="28"/>
          <w:szCs w:val="28"/>
        </w:rPr>
        <w:t xml:space="preserve">взяли на себе зобов’язання </w:t>
      </w:r>
      <w:r w:rsidR="00862EFA" w:rsidRPr="00862EFA">
        <w:rPr>
          <w:sz w:val="28"/>
          <w:szCs w:val="28"/>
        </w:rPr>
        <w:t>забезпечувати застосування законодавства про конкуренцію, яке ефективно протидіє практикам та операціям, зазначеним вище в статті 254(a), (b) i (c)цієї Угоди.</w:t>
      </w:r>
      <w:r>
        <w:rPr>
          <w:sz w:val="28"/>
          <w:szCs w:val="28"/>
        </w:rPr>
        <w:t xml:space="preserve"> </w:t>
      </w:r>
      <w:r w:rsidRPr="00B87A37">
        <w:rPr>
          <w:i/>
          <w:sz w:val="28"/>
          <w:szCs w:val="28"/>
        </w:rPr>
        <w:t xml:space="preserve">Вони </w:t>
      </w:r>
      <w:r w:rsidR="00862EFA" w:rsidRPr="00B87A37">
        <w:rPr>
          <w:i/>
          <w:sz w:val="28"/>
          <w:szCs w:val="28"/>
        </w:rPr>
        <w:t>забезпечуватимуть функціонування органів, уповноважених та належним чином обладнаних для забезпечення ефективного застосування вищезазначеного законодавства про конкуренцію</w:t>
      </w:r>
      <w:r w:rsidRPr="00B87A37">
        <w:rPr>
          <w:i/>
          <w:sz w:val="28"/>
          <w:szCs w:val="28"/>
        </w:rPr>
        <w:t>.</w:t>
      </w:r>
    </w:p>
    <w:p w:rsidR="00B87A37" w:rsidRDefault="00B87A37" w:rsidP="00B87A37">
      <w:pPr>
        <w:ind w:firstLine="720"/>
        <w:jc w:val="both"/>
        <w:rPr>
          <w:sz w:val="28"/>
          <w:szCs w:val="28"/>
        </w:rPr>
      </w:pPr>
      <w:r>
        <w:rPr>
          <w:sz w:val="28"/>
          <w:szCs w:val="28"/>
        </w:rPr>
        <w:t>Також статтею 262 Угоди про асоціацію встановлено, б</w:t>
      </w:r>
      <w:r w:rsidRPr="00B87A37">
        <w:rPr>
          <w:sz w:val="28"/>
          <w:szCs w:val="28"/>
        </w:rPr>
        <w:t>удь-яка допомога, надана Україною або країнами-членами Європейського Союзу із використанням державних ресурсів, що спотворює або загрожує спотворити конкуренцію шляхом надання переваг окремим підприємствам або виробництву окремих товарів, є несумісною з належним функціонуванням цієї Угоди в тій мірі, в якій вона може впливати на торгівлю між Сторонами.</w:t>
      </w:r>
    </w:p>
    <w:p w:rsidR="00B87A37" w:rsidRPr="00B87A37" w:rsidRDefault="00B87A37" w:rsidP="00B87A37">
      <w:pPr>
        <w:ind w:firstLine="720"/>
        <w:jc w:val="both"/>
        <w:rPr>
          <w:sz w:val="28"/>
          <w:szCs w:val="28"/>
        </w:rPr>
      </w:pPr>
      <w:r w:rsidRPr="00B87A37">
        <w:rPr>
          <w:sz w:val="28"/>
          <w:szCs w:val="28"/>
        </w:rPr>
        <w:t>Відповідно до інформації, наданої Антимонопольним комітетом України, Закон України «Про державну допомогу суб’єктам господарювання» (далі - Закон) набрав чинності у повному обсязі 02.08.2017 і був прийнятий на виконання міжнародних зобов’язань України, зокрема, за Угодою про асоціацію.</w:t>
      </w:r>
    </w:p>
    <w:p w:rsidR="00B87A37" w:rsidRPr="00B87A37" w:rsidRDefault="00B87A37" w:rsidP="00B87A37">
      <w:pPr>
        <w:ind w:firstLine="720"/>
        <w:jc w:val="both"/>
        <w:rPr>
          <w:sz w:val="28"/>
          <w:szCs w:val="28"/>
        </w:rPr>
      </w:pPr>
      <w:r w:rsidRPr="00B87A37">
        <w:rPr>
          <w:sz w:val="28"/>
          <w:szCs w:val="28"/>
        </w:rPr>
        <w:t>Відповідно до пункту 1 частини першої статті І Закону державна допомога суб’єктам господарювання (далі - державна допомога) - підтримка у будь-якій формі суб’єктів господарювання за рахунок ресурсів держави чи місцевих ресурсів, що спотворює або загрожує спотворенням економічної конкуренції, створюючи переваги для виробництва окремих видів товарів чи провадження окремих видів господарської діяльності.</w:t>
      </w:r>
    </w:p>
    <w:p w:rsidR="00B87A37" w:rsidRPr="00B87A37" w:rsidRDefault="00B87A37" w:rsidP="00B87A37">
      <w:pPr>
        <w:ind w:firstLine="720"/>
        <w:jc w:val="both"/>
        <w:rPr>
          <w:sz w:val="28"/>
          <w:szCs w:val="28"/>
        </w:rPr>
      </w:pPr>
      <w:r w:rsidRPr="00B87A37">
        <w:rPr>
          <w:sz w:val="28"/>
          <w:szCs w:val="28"/>
        </w:rPr>
        <w:t>Отже, державна підтримка є державною допомогою, якщо одночасно виконуються такі умови:</w:t>
      </w:r>
    </w:p>
    <w:p w:rsidR="00B87A37" w:rsidRPr="00B87A37" w:rsidRDefault="00B87A37" w:rsidP="00B87A37">
      <w:pPr>
        <w:ind w:firstLine="720"/>
        <w:jc w:val="both"/>
        <w:rPr>
          <w:sz w:val="28"/>
          <w:szCs w:val="28"/>
        </w:rPr>
      </w:pPr>
      <w:r w:rsidRPr="00B87A37">
        <w:rPr>
          <w:sz w:val="28"/>
          <w:szCs w:val="28"/>
        </w:rPr>
        <w:t>-</w:t>
      </w:r>
      <w:r w:rsidRPr="00B87A37">
        <w:rPr>
          <w:sz w:val="28"/>
          <w:szCs w:val="28"/>
        </w:rPr>
        <w:tab/>
        <w:t>підтримка надається суб’єкту господарювання;</w:t>
      </w:r>
    </w:p>
    <w:p w:rsidR="00B87A37" w:rsidRPr="00B87A37" w:rsidRDefault="00B87A37" w:rsidP="00B87A37">
      <w:pPr>
        <w:ind w:firstLine="720"/>
        <w:jc w:val="both"/>
        <w:rPr>
          <w:sz w:val="28"/>
          <w:szCs w:val="28"/>
        </w:rPr>
      </w:pPr>
      <w:r w:rsidRPr="00B87A37">
        <w:rPr>
          <w:sz w:val="28"/>
          <w:szCs w:val="28"/>
        </w:rPr>
        <w:t>-</w:t>
      </w:r>
      <w:r w:rsidRPr="00B87A37">
        <w:rPr>
          <w:sz w:val="28"/>
          <w:szCs w:val="28"/>
        </w:rPr>
        <w:tab/>
        <w:t>фінансування державної підтримки здійснюється за рахунок ресурсів держави чи місцевих ресурсів;</w:t>
      </w:r>
    </w:p>
    <w:p w:rsidR="00B87A37" w:rsidRPr="00B87A37" w:rsidRDefault="00B87A37" w:rsidP="00B87A37">
      <w:pPr>
        <w:ind w:firstLine="720"/>
        <w:jc w:val="both"/>
        <w:rPr>
          <w:sz w:val="28"/>
          <w:szCs w:val="28"/>
        </w:rPr>
      </w:pPr>
      <w:r w:rsidRPr="00B87A37">
        <w:rPr>
          <w:sz w:val="28"/>
          <w:szCs w:val="28"/>
        </w:rPr>
        <w:t>-</w:t>
      </w:r>
      <w:r w:rsidRPr="00B87A37">
        <w:rPr>
          <w:sz w:val="28"/>
          <w:szCs w:val="28"/>
        </w:rPr>
        <w:tab/>
        <w:t>підтримка створює переваги для виробництва окремих видів товарів чи провадження окремих видів господарської діяльності;</w:t>
      </w:r>
    </w:p>
    <w:p w:rsidR="00B87A37" w:rsidRPr="00B87A37" w:rsidRDefault="00B87A37" w:rsidP="00B87A37">
      <w:pPr>
        <w:ind w:firstLine="720"/>
        <w:jc w:val="both"/>
        <w:rPr>
          <w:sz w:val="28"/>
          <w:szCs w:val="28"/>
        </w:rPr>
      </w:pPr>
      <w:r w:rsidRPr="00B87A37">
        <w:rPr>
          <w:sz w:val="28"/>
          <w:szCs w:val="28"/>
        </w:rPr>
        <w:t>-</w:t>
      </w:r>
      <w:r w:rsidRPr="00B87A37">
        <w:rPr>
          <w:sz w:val="28"/>
          <w:szCs w:val="28"/>
        </w:rPr>
        <w:tab/>
        <w:t>підтримка спотворює або загрожує спотворенням економічної конкуренції.</w:t>
      </w:r>
    </w:p>
    <w:p w:rsidR="00B87A37" w:rsidRPr="00B87A37" w:rsidRDefault="00B87A37" w:rsidP="00B87A37">
      <w:pPr>
        <w:ind w:firstLine="720"/>
        <w:jc w:val="both"/>
        <w:rPr>
          <w:sz w:val="28"/>
          <w:szCs w:val="28"/>
        </w:rPr>
      </w:pPr>
      <w:r w:rsidRPr="00B87A37">
        <w:rPr>
          <w:sz w:val="28"/>
          <w:szCs w:val="28"/>
        </w:rPr>
        <w:t>Відповідно до статті 4 Закону:</w:t>
      </w:r>
    </w:p>
    <w:p w:rsidR="00B87A37" w:rsidRPr="00B87A37" w:rsidRDefault="00B87A37" w:rsidP="00B87A37">
      <w:pPr>
        <w:ind w:firstLine="720"/>
        <w:jc w:val="both"/>
        <w:rPr>
          <w:sz w:val="28"/>
          <w:szCs w:val="28"/>
        </w:rPr>
      </w:pPr>
      <w:r w:rsidRPr="00B87A37">
        <w:rPr>
          <w:sz w:val="28"/>
          <w:szCs w:val="28"/>
        </w:rPr>
        <w:lastRenderedPageBreak/>
        <w:t>державна допомога полягає у передачі ресурсів держави чи місцевих ресурсів окремим суб’єктам господарювання, а також у втратах доходів відповідних бюджетів:</w:t>
      </w:r>
    </w:p>
    <w:p w:rsidR="00B87A37" w:rsidRPr="00B87A37" w:rsidRDefault="00B87A37" w:rsidP="00B87A37">
      <w:pPr>
        <w:ind w:firstLine="720"/>
        <w:jc w:val="both"/>
        <w:rPr>
          <w:sz w:val="28"/>
          <w:szCs w:val="28"/>
        </w:rPr>
      </w:pPr>
      <w:r w:rsidRPr="00B87A37">
        <w:rPr>
          <w:sz w:val="28"/>
          <w:szCs w:val="28"/>
        </w:rPr>
        <w:t>державна допомога може реалізовуватися, зокрема, у формі надання податкових пільг, відстрочення або розстрочення сплати податків, зборів чи інших обов’язкових платежів.</w:t>
      </w:r>
    </w:p>
    <w:p w:rsidR="00B87A37" w:rsidRPr="00B87A37" w:rsidRDefault="00B87A37" w:rsidP="00B87A37">
      <w:pPr>
        <w:ind w:firstLine="720"/>
        <w:jc w:val="both"/>
        <w:rPr>
          <w:sz w:val="28"/>
          <w:szCs w:val="28"/>
        </w:rPr>
      </w:pPr>
      <w:r w:rsidRPr="00B87A37">
        <w:rPr>
          <w:sz w:val="28"/>
          <w:szCs w:val="28"/>
        </w:rPr>
        <w:t>Статтею 6 Закону України «Про державну допомогу суб’єктам господарювання» встановлено, що рішення про визнання державної допомоги допустимою згідно із вимогами цього Закону приймає Уповноважений орган.</w:t>
      </w:r>
    </w:p>
    <w:p w:rsidR="00B87A37" w:rsidRPr="00B87A37" w:rsidRDefault="00B87A37" w:rsidP="00B87A37">
      <w:pPr>
        <w:ind w:firstLine="720"/>
        <w:jc w:val="both"/>
        <w:rPr>
          <w:sz w:val="28"/>
          <w:szCs w:val="28"/>
        </w:rPr>
      </w:pPr>
      <w:r w:rsidRPr="00B87A37">
        <w:rPr>
          <w:sz w:val="28"/>
          <w:szCs w:val="28"/>
        </w:rPr>
        <w:t>Згідно з частиною першою статті 8 Закону Уповноваженим органом у сфері державної допомоги є Антимонопольний комітет України.</w:t>
      </w:r>
    </w:p>
    <w:p w:rsidR="00B87A37" w:rsidRDefault="00B87A37" w:rsidP="00B87A37">
      <w:pPr>
        <w:ind w:firstLine="720"/>
        <w:jc w:val="both"/>
        <w:rPr>
          <w:sz w:val="28"/>
          <w:szCs w:val="28"/>
        </w:rPr>
      </w:pPr>
      <w:r w:rsidRPr="00B87A37">
        <w:rPr>
          <w:sz w:val="28"/>
          <w:szCs w:val="28"/>
        </w:rPr>
        <w:t xml:space="preserve">Відповідно до пункту 1 частини другої статті 8 Закону до повноважень Уповноваженого органу належить, </w:t>
      </w:r>
      <w:r w:rsidRPr="00CE4E94">
        <w:rPr>
          <w:i/>
          <w:sz w:val="28"/>
          <w:szCs w:val="28"/>
        </w:rPr>
        <w:t>зокрема, отримання та розгляд повідомлень про нову державну допомогу від надавачів такої допомоги у порядку, встановлену цим Законом, визначення належності до державної допомоги заходів з підтримки суб’єктів господарювання за рахунок ресурсів держави чи місцевих ресурсів, оцінювання допустимості державної допомоги для конкуренції</w:t>
      </w:r>
      <w:r w:rsidRPr="00B87A37">
        <w:rPr>
          <w:sz w:val="28"/>
          <w:szCs w:val="28"/>
        </w:rPr>
        <w:t>, прийняття рішень, передбачених цим Законом.</w:t>
      </w:r>
    </w:p>
    <w:p w:rsidR="00CE4E94" w:rsidRPr="00B87A37" w:rsidRDefault="00CE4E94" w:rsidP="00B87A37">
      <w:pPr>
        <w:ind w:firstLine="720"/>
        <w:jc w:val="both"/>
        <w:rPr>
          <w:sz w:val="28"/>
          <w:szCs w:val="28"/>
        </w:rPr>
      </w:pPr>
      <w:r w:rsidRPr="00CE4E94">
        <w:rPr>
          <w:sz w:val="28"/>
          <w:szCs w:val="28"/>
        </w:rPr>
        <w:t>Враховуючи наведене, підтримка, що буде надаватися в рамках реалізації заходів стимулювання розвитку IT-індустрії, підлягає оцінці на відповідність правилам державної допомоги.</w:t>
      </w:r>
    </w:p>
    <w:p w:rsidR="006B0450" w:rsidRDefault="0011618F" w:rsidP="003B3E40">
      <w:pPr>
        <w:ind w:firstLine="720"/>
        <w:jc w:val="both"/>
        <w:rPr>
          <w:sz w:val="28"/>
          <w:szCs w:val="28"/>
        </w:rPr>
      </w:pPr>
      <w:r>
        <w:rPr>
          <w:sz w:val="28"/>
          <w:szCs w:val="28"/>
        </w:rPr>
        <w:t>Також, зап</w:t>
      </w:r>
      <w:r w:rsidR="006B0450" w:rsidRPr="006B0450">
        <w:rPr>
          <w:sz w:val="28"/>
          <w:szCs w:val="28"/>
        </w:rPr>
        <w:t xml:space="preserve">ропонований </w:t>
      </w:r>
      <w:r>
        <w:rPr>
          <w:sz w:val="28"/>
          <w:szCs w:val="28"/>
        </w:rPr>
        <w:t xml:space="preserve">законопроектом </w:t>
      </w:r>
      <w:r w:rsidR="006B0450" w:rsidRPr="006B0450">
        <w:rPr>
          <w:sz w:val="28"/>
          <w:szCs w:val="28"/>
        </w:rPr>
        <w:t>термін набрання чинності Законом</w:t>
      </w:r>
      <w:r>
        <w:rPr>
          <w:sz w:val="28"/>
          <w:szCs w:val="28"/>
        </w:rPr>
        <w:t xml:space="preserve"> </w:t>
      </w:r>
      <w:r w:rsidR="006B0450" w:rsidRPr="006B0450">
        <w:rPr>
          <w:sz w:val="28"/>
          <w:szCs w:val="28"/>
        </w:rPr>
        <w:t>«з 1 січня 2021 року» не відповідає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w:t>
      </w:r>
      <w:proofErr w:type="spellStart"/>
      <w:r w:rsidR="006B0450" w:rsidRPr="006B0450">
        <w:rPr>
          <w:sz w:val="28"/>
          <w:szCs w:val="28"/>
        </w:rPr>
        <w:t>пп</w:t>
      </w:r>
      <w:proofErr w:type="spellEnd"/>
      <w:r w:rsidR="006B0450" w:rsidRPr="006B0450">
        <w:rPr>
          <w:sz w:val="28"/>
          <w:szCs w:val="28"/>
        </w:rPr>
        <w:t>. 4.1.9 п. 4.1 ст. 4 ПК)</w:t>
      </w:r>
      <w:r>
        <w:rPr>
          <w:sz w:val="28"/>
          <w:szCs w:val="28"/>
        </w:rPr>
        <w:t xml:space="preserve">, а також  </w:t>
      </w:r>
      <w:r w:rsidRPr="0011618F">
        <w:rPr>
          <w:sz w:val="28"/>
          <w:szCs w:val="28"/>
        </w:rPr>
        <w:t xml:space="preserve">не відповідає принципу правової визначеності, який застосовується зокрема у практиці Суду Європейського Союзу (рішення у справі С-208/90 </w:t>
      </w:r>
      <w:proofErr w:type="spellStart"/>
      <w:r w:rsidRPr="0011618F">
        <w:rPr>
          <w:sz w:val="28"/>
          <w:szCs w:val="28"/>
        </w:rPr>
        <w:t>Emmott</w:t>
      </w:r>
      <w:proofErr w:type="spellEnd"/>
      <w:r w:rsidRPr="0011618F">
        <w:rPr>
          <w:sz w:val="28"/>
          <w:szCs w:val="28"/>
        </w:rPr>
        <w:t xml:space="preserve"> (1991), ECR-I-4269, </w:t>
      </w:r>
      <w:proofErr w:type="spellStart"/>
      <w:r w:rsidRPr="0011618F">
        <w:rPr>
          <w:sz w:val="28"/>
          <w:szCs w:val="28"/>
        </w:rPr>
        <w:t>par</w:t>
      </w:r>
      <w:proofErr w:type="spellEnd"/>
      <w:r w:rsidRPr="0011618F">
        <w:rPr>
          <w:sz w:val="28"/>
          <w:szCs w:val="28"/>
        </w:rPr>
        <w:t xml:space="preserve"> 22), а тому суперечить вимогам 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r w:rsidR="006B0450" w:rsidRPr="006B0450">
        <w:rPr>
          <w:sz w:val="28"/>
          <w:szCs w:val="28"/>
        </w:rPr>
        <w:t>.</w:t>
      </w:r>
    </w:p>
    <w:p w:rsidR="00CE4E94" w:rsidRDefault="00CE4E94" w:rsidP="002D7210">
      <w:pPr>
        <w:ind w:firstLine="720"/>
        <w:jc w:val="both"/>
        <w:rPr>
          <w:sz w:val="28"/>
          <w:szCs w:val="28"/>
        </w:rPr>
      </w:pPr>
      <w:r>
        <w:rPr>
          <w:sz w:val="28"/>
          <w:szCs w:val="28"/>
        </w:rPr>
        <w:t>Положення проекту закону щодо в</w:t>
      </w:r>
      <w:r w:rsidRPr="00CE4E94">
        <w:rPr>
          <w:sz w:val="28"/>
          <w:szCs w:val="28"/>
        </w:rPr>
        <w:t xml:space="preserve">иключення з під дії Закону України «Про державну допомогу суб'єктам господарювання» підтримки, яка буде надаватися в рамках реалізації заходів стимулювання розвитку IT-індустрії, </w:t>
      </w:r>
      <w:r w:rsidRPr="00CE4E94">
        <w:rPr>
          <w:b/>
          <w:sz w:val="28"/>
          <w:szCs w:val="28"/>
        </w:rPr>
        <w:t>не відповідає міжнародним зобов’язанням України в сфері європейської інтеграції. Проект закону також потребує доопрацювання щодо термінів набрання ним чинності з метою дотримання принципу правової визначеності, стабільності та передбачуваності податкового законодавства.</w:t>
      </w:r>
    </w:p>
    <w:p w:rsidR="00CE4E94" w:rsidRDefault="00CE4E94" w:rsidP="002D7210">
      <w:pPr>
        <w:ind w:firstLine="720"/>
        <w:jc w:val="both"/>
        <w:rPr>
          <w:sz w:val="28"/>
          <w:szCs w:val="28"/>
        </w:rPr>
      </w:pPr>
    </w:p>
    <w:p w:rsidR="002D7210" w:rsidRDefault="002D7210" w:rsidP="002D7210">
      <w:pPr>
        <w:ind w:firstLine="720"/>
        <w:jc w:val="both"/>
        <w:rPr>
          <w:sz w:val="28"/>
          <w:szCs w:val="28"/>
        </w:rPr>
      </w:pPr>
    </w:p>
    <w:p w:rsidR="002D7210" w:rsidRPr="00A72C6E" w:rsidRDefault="002D7210" w:rsidP="008454A6">
      <w:pPr>
        <w:ind w:firstLine="720"/>
        <w:jc w:val="both"/>
      </w:pPr>
    </w:p>
    <w:sectPr w:rsidR="002D7210" w:rsidRPr="00A72C6E" w:rsidSect="008530D6">
      <w:footerReference w:type="default" r:id="rId8"/>
      <w:footerReference w:type="first" r:id="rId9"/>
      <w:pgSz w:w="11906" w:h="16838"/>
      <w:pgMar w:top="1134" w:right="850"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42E" w:rsidRDefault="007F442E" w:rsidP="0030323E">
      <w:r>
        <w:separator/>
      </w:r>
    </w:p>
  </w:endnote>
  <w:endnote w:type="continuationSeparator" w:id="0">
    <w:p w:rsidR="007F442E" w:rsidRDefault="007F442E" w:rsidP="00303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0D6" w:rsidRPr="008530D6" w:rsidRDefault="008530D6">
    <w:pPr>
      <w:pStyle w:val="aa"/>
      <w:rPr>
        <w:lang w:val="ru-RU"/>
      </w:rPr>
    </w:pPr>
  </w:p>
  <w:p w:rsidR="008530D6" w:rsidRDefault="008530D6">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4C" w:rsidRPr="00B86B8A" w:rsidRDefault="0068594C" w:rsidP="0068594C">
    <w:pPr>
      <w:pStyle w:val="aa"/>
      <w:rPr>
        <w:sz w:val="22"/>
        <w:szCs w:val="22"/>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2E18DC">
      <w:rPr>
        <w:sz w:val="22"/>
        <w:szCs w:val="22"/>
        <w:lang w:val="ru-RU"/>
      </w:rPr>
      <w:t xml:space="preserve">16 </w:t>
    </w:r>
    <w:proofErr w:type="spellStart"/>
    <w:r w:rsidR="002E18DC">
      <w:rPr>
        <w:sz w:val="22"/>
        <w:szCs w:val="22"/>
        <w:lang w:val="ru-RU"/>
      </w:rPr>
      <w:t>вересня</w:t>
    </w:r>
    <w:proofErr w:type="spellEnd"/>
    <w:r w:rsidR="002E18DC">
      <w:rPr>
        <w:sz w:val="22"/>
        <w:szCs w:val="22"/>
        <w:lang w:val="ru-RU"/>
      </w:rPr>
      <w:t xml:space="preserve"> 2020 року (протокол №46</w:t>
    </w:r>
    <w:r w:rsidR="00267FFA"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p w:rsidR="008530D6" w:rsidRPr="008530D6" w:rsidRDefault="008530D6">
    <w:pPr>
      <w:pStyle w:val="aa"/>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42E" w:rsidRDefault="007F442E" w:rsidP="0030323E">
      <w:r>
        <w:separator/>
      </w:r>
    </w:p>
  </w:footnote>
  <w:footnote w:type="continuationSeparator" w:id="0">
    <w:p w:rsidR="007F442E" w:rsidRDefault="007F442E" w:rsidP="00303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86"/>
    <w:rsid w:val="00050DF1"/>
    <w:rsid w:val="00057FE5"/>
    <w:rsid w:val="0007523B"/>
    <w:rsid w:val="000906FD"/>
    <w:rsid w:val="00094167"/>
    <w:rsid w:val="000A123A"/>
    <w:rsid w:val="001071D2"/>
    <w:rsid w:val="0011618F"/>
    <w:rsid w:val="0015438E"/>
    <w:rsid w:val="00160480"/>
    <w:rsid w:val="00165501"/>
    <w:rsid w:val="00166E9D"/>
    <w:rsid w:val="00181A2C"/>
    <w:rsid w:val="00183487"/>
    <w:rsid w:val="001E7A1F"/>
    <w:rsid w:val="001F2F50"/>
    <w:rsid w:val="001F5E26"/>
    <w:rsid w:val="002245DA"/>
    <w:rsid w:val="002420DC"/>
    <w:rsid w:val="00267FFA"/>
    <w:rsid w:val="002927E5"/>
    <w:rsid w:val="002A6EA2"/>
    <w:rsid w:val="002D7210"/>
    <w:rsid w:val="002E18DC"/>
    <w:rsid w:val="0030323E"/>
    <w:rsid w:val="0032012D"/>
    <w:rsid w:val="00336E84"/>
    <w:rsid w:val="00353625"/>
    <w:rsid w:val="00366478"/>
    <w:rsid w:val="003B3E40"/>
    <w:rsid w:val="003D1B12"/>
    <w:rsid w:val="003E05AE"/>
    <w:rsid w:val="00421582"/>
    <w:rsid w:val="00456987"/>
    <w:rsid w:val="0046054F"/>
    <w:rsid w:val="004725E3"/>
    <w:rsid w:val="00484D30"/>
    <w:rsid w:val="004E2C96"/>
    <w:rsid w:val="00511B80"/>
    <w:rsid w:val="00553240"/>
    <w:rsid w:val="00562C0F"/>
    <w:rsid w:val="00595977"/>
    <w:rsid w:val="005E2DBE"/>
    <w:rsid w:val="006064CC"/>
    <w:rsid w:val="00614711"/>
    <w:rsid w:val="00615584"/>
    <w:rsid w:val="006634F2"/>
    <w:rsid w:val="0068594C"/>
    <w:rsid w:val="006B0450"/>
    <w:rsid w:val="006B2FBF"/>
    <w:rsid w:val="006C2B65"/>
    <w:rsid w:val="006E2B2A"/>
    <w:rsid w:val="00727CA1"/>
    <w:rsid w:val="00737F89"/>
    <w:rsid w:val="00753164"/>
    <w:rsid w:val="00775B86"/>
    <w:rsid w:val="007E3535"/>
    <w:rsid w:val="007F1E2C"/>
    <w:rsid w:val="007F442E"/>
    <w:rsid w:val="008265C8"/>
    <w:rsid w:val="0083304C"/>
    <w:rsid w:val="008454A6"/>
    <w:rsid w:val="008530D6"/>
    <w:rsid w:val="00862EFA"/>
    <w:rsid w:val="00867D9B"/>
    <w:rsid w:val="008979AA"/>
    <w:rsid w:val="008A7B53"/>
    <w:rsid w:val="008C6A75"/>
    <w:rsid w:val="008F3B01"/>
    <w:rsid w:val="009526BF"/>
    <w:rsid w:val="00A063C6"/>
    <w:rsid w:val="00A131D3"/>
    <w:rsid w:val="00A45B72"/>
    <w:rsid w:val="00A72C6E"/>
    <w:rsid w:val="00A80C57"/>
    <w:rsid w:val="00A877B3"/>
    <w:rsid w:val="00AB1BE9"/>
    <w:rsid w:val="00AD727B"/>
    <w:rsid w:val="00AE3446"/>
    <w:rsid w:val="00AF45C1"/>
    <w:rsid w:val="00B06AE5"/>
    <w:rsid w:val="00B24BD2"/>
    <w:rsid w:val="00B34D4A"/>
    <w:rsid w:val="00B72364"/>
    <w:rsid w:val="00B8752E"/>
    <w:rsid w:val="00B87A37"/>
    <w:rsid w:val="00BC2A01"/>
    <w:rsid w:val="00BC466A"/>
    <w:rsid w:val="00BC6F4F"/>
    <w:rsid w:val="00BD7615"/>
    <w:rsid w:val="00C10315"/>
    <w:rsid w:val="00C63292"/>
    <w:rsid w:val="00C96182"/>
    <w:rsid w:val="00CD4C9D"/>
    <w:rsid w:val="00CE4E94"/>
    <w:rsid w:val="00D46B86"/>
    <w:rsid w:val="00D510C3"/>
    <w:rsid w:val="00DC7B98"/>
    <w:rsid w:val="00DD57E0"/>
    <w:rsid w:val="00E405BB"/>
    <w:rsid w:val="00EA3B76"/>
    <w:rsid w:val="00EB50D0"/>
    <w:rsid w:val="00EE13EC"/>
    <w:rsid w:val="00EE7A92"/>
    <w:rsid w:val="00F0313A"/>
    <w:rsid w:val="00F03D12"/>
    <w:rsid w:val="00F53E48"/>
    <w:rsid w:val="00F671A6"/>
    <w:rsid w:val="00F80F7C"/>
    <w:rsid w:val="00FB6B38"/>
    <w:rsid w:val="00FC14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E32E6"/>
  <w15:docId w15:val="{C8DEB792-B5C0-4B19-9707-7A0EC535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B86"/>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uiPriority w:val="99"/>
    <w:rsid w:val="00775B86"/>
    <w:pPr>
      <w:spacing w:after="60" w:line="220" w:lineRule="exact"/>
      <w:ind w:firstLine="284"/>
      <w:jc w:val="both"/>
    </w:pPr>
    <w:rPr>
      <w:sz w:val="20"/>
      <w:szCs w:val="20"/>
    </w:rPr>
  </w:style>
  <w:style w:type="character" w:customStyle="1" w:styleId="rvts9">
    <w:name w:val="rvts9"/>
    <w:basedOn w:val="a0"/>
    <w:rsid w:val="00775B86"/>
    <w:rPr>
      <w:rFonts w:cs="Times New Roman"/>
    </w:rPr>
  </w:style>
  <w:style w:type="character" w:customStyle="1" w:styleId="rvts0">
    <w:name w:val="rvts0"/>
    <w:basedOn w:val="a0"/>
    <w:rsid w:val="00A80C57"/>
  </w:style>
  <w:style w:type="character" w:customStyle="1" w:styleId="StyleZakonu0">
    <w:name w:val="StyleZakonu Знак"/>
    <w:link w:val="StyleZakonu"/>
    <w:uiPriority w:val="99"/>
    <w:locked/>
    <w:rsid w:val="00421582"/>
    <w:rPr>
      <w:rFonts w:ascii="Times New Roman" w:eastAsia="Times New Roman" w:hAnsi="Times New Roman" w:cs="Times New Roman"/>
      <w:sz w:val="20"/>
      <w:szCs w:val="20"/>
      <w:lang w:val="uk-UA" w:eastAsia="ru-RU"/>
    </w:rPr>
  </w:style>
  <w:style w:type="paragraph" w:styleId="a3">
    <w:name w:val="Body Text"/>
    <w:basedOn w:val="a"/>
    <w:link w:val="a4"/>
    <w:uiPriority w:val="99"/>
    <w:unhideWhenUsed/>
    <w:rsid w:val="006C2B65"/>
    <w:pPr>
      <w:autoSpaceDE w:val="0"/>
      <w:autoSpaceDN w:val="0"/>
      <w:spacing w:after="120"/>
    </w:pPr>
    <w:rPr>
      <w:sz w:val="28"/>
      <w:szCs w:val="28"/>
      <w:lang w:eastAsia="uk-UA"/>
    </w:rPr>
  </w:style>
  <w:style w:type="character" w:customStyle="1" w:styleId="a4">
    <w:name w:val="Основний текст Знак"/>
    <w:basedOn w:val="a0"/>
    <w:link w:val="a3"/>
    <w:uiPriority w:val="99"/>
    <w:rsid w:val="006C2B65"/>
    <w:rPr>
      <w:rFonts w:ascii="Times New Roman" w:eastAsia="Times New Roman" w:hAnsi="Times New Roman" w:cs="Times New Roman"/>
      <w:sz w:val="28"/>
      <w:szCs w:val="28"/>
      <w:lang w:val="uk-UA" w:eastAsia="uk-UA"/>
    </w:rPr>
  </w:style>
  <w:style w:type="paragraph" w:styleId="HTML">
    <w:name w:val="HTML Preformatted"/>
    <w:basedOn w:val="a"/>
    <w:link w:val="HTML0"/>
    <w:uiPriority w:val="99"/>
    <w:semiHidden/>
    <w:unhideWhenUsed/>
    <w:rsid w:val="00BC2A01"/>
    <w:rPr>
      <w:rFonts w:ascii="Consolas" w:hAnsi="Consolas"/>
      <w:sz w:val="20"/>
      <w:szCs w:val="20"/>
    </w:rPr>
  </w:style>
  <w:style w:type="character" w:customStyle="1" w:styleId="HTML0">
    <w:name w:val="Стандартний HTML Знак"/>
    <w:basedOn w:val="a0"/>
    <w:link w:val="HTML"/>
    <w:uiPriority w:val="99"/>
    <w:semiHidden/>
    <w:rsid w:val="00BC2A01"/>
    <w:rPr>
      <w:rFonts w:ascii="Consolas" w:eastAsia="Times New Roman" w:hAnsi="Consolas" w:cs="Times New Roman"/>
      <w:sz w:val="20"/>
      <w:szCs w:val="20"/>
      <w:lang w:val="uk-UA" w:eastAsia="ru-RU"/>
    </w:rPr>
  </w:style>
  <w:style w:type="paragraph" w:styleId="a5">
    <w:name w:val="footnote text"/>
    <w:basedOn w:val="a"/>
    <w:link w:val="a6"/>
    <w:uiPriority w:val="99"/>
    <w:semiHidden/>
    <w:unhideWhenUsed/>
    <w:rsid w:val="00BC2A01"/>
    <w:rPr>
      <w:sz w:val="20"/>
      <w:szCs w:val="20"/>
    </w:rPr>
  </w:style>
  <w:style w:type="character" w:customStyle="1" w:styleId="a6">
    <w:name w:val="Текст виноски Знак"/>
    <w:basedOn w:val="a0"/>
    <w:link w:val="a5"/>
    <w:uiPriority w:val="99"/>
    <w:semiHidden/>
    <w:rsid w:val="00BC2A01"/>
    <w:rPr>
      <w:rFonts w:ascii="Times New Roman" w:eastAsia="Times New Roman" w:hAnsi="Times New Roman" w:cs="Times New Roman"/>
      <w:sz w:val="20"/>
      <w:szCs w:val="20"/>
      <w:lang w:val="uk-UA" w:eastAsia="ru-RU"/>
    </w:rPr>
  </w:style>
  <w:style w:type="character" w:styleId="a7">
    <w:name w:val="footnote reference"/>
    <w:basedOn w:val="a0"/>
    <w:uiPriority w:val="99"/>
    <w:semiHidden/>
    <w:unhideWhenUsed/>
    <w:rsid w:val="00BC2A01"/>
    <w:rPr>
      <w:vertAlign w:val="superscript"/>
    </w:rPr>
  </w:style>
  <w:style w:type="paragraph" w:styleId="a8">
    <w:name w:val="header"/>
    <w:basedOn w:val="a"/>
    <w:link w:val="a9"/>
    <w:uiPriority w:val="99"/>
    <w:rsid w:val="007E3535"/>
    <w:pPr>
      <w:tabs>
        <w:tab w:val="center" w:pos="4677"/>
        <w:tab w:val="right" w:pos="9355"/>
      </w:tabs>
    </w:pPr>
    <w:rPr>
      <w:sz w:val="28"/>
      <w:szCs w:val="28"/>
      <w:lang w:val="en-US"/>
    </w:rPr>
  </w:style>
  <w:style w:type="character" w:customStyle="1" w:styleId="a9">
    <w:name w:val="Верхній колонтитул Знак"/>
    <w:basedOn w:val="a0"/>
    <w:link w:val="a8"/>
    <w:uiPriority w:val="99"/>
    <w:rsid w:val="007E3535"/>
    <w:rPr>
      <w:rFonts w:ascii="Times New Roman" w:eastAsia="Times New Roman" w:hAnsi="Times New Roman" w:cs="Times New Roman"/>
      <w:sz w:val="28"/>
      <w:szCs w:val="28"/>
      <w:lang w:val="en-US" w:eastAsia="ru-RU"/>
    </w:rPr>
  </w:style>
  <w:style w:type="paragraph" w:styleId="aa">
    <w:name w:val="footer"/>
    <w:basedOn w:val="a"/>
    <w:link w:val="ab"/>
    <w:uiPriority w:val="99"/>
    <w:unhideWhenUsed/>
    <w:rsid w:val="008530D6"/>
    <w:pPr>
      <w:tabs>
        <w:tab w:val="center" w:pos="4819"/>
        <w:tab w:val="right" w:pos="9639"/>
      </w:tabs>
    </w:pPr>
  </w:style>
  <w:style w:type="character" w:customStyle="1" w:styleId="ab">
    <w:name w:val="Нижній колонтитул Знак"/>
    <w:basedOn w:val="a0"/>
    <w:link w:val="aa"/>
    <w:uiPriority w:val="99"/>
    <w:rsid w:val="008530D6"/>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833852">
      <w:bodyDiv w:val="1"/>
      <w:marLeft w:val="0"/>
      <w:marRight w:val="0"/>
      <w:marTop w:val="0"/>
      <w:marBottom w:val="0"/>
      <w:divBdr>
        <w:top w:val="none" w:sz="0" w:space="0" w:color="auto"/>
        <w:left w:val="none" w:sz="0" w:space="0" w:color="auto"/>
        <w:bottom w:val="none" w:sz="0" w:space="0" w:color="auto"/>
        <w:right w:val="none" w:sz="0" w:space="0" w:color="auto"/>
      </w:divBdr>
    </w:div>
    <w:div w:id="425033686">
      <w:bodyDiv w:val="1"/>
      <w:marLeft w:val="0"/>
      <w:marRight w:val="0"/>
      <w:marTop w:val="0"/>
      <w:marBottom w:val="0"/>
      <w:divBdr>
        <w:top w:val="none" w:sz="0" w:space="0" w:color="auto"/>
        <w:left w:val="none" w:sz="0" w:space="0" w:color="auto"/>
        <w:bottom w:val="none" w:sz="0" w:space="0" w:color="auto"/>
        <w:right w:val="none" w:sz="0" w:space="0" w:color="auto"/>
      </w:divBdr>
    </w:div>
    <w:div w:id="428041539">
      <w:bodyDiv w:val="1"/>
      <w:marLeft w:val="0"/>
      <w:marRight w:val="0"/>
      <w:marTop w:val="0"/>
      <w:marBottom w:val="0"/>
      <w:divBdr>
        <w:top w:val="none" w:sz="0" w:space="0" w:color="auto"/>
        <w:left w:val="none" w:sz="0" w:space="0" w:color="auto"/>
        <w:bottom w:val="none" w:sz="0" w:space="0" w:color="auto"/>
        <w:right w:val="none" w:sz="0" w:space="0" w:color="auto"/>
      </w:divBdr>
    </w:div>
    <w:div w:id="593054887">
      <w:bodyDiv w:val="1"/>
      <w:marLeft w:val="0"/>
      <w:marRight w:val="0"/>
      <w:marTop w:val="0"/>
      <w:marBottom w:val="0"/>
      <w:divBdr>
        <w:top w:val="none" w:sz="0" w:space="0" w:color="auto"/>
        <w:left w:val="none" w:sz="0" w:space="0" w:color="auto"/>
        <w:bottom w:val="none" w:sz="0" w:space="0" w:color="auto"/>
        <w:right w:val="none" w:sz="0" w:space="0" w:color="auto"/>
      </w:divBdr>
    </w:div>
    <w:div w:id="654839076">
      <w:bodyDiv w:val="1"/>
      <w:marLeft w:val="0"/>
      <w:marRight w:val="0"/>
      <w:marTop w:val="0"/>
      <w:marBottom w:val="0"/>
      <w:divBdr>
        <w:top w:val="none" w:sz="0" w:space="0" w:color="auto"/>
        <w:left w:val="none" w:sz="0" w:space="0" w:color="auto"/>
        <w:bottom w:val="none" w:sz="0" w:space="0" w:color="auto"/>
        <w:right w:val="none" w:sz="0" w:space="0" w:color="auto"/>
      </w:divBdr>
    </w:div>
    <w:div w:id="664750394">
      <w:bodyDiv w:val="1"/>
      <w:marLeft w:val="0"/>
      <w:marRight w:val="0"/>
      <w:marTop w:val="0"/>
      <w:marBottom w:val="0"/>
      <w:divBdr>
        <w:top w:val="none" w:sz="0" w:space="0" w:color="auto"/>
        <w:left w:val="none" w:sz="0" w:space="0" w:color="auto"/>
        <w:bottom w:val="none" w:sz="0" w:space="0" w:color="auto"/>
        <w:right w:val="none" w:sz="0" w:space="0" w:color="auto"/>
      </w:divBdr>
    </w:div>
    <w:div w:id="1407070524">
      <w:bodyDiv w:val="1"/>
      <w:marLeft w:val="0"/>
      <w:marRight w:val="0"/>
      <w:marTop w:val="0"/>
      <w:marBottom w:val="0"/>
      <w:divBdr>
        <w:top w:val="none" w:sz="0" w:space="0" w:color="auto"/>
        <w:left w:val="none" w:sz="0" w:space="0" w:color="auto"/>
        <w:bottom w:val="none" w:sz="0" w:space="0" w:color="auto"/>
        <w:right w:val="none" w:sz="0" w:space="0" w:color="auto"/>
      </w:divBdr>
    </w:div>
    <w:div w:id="1607616920">
      <w:bodyDiv w:val="1"/>
      <w:marLeft w:val="0"/>
      <w:marRight w:val="0"/>
      <w:marTop w:val="0"/>
      <w:marBottom w:val="0"/>
      <w:divBdr>
        <w:top w:val="none" w:sz="0" w:space="0" w:color="auto"/>
        <w:left w:val="none" w:sz="0" w:space="0" w:color="auto"/>
        <w:bottom w:val="none" w:sz="0" w:space="0" w:color="auto"/>
        <w:right w:val="none" w:sz="0" w:space="0" w:color="auto"/>
      </w:divBdr>
    </w:div>
    <w:div w:id="1778403678">
      <w:bodyDiv w:val="1"/>
      <w:marLeft w:val="0"/>
      <w:marRight w:val="0"/>
      <w:marTop w:val="0"/>
      <w:marBottom w:val="0"/>
      <w:divBdr>
        <w:top w:val="none" w:sz="0" w:space="0" w:color="auto"/>
        <w:left w:val="none" w:sz="0" w:space="0" w:color="auto"/>
        <w:bottom w:val="none" w:sz="0" w:space="0" w:color="auto"/>
        <w:right w:val="none" w:sz="0" w:space="0" w:color="auto"/>
      </w:divBdr>
    </w:div>
    <w:div w:id="185279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4645</Words>
  <Characters>2648</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Фостик Богдан Володимирович</cp:lastModifiedBy>
  <cp:revision>4</cp:revision>
  <dcterms:created xsi:type="dcterms:W3CDTF">2020-09-15T09:09:00Z</dcterms:created>
  <dcterms:modified xsi:type="dcterms:W3CDTF">2020-09-15T09:56:00Z</dcterms:modified>
</cp:coreProperties>
</file>