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36721" w:rsidRPr="006E24D5" w:rsidTr="009058E1">
        <w:tc>
          <w:tcPr>
            <w:tcW w:w="11957" w:type="dxa"/>
            <w:tcBorders>
              <w:top w:val="nil"/>
              <w:left w:val="nil"/>
              <w:bottom w:val="nil"/>
              <w:right w:val="nil"/>
            </w:tcBorders>
          </w:tcPr>
          <w:p w:rsidR="00B36721" w:rsidRPr="006E24D5" w:rsidRDefault="00B36721" w:rsidP="009058E1">
            <w:pPr>
              <w:spacing w:after="0" w:line="240" w:lineRule="auto"/>
              <w:rPr>
                <w:rFonts w:eastAsia="Calibri" w:cs="Times New Roman"/>
                <w:color w:val="002060"/>
                <w:sz w:val="32"/>
                <w:szCs w:val="32"/>
                <w:lang w:val="uk-UA"/>
              </w:rPr>
            </w:pPr>
          </w:p>
          <w:p w:rsidR="00B36721" w:rsidRPr="006E24D5" w:rsidRDefault="00B36721" w:rsidP="009058E1">
            <w:pPr>
              <w:spacing w:after="0" w:line="240" w:lineRule="auto"/>
              <w:rPr>
                <w:rFonts w:eastAsia="Calibri" w:cs="Times New Roman"/>
                <w:color w:val="002060"/>
                <w:sz w:val="32"/>
                <w:szCs w:val="32"/>
                <w:lang w:val="uk-UA"/>
              </w:rPr>
            </w:pPr>
          </w:p>
          <w:p w:rsidR="00B36721" w:rsidRPr="006E24D5" w:rsidRDefault="00B36721" w:rsidP="009058E1">
            <w:pPr>
              <w:spacing w:after="0" w:line="240" w:lineRule="auto"/>
              <w:rPr>
                <w:rFonts w:eastAsia="Calibri" w:cs="Times New Roman"/>
                <w:color w:val="002060"/>
                <w:sz w:val="32"/>
                <w:szCs w:val="32"/>
                <w:lang w:val="uk-UA"/>
              </w:rPr>
            </w:pPr>
          </w:p>
          <w:p w:rsidR="00B36721" w:rsidRPr="006E24D5" w:rsidRDefault="00B36721" w:rsidP="009058E1">
            <w:pPr>
              <w:spacing w:before="160" w:after="0" w:line="240" w:lineRule="auto"/>
              <w:ind w:right="34"/>
              <w:jc w:val="center"/>
              <w:rPr>
                <w:rFonts w:eastAsia="Calibri" w:cs="Times New Roman"/>
                <w:color w:val="1829A8"/>
                <w:spacing w:val="20"/>
                <w:sz w:val="32"/>
                <w:szCs w:val="32"/>
                <w:lang w:val="uk-UA"/>
              </w:rPr>
            </w:pPr>
            <w:r w:rsidRPr="006E24D5">
              <w:rPr>
                <w:rFonts w:ascii="Calibri" w:eastAsia="Calibri" w:hAnsi="Calibri" w:cs="Times New Roman"/>
                <w:noProof/>
                <w:spacing w:val="20"/>
                <w:sz w:val="32"/>
                <w:szCs w:val="32"/>
                <w:lang w:val="uk-UA" w:eastAsia="uk-UA"/>
              </w:rPr>
              <w:drawing>
                <wp:anchor distT="360045" distB="0" distL="114300" distR="114300" simplePos="0" relativeHeight="251659264" behindDoc="0" locked="0" layoutInCell="1" allowOverlap="1" wp14:anchorId="125B2F08" wp14:editId="4F27F722">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6E24D5">
              <w:rPr>
                <w:rFonts w:eastAsia="Calibri" w:cs="Times New Roman"/>
                <w:color w:val="1829A8"/>
                <w:spacing w:val="20"/>
                <w:sz w:val="32"/>
                <w:szCs w:val="32"/>
                <w:lang w:val="uk-UA"/>
              </w:rPr>
              <w:t>АПАРАТ ВЕРХОВНОЇ РАДИ УКРАЇНИ</w:t>
            </w:r>
          </w:p>
          <w:p w:rsidR="00B36721" w:rsidRPr="006E24D5" w:rsidRDefault="00B36721" w:rsidP="009058E1">
            <w:pPr>
              <w:spacing w:before="200" w:after="0" w:line="240" w:lineRule="auto"/>
              <w:jc w:val="center"/>
              <w:rPr>
                <w:rFonts w:eastAsia="Calibri" w:cs="Times New Roman"/>
                <w:b/>
                <w:color w:val="1829A8"/>
                <w:spacing w:val="20"/>
                <w:sz w:val="24"/>
                <w:szCs w:val="24"/>
                <w:lang w:val="uk-UA"/>
              </w:rPr>
            </w:pPr>
            <w:r w:rsidRPr="006E24D5">
              <w:rPr>
                <w:rFonts w:eastAsia="Calibri" w:cs="Times New Roman"/>
                <w:b/>
                <w:color w:val="1829A8"/>
                <w:spacing w:val="20"/>
                <w:sz w:val="24"/>
                <w:szCs w:val="24"/>
                <w:lang w:val="uk-UA"/>
              </w:rPr>
              <w:t>Головне юридичне управління</w:t>
            </w:r>
          </w:p>
          <w:p w:rsidR="00B36721" w:rsidRPr="006E24D5" w:rsidRDefault="00B36721" w:rsidP="009058E1">
            <w:pPr>
              <w:spacing w:before="160" w:after="120" w:line="240" w:lineRule="auto"/>
              <w:jc w:val="center"/>
              <w:rPr>
                <w:rFonts w:ascii="Calibri" w:eastAsia="Calibri" w:hAnsi="Calibri" w:cs="Times New Roman"/>
                <w:color w:val="002060"/>
                <w:sz w:val="20"/>
                <w:szCs w:val="20"/>
                <w:lang w:val="uk-UA"/>
              </w:rPr>
            </w:pPr>
            <w:r w:rsidRPr="006E24D5">
              <w:rPr>
                <w:rFonts w:eastAsia="Calibri" w:cs="Times New Roman"/>
                <w:color w:val="1829A8"/>
                <w:sz w:val="20"/>
                <w:szCs w:val="20"/>
                <w:lang w:val="uk-UA"/>
              </w:rPr>
              <w:t>01008, м.Київ-8, вул. М. Грушевського, 5, тел.:255-20-76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36721" w:rsidRPr="006E24D5" w:rsidTr="009058E1">
        <w:tc>
          <w:tcPr>
            <w:tcW w:w="1087" w:type="dxa"/>
            <w:tcBorders>
              <w:top w:val="nil"/>
            </w:tcBorders>
          </w:tcPr>
          <w:p w:rsidR="00B36721" w:rsidRPr="006E24D5" w:rsidRDefault="00B36721" w:rsidP="009058E1">
            <w:pPr>
              <w:rPr>
                <w:color w:val="002060"/>
                <w:lang w:val="uk-UA"/>
              </w:rPr>
            </w:pPr>
          </w:p>
        </w:tc>
        <w:tc>
          <w:tcPr>
            <w:tcW w:w="9714" w:type="dxa"/>
          </w:tcPr>
          <w:p w:rsidR="00B36721" w:rsidRPr="006E24D5" w:rsidRDefault="00B36721" w:rsidP="009058E1">
            <w:pPr>
              <w:rPr>
                <w:color w:val="002060"/>
                <w:lang w:val="uk-UA"/>
              </w:rPr>
            </w:pPr>
          </w:p>
        </w:tc>
        <w:tc>
          <w:tcPr>
            <w:tcW w:w="1086" w:type="dxa"/>
            <w:tcBorders>
              <w:top w:val="nil"/>
            </w:tcBorders>
          </w:tcPr>
          <w:p w:rsidR="00B36721" w:rsidRPr="006E24D5" w:rsidRDefault="00B36721" w:rsidP="009058E1">
            <w:pPr>
              <w:rPr>
                <w:color w:val="002060"/>
                <w:lang w:val="uk-UA"/>
              </w:rPr>
            </w:pPr>
          </w:p>
        </w:tc>
      </w:tr>
    </w:tbl>
    <w:p w:rsidR="00B36721" w:rsidRPr="004961E5" w:rsidRDefault="00B36721" w:rsidP="00B36721">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До № </w:t>
      </w:r>
      <w:r>
        <w:rPr>
          <w:rFonts w:eastAsia="Times New Roman" w:cs="Times New Roman"/>
          <w:sz w:val="20"/>
          <w:szCs w:val="20"/>
          <w:lang w:val="uk-UA" w:eastAsia="ru-RU"/>
        </w:rPr>
        <w:t>3959-1</w:t>
      </w:r>
    </w:p>
    <w:p w:rsidR="00B36721" w:rsidRPr="006E24D5" w:rsidRDefault="00B36721" w:rsidP="00B36721">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від </w:t>
      </w:r>
      <w:r w:rsidRPr="004961E5">
        <w:rPr>
          <w:rFonts w:eastAsia="Times New Roman" w:cs="Times New Roman"/>
          <w:sz w:val="20"/>
          <w:szCs w:val="20"/>
          <w:lang w:eastAsia="ru-RU"/>
        </w:rPr>
        <w:t>25.08.2020</w:t>
      </w:r>
    </w:p>
    <w:p w:rsidR="00B36721" w:rsidRPr="006E24D5" w:rsidRDefault="00B36721" w:rsidP="00B36721">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(друге читання)</w:t>
      </w:r>
    </w:p>
    <w:p w:rsidR="00B36721" w:rsidRDefault="00B36721" w:rsidP="00B36721">
      <w:pPr>
        <w:rPr>
          <w:rFonts w:eastAsia="Times New Roman" w:cs="Times New Roman"/>
          <w:szCs w:val="28"/>
          <w:lang w:val="uk-UA" w:eastAsia="ru-RU"/>
        </w:rPr>
      </w:pPr>
    </w:p>
    <w:p w:rsidR="00BE7555" w:rsidRDefault="00BE7555" w:rsidP="00B36721">
      <w:pPr>
        <w:rPr>
          <w:rFonts w:eastAsia="Times New Roman" w:cs="Times New Roman"/>
          <w:szCs w:val="28"/>
          <w:lang w:val="uk-UA" w:eastAsia="ru-RU"/>
        </w:rPr>
      </w:pPr>
    </w:p>
    <w:p w:rsidR="00BE7555" w:rsidRPr="006E24D5" w:rsidRDefault="00BE7555" w:rsidP="00B36721">
      <w:pPr>
        <w:rPr>
          <w:rFonts w:eastAsia="Times New Roman" w:cs="Times New Roman"/>
          <w:szCs w:val="28"/>
          <w:lang w:val="uk-UA" w:eastAsia="ru-RU"/>
        </w:rPr>
      </w:pPr>
    </w:p>
    <w:p w:rsidR="00B36721" w:rsidRPr="00BE7555" w:rsidRDefault="00B36721" w:rsidP="00B36721">
      <w:pPr>
        <w:spacing w:after="0" w:line="240" w:lineRule="auto"/>
        <w:jc w:val="center"/>
        <w:rPr>
          <w:rFonts w:eastAsia="Times New Roman" w:cs="Times New Roman"/>
          <w:b/>
          <w:szCs w:val="28"/>
          <w:lang w:val="uk-UA" w:eastAsia="ru-RU"/>
        </w:rPr>
      </w:pPr>
      <w:r w:rsidRPr="00BE7555">
        <w:rPr>
          <w:rFonts w:eastAsia="Times New Roman" w:cs="Times New Roman"/>
          <w:b/>
          <w:szCs w:val="28"/>
          <w:lang w:val="uk-UA" w:eastAsia="ru-RU"/>
        </w:rPr>
        <w:t>ЗАУВАЖЕННЯ</w:t>
      </w:r>
    </w:p>
    <w:p w:rsidR="00B36721" w:rsidRPr="00BE7555" w:rsidRDefault="00B36721" w:rsidP="00B36721">
      <w:pPr>
        <w:spacing w:after="0" w:line="240" w:lineRule="auto"/>
        <w:jc w:val="center"/>
        <w:rPr>
          <w:rFonts w:eastAsia="Times New Roman" w:cs="Times New Roman"/>
          <w:b/>
          <w:szCs w:val="28"/>
          <w:lang w:val="uk-UA" w:eastAsia="ru-RU"/>
        </w:rPr>
      </w:pPr>
      <w:r w:rsidRPr="00BE7555">
        <w:rPr>
          <w:rFonts w:eastAsia="Times New Roman" w:cs="Times New Roman"/>
          <w:b/>
          <w:szCs w:val="28"/>
          <w:lang w:val="uk-UA" w:eastAsia="ru-RU"/>
        </w:rPr>
        <w:t>до проекту Закону України</w:t>
      </w:r>
    </w:p>
    <w:p w:rsidR="00B36721" w:rsidRPr="00BE7555" w:rsidRDefault="00B36721" w:rsidP="00B36721">
      <w:pPr>
        <w:pStyle w:val="a4"/>
        <w:ind w:firstLine="709"/>
        <w:jc w:val="center"/>
        <w:rPr>
          <w:b/>
          <w:szCs w:val="28"/>
          <w:lang w:eastAsia="ru-RU"/>
        </w:rPr>
      </w:pPr>
      <w:r w:rsidRPr="00BE7555">
        <w:rPr>
          <w:b/>
          <w:szCs w:val="28"/>
          <w:lang w:eastAsia="ru-RU"/>
        </w:rPr>
        <w:t xml:space="preserve"> </w:t>
      </w:r>
      <w:r w:rsidR="001214CC">
        <w:rPr>
          <w:b/>
          <w:sz w:val="28"/>
          <w:szCs w:val="28"/>
          <w:lang w:eastAsia="ru-RU"/>
        </w:rPr>
        <w:t>п</w:t>
      </w:r>
      <w:r w:rsidRPr="00BE7555">
        <w:rPr>
          <w:rFonts w:cs="Calibri"/>
          <w:b/>
          <w:bCs/>
          <w:sz w:val="28"/>
          <w:szCs w:val="28"/>
        </w:rPr>
        <w:t>ро внесення змін до Кодексу України про адміністративні правопорушення, Кримінального та Кримінального процесуального кодексів України щодо запровадження діяльності Бюро економічної безпеки України та пов’язаного з цим удосконалення роботи деяких державних правоохоронних органів</w:t>
      </w:r>
    </w:p>
    <w:p w:rsidR="00B36721" w:rsidRPr="00BE7555" w:rsidRDefault="00B36721" w:rsidP="00B36721">
      <w:pPr>
        <w:spacing w:after="0" w:line="240" w:lineRule="auto"/>
        <w:jc w:val="center"/>
        <w:rPr>
          <w:rFonts w:eastAsia="Times New Roman" w:cs="Times New Roman"/>
          <w:szCs w:val="28"/>
          <w:lang w:val="uk-UA" w:eastAsia="ru-RU"/>
        </w:rPr>
      </w:pPr>
      <w:r w:rsidRPr="00BE7555">
        <w:rPr>
          <w:rFonts w:eastAsia="Times New Roman" w:cs="Times New Roman"/>
          <w:szCs w:val="28"/>
          <w:lang w:val="uk-UA" w:eastAsia="ru-RU"/>
        </w:rPr>
        <w:t>(реєстраційний № 3959-1)</w:t>
      </w:r>
    </w:p>
    <w:p w:rsidR="00B36721" w:rsidRDefault="00B36721" w:rsidP="00B36721">
      <w:pPr>
        <w:spacing w:after="0" w:line="240" w:lineRule="auto"/>
        <w:ind w:firstLine="709"/>
        <w:jc w:val="center"/>
        <w:rPr>
          <w:rFonts w:eastAsia="Times New Roman" w:cs="Times New Roman"/>
          <w:szCs w:val="28"/>
          <w:lang w:val="uk-UA" w:eastAsia="ru-RU"/>
        </w:rPr>
      </w:pPr>
    </w:p>
    <w:p w:rsidR="00BE7555" w:rsidRPr="00BE7555" w:rsidRDefault="00BE7555" w:rsidP="00B36721">
      <w:pPr>
        <w:spacing w:after="0" w:line="240" w:lineRule="auto"/>
        <w:ind w:firstLine="709"/>
        <w:jc w:val="center"/>
        <w:rPr>
          <w:rFonts w:eastAsia="Times New Roman" w:cs="Times New Roman"/>
          <w:szCs w:val="28"/>
          <w:lang w:val="uk-UA" w:eastAsia="ru-RU"/>
        </w:rPr>
      </w:pPr>
    </w:p>
    <w:p w:rsidR="00B36721" w:rsidRPr="00BE7555" w:rsidRDefault="00B36721" w:rsidP="00B36721">
      <w:pPr>
        <w:spacing w:after="0" w:line="240" w:lineRule="auto"/>
        <w:ind w:firstLine="540"/>
        <w:jc w:val="both"/>
        <w:rPr>
          <w:rFonts w:eastAsia="Times New Roman" w:cs="Times New Roman"/>
          <w:szCs w:val="28"/>
          <w:lang w:val="uk-UA" w:eastAsia="ru-RU"/>
        </w:rPr>
      </w:pPr>
      <w:r w:rsidRPr="00BE7555">
        <w:rPr>
          <w:rFonts w:eastAsia="Times New Roman" w:cs="Times New Roman"/>
          <w:szCs w:val="28"/>
          <w:lang w:val="uk-UA" w:eastAsia="ru-RU"/>
        </w:rPr>
        <w:t xml:space="preserve">У Головному юридичному управлінні </w:t>
      </w:r>
      <w:r w:rsidR="0009142D">
        <w:rPr>
          <w:rFonts w:eastAsia="Times New Roman" w:cs="Times New Roman"/>
          <w:szCs w:val="28"/>
          <w:lang w:val="uk-UA" w:eastAsia="ru-RU"/>
        </w:rPr>
        <w:t xml:space="preserve">повторно </w:t>
      </w:r>
      <w:r w:rsidRPr="00BE7555">
        <w:rPr>
          <w:rFonts w:eastAsia="Times New Roman" w:cs="Times New Roman"/>
          <w:szCs w:val="28"/>
          <w:lang w:val="uk-UA" w:eastAsia="ru-RU"/>
        </w:rPr>
        <w:t xml:space="preserve">розглянуто підготовлений до другого читання Комітетом з питань правоохоронної діяльності проект Закону України </w:t>
      </w:r>
      <w:r w:rsidR="001214CC">
        <w:rPr>
          <w:rFonts w:eastAsia="Times New Roman" w:cs="Times New Roman"/>
          <w:szCs w:val="28"/>
          <w:lang w:val="uk-UA" w:eastAsia="ru-RU"/>
        </w:rPr>
        <w:t>п</w:t>
      </w:r>
      <w:r w:rsidRPr="00BE7555">
        <w:rPr>
          <w:rFonts w:eastAsia="Times New Roman" w:cs="Times New Roman"/>
          <w:szCs w:val="28"/>
          <w:lang w:val="uk-UA" w:eastAsia="ru-RU"/>
        </w:rPr>
        <w:t>ро внесення змін до Кодексу України про адміністративні правопорушення, Кримінального та Кримінального процесуального кодексів України щодо запровадження діяльності Бюро економічної безпеки України та пов’язаного з цим удосконалення роботи деяких д</w:t>
      </w:r>
      <w:r w:rsidR="001214CC">
        <w:rPr>
          <w:rFonts w:eastAsia="Times New Roman" w:cs="Times New Roman"/>
          <w:szCs w:val="28"/>
          <w:lang w:val="uk-UA" w:eastAsia="ru-RU"/>
        </w:rPr>
        <w:t>ержавних правоохоронних органів</w:t>
      </w:r>
      <w:r w:rsidRPr="00BE7555">
        <w:rPr>
          <w:rFonts w:eastAsia="Times New Roman" w:cs="Times New Roman"/>
          <w:szCs w:val="28"/>
          <w:lang w:val="uk-UA" w:eastAsia="ru-RU"/>
        </w:rPr>
        <w:t xml:space="preserve"> (далі – законопроект), у зв’язку з чим висловлюються такі зауваження.</w:t>
      </w:r>
    </w:p>
    <w:p w:rsidR="00B36721" w:rsidRPr="00BE7555" w:rsidRDefault="00B36721" w:rsidP="00B36721">
      <w:pPr>
        <w:widowControl w:val="0"/>
        <w:tabs>
          <w:tab w:val="num" w:pos="0"/>
          <w:tab w:val="left" w:pos="540"/>
          <w:tab w:val="num" w:pos="720"/>
        </w:tabs>
        <w:spacing w:after="0" w:line="240" w:lineRule="auto"/>
        <w:ind w:firstLine="709"/>
        <w:jc w:val="both"/>
        <w:rPr>
          <w:rFonts w:eastAsia="Calibri" w:cs="Times New Roman"/>
          <w:lang w:val="uk-UA"/>
        </w:rPr>
      </w:pPr>
    </w:p>
    <w:p w:rsidR="00B36721" w:rsidRPr="00BE7555" w:rsidRDefault="003520BF" w:rsidP="00BE7555">
      <w:pPr>
        <w:spacing w:after="0" w:line="256" w:lineRule="auto"/>
        <w:ind w:firstLine="709"/>
        <w:rPr>
          <w:rFonts w:eastAsia="Calibri" w:cs="Times New Roman"/>
          <w:b/>
          <w:szCs w:val="28"/>
          <w:lang w:val="uk-UA"/>
        </w:rPr>
      </w:pPr>
      <w:r>
        <w:rPr>
          <w:rFonts w:eastAsia="Calibri" w:cs="Times New Roman"/>
          <w:b/>
          <w:szCs w:val="28"/>
          <w:lang w:val="uk-UA"/>
        </w:rPr>
        <w:t>Щодо змін</w:t>
      </w:r>
      <w:r w:rsidR="00B36721" w:rsidRPr="00BE7555">
        <w:rPr>
          <w:rFonts w:eastAsia="Calibri" w:cs="Times New Roman"/>
          <w:b/>
          <w:szCs w:val="28"/>
          <w:lang w:val="uk-UA"/>
        </w:rPr>
        <w:t xml:space="preserve"> до Кодексу України про адміністративні правопорушення</w:t>
      </w:r>
    </w:p>
    <w:p w:rsidR="00BE7555" w:rsidRPr="00BE7555" w:rsidRDefault="00BE7555" w:rsidP="00BE7555">
      <w:pPr>
        <w:spacing w:after="0" w:line="256" w:lineRule="auto"/>
        <w:ind w:firstLine="709"/>
        <w:rPr>
          <w:rFonts w:eastAsia="Calibri" w:cs="Times New Roman"/>
          <w:b/>
          <w:szCs w:val="28"/>
          <w:lang w:val="uk-UA"/>
        </w:rPr>
      </w:pPr>
    </w:p>
    <w:p w:rsidR="00BE7555" w:rsidRPr="00BE7555" w:rsidRDefault="00BE7555" w:rsidP="00BE7555">
      <w:pPr>
        <w:spacing w:after="0" w:line="256" w:lineRule="auto"/>
        <w:ind w:firstLine="709"/>
        <w:jc w:val="both"/>
        <w:rPr>
          <w:rFonts w:eastAsia="Calibri" w:cs="Times New Roman"/>
          <w:szCs w:val="28"/>
          <w:lang w:val="uk-UA"/>
        </w:rPr>
      </w:pPr>
      <w:r w:rsidRPr="00BE7555">
        <w:rPr>
          <w:rFonts w:eastAsia="Calibri" w:cs="Times New Roman"/>
          <w:szCs w:val="28"/>
          <w:lang w:val="uk-UA"/>
        </w:rPr>
        <w:t>1. Проектом пропонується статтю 184</w:t>
      </w:r>
      <w:r w:rsidRPr="00BE7555">
        <w:rPr>
          <w:rFonts w:eastAsia="Calibri" w:cs="Times New Roman"/>
          <w:szCs w:val="28"/>
          <w:vertAlign w:val="superscript"/>
          <w:lang w:val="uk-UA"/>
        </w:rPr>
        <w:t>3</w:t>
      </w:r>
      <w:r w:rsidRPr="00BE7555">
        <w:rPr>
          <w:rFonts w:eastAsia="Calibri" w:cs="Times New Roman"/>
          <w:szCs w:val="28"/>
          <w:lang w:val="uk-UA"/>
        </w:rPr>
        <w:t xml:space="preserve"> Кодексу України про</w:t>
      </w:r>
      <w:r w:rsidR="003520BF">
        <w:rPr>
          <w:rFonts w:eastAsia="Calibri" w:cs="Times New Roman"/>
          <w:szCs w:val="28"/>
          <w:lang w:val="uk-UA"/>
        </w:rPr>
        <w:t xml:space="preserve"> адміністративні правопорушення</w:t>
      </w:r>
      <w:r w:rsidRPr="00BE7555">
        <w:rPr>
          <w:rFonts w:eastAsia="Calibri" w:cs="Times New Roman"/>
          <w:szCs w:val="28"/>
          <w:lang w:val="uk-UA"/>
        </w:rPr>
        <w:t xml:space="preserve"> викласти в новій редакції. При цьому слід зазначити, що використання у частинах</w:t>
      </w:r>
      <w:r w:rsidR="003520BF">
        <w:rPr>
          <w:rFonts w:eastAsia="Calibri" w:cs="Times New Roman"/>
          <w:szCs w:val="28"/>
          <w:lang w:val="uk-UA"/>
        </w:rPr>
        <w:t xml:space="preserve"> першій і другій цієї статті </w:t>
      </w:r>
      <w:r w:rsidR="009E3091">
        <w:rPr>
          <w:rFonts w:eastAsia="Calibri" w:cs="Times New Roman"/>
          <w:szCs w:val="28"/>
          <w:lang w:val="uk-UA"/>
        </w:rPr>
        <w:t>застереження</w:t>
      </w:r>
      <w:r w:rsidRPr="00BE7555">
        <w:rPr>
          <w:rFonts w:eastAsia="Calibri" w:cs="Times New Roman"/>
          <w:szCs w:val="28"/>
          <w:lang w:val="uk-UA"/>
        </w:rPr>
        <w:t xml:space="preserve"> «за відсутності ознак діяння, передбаченого Кримінальним кодексом України» є зайвим, оскільки відповідно до частини другої статті 9 Кодексу України про адміністративні правопорушення адміністративна відповідальність за правопорушення, передбачені цим Кодексом, настає, якщо ці порушення за своїм характером не тягнуть за собою відповідно до закону кримінальної відповідальності.</w:t>
      </w:r>
    </w:p>
    <w:p w:rsidR="00B36721" w:rsidRPr="00B36721" w:rsidRDefault="00B36721" w:rsidP="00BE7555">
      <w:pPr>
        <w:widowControl w:val="0"/>
        <w:tabs>
          <w:tab w:val="num" w:pos="0"/>
          <w:tab w:val="left" w:pos="540"/>
          <w:tab w:val="num" w:pos="720"/>
        </w:tabs>
        <w:spacing w:after="0" w:line="240" w:lineRule="auto"/>
        <w:ind w:firstLine="709"/>
        <w:jc w:val="both"/>
        <w:rPr>
          <w:rFonts w:eastAsia="Calibri" w:cs="Times New Roman"/>
          <w:highlight w:val="yellow"/>
          <w:lang w:val="uk-UA"/>
        </w:rPr>
      </w:pPr>
    </w:p>
    <w:p w:rsidR="00B36721" w:rsidRPr="00835620" w:rsidRDefault="00B36721" w:rsidP="00BE7555">
      <w:pPr>
        <w:widowControl w:val="0"/>
        <w:tabs>
          <w:tab w:val="num" w:pos="0"/>
          <w:tab w:val="left" w:pos="540"/>
          <w:tab w:val="num" w:pos="720"/>
        </w:tabs>
        <w:spacing w:after="0" w:line="240" w:lineRule="auto"/>
        <w:ind w:firstLine="709"/>
        <w:jc w:val="both"/>
        <w:rPr>
          <w:rFonts w:eastAsia="Calibri" w:cs="Times New Roman"/>
          <w:b/>
          <w:lang w:val="uk-UA"/>
        </w:rPr>
      </w:pPr>
      <w:r w:rsidRPr="00835620">
        <w:rPr>
          <w:rFonts w:eastAsia="Calibri" w:cs="Times New Roman"/>
          <w:b/>
          <w:lang w:val="uk-UA"/>
        </w:rPr>
        <w:t>Щодо змін до Кримінального кодексу України</w:t>
      </w:r>
    </w:p>
    <w:p w:rsidR="00B36721" w:rsidRPr="00BE7555" w:rsidRDefault="00B36721" w:rsidP="00BE7555">
      <w:pPr>
        <w:widowControl w:val="0"/>
        <w:tabs>
          <w:tab w:val="num" w:pos="0"/>
          <w:tab w:val="left" w:pos="540"/>
          <w:tab w:val="num" w:pos="720"/>
        </w:tabs>
        <w:spacing w:after="0" w:line="240" w:lineRule="auto"/>
        <w:ind w:firstLine="709"/>
        <w:jc w:val="both"/>
        <w:rPr>
          <w:rFonts w:eastAsia="Calibri" w:cs="Times New Roman"/>
          <w:lang w:val="uk-UA"/>
        </w:rPr>
      </w:pPr>
    </w:p>
    <w:p w:rsidR="00B36721" w:rsidRPr="00835620" w:rsidRDefault="00B36721" w:rsidP="00BE7555">
      <w:pPr>
        <w:widowControl w:val="0"/>
        <w:tabs>
          <w:tab w:val="num" w:pos="0"/>
          <w:tab w:val="left" w:pos="540"/>
          <w:tab w:val="num" w:pos="720"/>
        </w:tabs>
        <w:spacing w:after="0" w:line="240" w:lineRule="auto"/>
        <w:ind w:firstLine="851"/>
        <w:jc w:val="both"/>
        <w:rPr>
          <w:rFonts w:eastAsia="Calibri" w:cs="Times New Roman"/>
          <w:lang w:val="uk-UA"/>
        </w:rPr>
      </w:pPr>
      <w:r w:rsidRPr="00BE7555">
        <w:rPr>
          <w:rFonts w:eastAsia="Calibri" w:cs="Times New Roman"/>
          <w:lang w:val="uk-UA"/>
        </w:rPr>
        <w:t>1.</w:t>
      </w:r>
      <w:r w:rsidRPr="00835620">
        <w:rPr>
          <w:rFonts w:eastAsia="Calibri" w:cs="Times New Roman"/>
          <w:lang w:val="uk-UA"/>
        </w:rPr>
        <w:t xml:space="preserve"> Проектом пропонується викласти в новій редакції  диспозицію частини першої статей 1</w:t>
      </w:r>
      <w:r w:rsidR="005D6041" w:rsidRPr="00835620">
        <w:rPr>
          <w:rFonts w:eastAsia="Calibri" w:cs="Times New Roman"/>
          <w:lang w:val="uk-UA"/>
        </w:rPr>
        <w:t>1</w:t>
      </w:r>
      <w:r w:rsidRPr="00835620">
        <w:rPr>
          <w:rFonts w:eastAsia="Calibri" w:cs="Times New Roman"/>
          <w:lang w:val="uk-UA"/>
        </w:rPr>
        <w:t xml:space="preserve">2 «Посягання на життя державного чи громадського діяча», 344 «Втручання у діяльність державного діяча», 346 «Погроза або насильство щодо державного діяча» КК України доповнивши їх словами «Директора Бюро економічної безпеки України, Директора Державного бюро розслідувань». </w:t>
      </w:r>
      <w:r w:rsidRPr="00835620">
        <w:rPr>
          <w:rFonts w:eastAsia="Calibri" w:cs="Times New Roman"/>
          <w:bCs/>
          <w:szCs w:val="28"/>
          <w:lang w:val="uk-UA"/>
        </w:rPr>
        <w:t xml:space="preserve">Проте на сьогодні такі дії відносно </w:t>
      </w:r>
      <w:r w:rsidRPr="00835620">
        <w:rPr>
          <w:rFonts w:eastAsia="Calibri" w:cs="Times New Roman"/>
          <w:lang w:val="uk-UA"/>
        </w:rPr>
        <w:t xml:space="preserve">Директора Державного бюро розслідувань (далі – ДБР) </w:t>
      </w:r>
      <w:r w:rsidRPr="00835620">
        <w:rPr>
          <w:rFonts w:eastAsia="Calibri" w:cs="Times New Roman"/>
          <w:bCs/>
          <w:szCs w:val="28"/>
          <w:lang w:val="uk-UA"/>
        </w:rPr>
        <w:t>охоплюються статтями 343, 345, 348 КК України, оскільки</w:t>
      </w:r>
      <w:r w:rsidRPr="00835620">
        <w:rPr>
          <w:rFonts w:eastAsia="Calibri" w:cs="Times New Roman"/>
          <w:lang w:val="uk-UA"/>
        </w:rPr>
        <w:t xml:space="preserve"> відповідно статті 1 Закону України «Про державне бюро розслідувань» ДБР є державним правоохоронним органом, на який покладаються завдання щодо запобігання, виявлення, припинення, розкриття та розслідування кримінальних правопорушень, віднесених до його компетенції. Так, відповідальність за посягання на життя працівника правоохоронного органу  передбачена статтею 348 КК України, а за втручання в діяльність працівника правоохоронного органу та за погрозу або насильство щодо працівника правоохоронного органу - статтями 343, 345 цього Кодексу.</w:t>
      </w:r>
    </w:p>
    <w:p w:rsidR="00B36721" w:rsidRPr="00835620" w:rsidRDefault="00B36721" w:rsidP="00B36721">
      <w:pPr>
        <w:widowControl w:val="0"/>
        <w:tabs>
          <w:tab w:val="num" w:pos="0"/>
          <w:tab w:val="left" w:pos="540"/>
          <w:tab w:val="num" w:pos="720"/>
        </w:tabs>
        <w:spacing w:after="0" w:line="240" w:lineRule="auto"/>
        <w:jc w:val="both"/>
        <w:rPr>
          <w:rFonts w:eastAsia="Calibri" w:cs="Times New Roman"/>
          <w:lang w:val="uk-UA"/>
        </w:rPr>
      </w:pPr>
      <w:r w:rsidRPr="00835620">
        <w:rPr>
          <w:rFonts w:eastAsia="Calibri" w:cs="Times New Roman"/>
          <w:lang w:val="uk-UA"/>
        </w:rPr>
        <w:tab/>
      </w:r>
    </w:p>
    <w:p w:rsidR="005D6041" w:rsidRPr="00835620" w:rsidRDefault="005D6041" w:rsidP="005D6041">
      <w:pPr>
        <w:widowControl w:val="0"/>
        <w:tabs>
          <w:tab w:val="num" w:pos="0"/>
          <w:tab w:val="left" w:pos="540"/>
          <w:tab w:val="num" w:pos="720"/>
        </w:tabs>
        <w:spacing w:after="0" w:line="240" w:lineRule="auto"/>
        <w:ind w:firstLine="567"/>
        <w:jc w:val="both"/>
        <w:rPr>
          <w:rFonts w:eastAsia="Calibri" w:cs="Times New Roman"/>
          <w:lang w:val="uk-UA"/>
        </w:rPr>
      </w:pPr>
      <w:r w:rsidRPr="00835620">
        <w:rPr>
          <w:rFonts w:eastAsia="Calibri" w:cs="Times New Roman"/>
          <w:lang w:val="uk-UA"/>
        </w:rPr>
        <w:t xml:space="preserve">2. </w:t>
      </w:r>
      <w:r w:rsidR="001A2BDF" w:rsidRPr="00835620">
        <w:rPr>
          <w:rFonts w:eastAsia="Calibri" w:cs="Times New Roman"/>
          <w:lang w:val="uk-UA"/>
        </w:rPr>
        <w:t xml:space="preserve">Відповідно до положень законопроекту у абзаці першому частини першої статті 112 КК України слова «Верховного Суду України» замінюються словами «Верховного Суду». </w:t>
      </w:r>
    </w:p>
    <w:p w:rsidR="001A2BDF" w:rsidRPr="00835620" w:rsidRDefault="001A2BDF" w:rsidP="005D6041">
      <w:pPr>
        <w:widowControl w:val="0"/>
        <w:tabs>
          <w:tab w:val="num" w:pos="0"/>
          <w:tab w:val="left" w:pos="540"/>
          <w:tab w:val="num" w:pos="720"/>
        </w:tabs>
        <w:spacing w:after="0" w:line="240" w:lineRule="auto"/>
        <w:ind w:firstLine="567"/>
        <w:jc w:val="both"/>
        <w:rPr>
          <w:rFonts w:eastAsia="Calibri" w:cs="Times New Roman"/>
          <w:lang w:val="uk-UA"/>
        </w:rPr>
      </w:pPr>
      <w:r w:rsidRPr="00835620">
        <w:rPr>
          <w:rFonts w:eastAsia="Calibri" w:cs="Times New Roman"/>
          <w:lang w:val="uk-UA"/>
        </w:rPr>
        <w:t xml:space="preserve">У зв’язку з наведеним </w:t>
      </w:r>
      <w:r w:rsidR="00E26B83" w:rsidRPr="00835620">
        <w:rPr>
          <w:rFonts w:eastAsia="Calibri" w:cs="Times New Roman"/>
          <w:lang w:val="uk-UA"/>
        </w:rPr>
        <w:t xml:space="preserve">звертаємо увагу, що з положень статті 22 Закону України «Про Державний бюджет України на 2021 рік» випливає, що </w:t>
      </w:r>
      <w:r w:rsidR="00860569">
        <w:rPr>
          <w:rFonts w:eastAsia="Calibri" w:cs="Times New Roman"/>
          <w:lang w:val="uk-UA"/>
        </w:rPr>
        <w:t>натепер</w:t>
      </w:r>
      <w:r w:rsidR="00E26B83" w:rsidRPr="00835620">
        <w:rPr>
          <w:rFonts w:eastAsia="Calibri" w:cs="Times New Roman"/>
          <w:lang w:val="uk-UA"/>
        </w:rPr>
        <w:t xml:space="preserve"> </w:t>
      </w:r>
      <w:r w:rsidR="00835620" w:rsidRPr="00835620">
        <w:rPr>
          <w:rFonts w:eastAsia="Calibri" w:cs="Times New Roman"/>
          <w:lang w:val="uk-UA"/>
        </w:rPr>
        <w:t>продовжується фінансове забезпечення функціонування Верховного Суду України, утримання суддів Верховного Суду України.</w:t>
      </w:r>
    </w:p>
    <w:p w:rsidR="00835620" w:rsidRPr="00835620" w:rsidRDefault="00835620" w:rsidP="005D6041">
      <w:pPr>
        <w:widowControl w:val="0"/>
        <w:tabs>
          <w:tab w:val="num" w:pos="0"/>
          <w:tab w:val="left" w:pos="540"/>
          <w:tab w:val="num" w:pos="720"/>
        </w:tabs>
        <w:spacing w:after="0" w:line="240" w:lineRule="auto"/>
        <w:ind w:firstLine="567"/>
        <w:jc w:val="both"/>
        <w:rPr>
          <w:rFonts w:eastAsia="Calibri" w:cs="Times New Roman"/>
          <w:lang w:val="uk-UA"/>
        </w:rPr>
      </w:pPr>
      <w:r w:rsidRPr="00835620">
        <w:rPr>
          <w:rFonts w:eastAsia="Calibri" w:cs="Times New Roman"/>
          <w:lang w:val="uk-UA"/>
        </w:rPr>
        <w:t>Отже, на нашу думку, припин</w:t>
      </w:r>
      <w:r w:rsidR="009E3091">
        <w:rPr>
          <w:rFonts w:eastAsia="Calibri" w:cs="Times New Roman"/>
          <w:lang w:val="uk-UA"/>
        </w:rPr>
        <w:t>ення</w:t>
      </w:r>
      <w:r w:rsidRPr="00835620">
        <w:rPr>
          <w:rFonts w:eastAsia="Calibri" w:cs="Times New Roman"/>
          <w:lang w:val="uk-UA"/>
        </w:rPr>
        <w:t xml:space="preserve"> кримінально-правов</w:t>
      </w:r>
      <w:r w:rsidR="009E3091">
        <w:rPr>
          <w:rFonts w:eastAsia="Calibri" w:cs="Times New Roman"/>
          <w:lang w:val="uk-UA"/>
        </w:rPr>
        <w:t>ого</w:t>
      </w:r>
      <w:r w:rsidRPr="00835620">
        <w:rPr>
          <w:rFonts w:eastAsia="Calibri" w:cs="Times New Roman"/>
          <w:lang w:val="uk-UA"/>
        </w:rPr>
        <w:t xml:space="preserve"> захист</w:t>
      </w:r>
      <w:r w:rsidR="009E3091">
        <w:rPr>
          <w:rFonts w:eastAsia="Calibri" w:cs="Times New Roman"/>
          <w:lang w:val="uk-UA"/>
        </w:rPr>
        <w:t>у суддів Верховного Суду України є передчасним.</w:t>
      </w:r>
    </w:p>
    <w:p w:rsidR="005D6041" w:rsidRPr="00835620" w:rsidRDefault="005D6041" w:rsidP="00B36721">
      <w:pPr>
        <w:widowControl w:val="0"/>
        <w:tabs>
          <w:tab w:val="num" w:pos="0"/>
          <w:tab w:val="left" w:pos="540"/>
          <w:tab w:val="num" w:pos="720"/>
        </w:tabs>
        <w:spacing w:after="0" w:line="240" w:lineRule="auto"/>
        <w:jc w:val="both"/>
        <w:rPr>
          <w:rFonts w:eastAsia="Calibri" w:cs="Times New Roman"/>
          <w:b/>
          <w:lang w:val="uk-UA"/>
        </w:rPr>
      </w:pPr>
    </w:p>
    <w:p w:rsidR="00B36721" w:rsidRPr="00835620" w:rsidRDefault="00835620" w:rsidP="00835620">
      <w:pPr>
        <w:tabs>
          <w:tab w:val="left" w:pos="993"/>
          <w:tab w:val="left" w:pos="1134"/>
        </w:tabs>
        <w:spacing w:after="0" w:line="240" w:lineRule="auto"/>
        <w:ind w:firstLine="709"/>
        <w:jc w:val="both"/>
        <w:rPr>
          <w:rFonts w:eastAsia="Calibri" w:cs="Times New Roman"/>
          <w:szCs w:val="28"/>
          <w:lang w:val="uk-UA" w:eastAsia="ru-RU"/>
        </w:rPr>
      </w:pPr>
      <w:r>
        <w:rPr>
          <w:rFonts w:eastAsia="Calibri" w:cs="Times New Roman"/>
          <w:lang w:val="uk-UA"/>
        </w:rPr>
        <w:t>3</w:t>
      </w:r>
      <w:r w:rsidR="00B36721" w:rsidRPr="00835620">
        <w:rPr>
          <w:rFonts w:eastAsia="Calibri" w:cs="Times New Roman"/>
          <w:lang w:val="uk-UA"/>
        </w:rPr>
        <w:t>.</w:t>
      </w:r>
      <w:r w:rsidR="00B36721" w:rsidRPr="00835620">
        <w:rPr>
          <w:rFonts w:eastAsia="Calibri" w:cs="Times New Roman"/>
          <w:szCs w:val="28"/>
          <w:lang w:val="uk-UA" w:eastAsia="ru-RU"/>
        </w:rPr>
        <w:t xml:space="preserve"> Всупереч вимогам частини першої статті 116 Регламенту Верховної Ради України текст законопроекту доповнено положеннями щодо внесення змін до частини четвертої </w:t>
      </w:r>
      <w:r w:rsidR="00B36721" w:rsidRPr="00835620">
        <w:rPr>
          <w:rFonts w:eastAsia="Calibri" w:cs="Times New Roman"/>
          <w:szCs w:val="28"/>
          <w:lang w:eastAsia="ru-RU"/>
        </w:rPr>
        <w:t>статей 212 та 212</w:t>
      </w:r>
      <w:r w:rsidR="00B36721" w:rsidRPr="00835620">
        <w:rPr>
          <w:rFonts w:eastAsia="Calibri" w:cs="Times New Roman"/>
          <w:szCs w:val="28"/>
          <w:vertAlign w:val="superscript"/>
          <w:lang w:eastAsia="ru-RU"/>
        </w:rPr>
        <w:t>1</w:t>
      </w:r>
      <w:r w:rsidR="00B36721" w:rsidRPr="00835620">
        <w:rPr>
          <w:rFonts w:eastAsia="Calibri" w:cs="Times New Roman"/>
          <w:szCs w:val="28"/>
          <w:lang w:eastAsia="ru-RU"/>
        </w:rPr>
        <w:t xml:space="preserve"> </w:t>
      </w:r>
      <w:r w:rsidR="00B36721" w:rsidRPr="00835620">
        <w:rPr>
          <w:rFonts w:eastAsia="Calibri" w:cs="Times New Roman"/>
          <w:szCs w:val="28"/>
          <w:lang w:val="uk-UA" w:eastAsia="ru-RU"/>
        </w:rPr>
        <w:t>КК України, що не були предметом розгляду під час прийняття проекту в першому читанні, а це унеможливило надання</w:t>
      </w:r>
      <w:r w:rsidR="00B36721" w:rsidRPr="00835620">
        <w:rPr>
          <w:rFonts w:eastAsia="Calibri" w:cs="Times New Roman"/>
          <w:sz w:val="20"/>
          <w:szCs w:val="28"/>
          <w:lang w:val="uk-UA" w:eastAsia="ru-RU"/>
        </w:rPr>
        <w:t xml:space="preserve"> </w:t>
      </w:r>
      <w:r w:rsidR="00B36721" w:rsidRPr="00835620">
        <w:rPr>
          <w:rFonts w:eastAsia="Calibri" w:cs="Times New Roman"/>
          <w:szCs w:val="28"/>
          <w:lang w:val="uk-UA" w:eastAsia="ru-RU"/>
        </w:rPr>
        <w:t>відповідної експертної оцінки згідно з Регламентом в порядку підготовки до першого читання.</w:t>
      </w:r>
    </w:p>
    <w:p w:rsidR="00B36721" w:rsidRPr="00835620" w:rsidRDefault="00B36721" w:rsidP="00B36721">
      <w:pPr>
        <w:spacing w:after="0" w:line="240" w:lineRule="auto"/>
        <w:ind w:firstLine="708"/>
        <w:jc w:val="both"/>
        <w:rPr>
          <w:rFonts w:eastAsia="Times New Roman" w:cs="Times New Roman"/>
          <w:szCs w:val="28"/>
          <w:lang w:val="uk-UA" w:eastAsia="uk-UA"/>
        </w:rPr>
      </w:pPr>
      <w:r w:rsidRPr="00835620">
        <w:rPr>
          <w:rFonts w:eastAsia="Times New Roman" w:cs="Times New Roman"/>
          <w:szCs w:val="28"/>
          <w:lang w:val="uk-UA" w:eastAsia="uk-UA"/>
        </w:rPr>
        <w:t>Так, проектом пропонується викласти в новій редакції частину четверту статей 212 та 212</w:t>
      </w:r>
      <w:r w:rsidRPr="00835620">
        <w:rPr>
          <w:rFonts w:eastAsia="Times New Roman" w:cs="Times New Roman"/>
          <w:szCs w:val="28"/>
          <w:vertAlign w:val="superscript"/>
          <w:lang w:val="uk-UA" w:eastAsia="uk-UA"/>
        </w:rPr>
        <w:t>1</w:t>
      </w:r>
      <w:r w:rsidRPr="00835620">
        <w:rPr>
          <w:rFonts w:eastAsia="Times New Roman" w:cs="Times New Roman"/>
          <w:szCs w:val="28"/>
          <w:lang w:val="uk-UA" w:eastAsia="uk-UA"/>
        </w:rPr>
        <w:t xml:space="preserve"> КК України згідно з якими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до притягнення її до кримінальної відповідальності сплачено податки, збори (обов'язкові платежі), а також відшкодовано шкоду, завдану державі їх несвоєчасною сплатою (фінансові санкції, пеня)</w:t>
      </w:r>
      <w:bookmarkStart w:id="0" w:name="n3160"/>
      <w:bookmarkEnd w:id="0"/>
      <w:r w:rsidRPr="00835620">
        <w:rPr>
          <w:rFonts w:eastAsia="Times New Roman" w:cs="Times New Roman"/>
          <w:szCs w:val="28"/>
          <w:lang w:val="uk-UA" w:eastAsia="uk-UA"/>
        </w:rPr>
        <w:t xml:space="preserve">; особа, яка вперше вчинила діяння, передбачені </w:t>
      </w:r>
      <w:r w:rsidRPr="00835620">
        <w:rPr>
          <w:rFonts w:eastAsia="Times New Roman" w:cs="Times New Roman"/>
          <w:szCs w:val="28"/>
          <w:lang w:val="uk-UA" w:eastAsia="uk-UA"/>
        </w:rPr>
        <w:lastRenderedPageBreak/>
        <w:t>частинами першою або другою цієї статті, звільняється від кримінальної відповідальності, якщо до притягнення до кримінальної відповідальності сплачено єдиний внесок на загальнообов'язкове державне соціальне страхування чи страхові внески на загальнообов'язкове державне пенсійне страхування, а також відшкодовано шкоду, завдану фондам загальнообов'язкового державного соціального страхування їх несвоєчасною сплатою (штрафні санкції, пеня)».</w:t>
      </w:r>
    </w:p>
    <w:p w:rsidR="00B36721" w:rsidRPr="00835620" w:rsidRDefault="00B36721" w:rsidP="00B36721">
      <w:pPr>
        <w:spacing w:after="0" w:line="240" w:lineRule="auto"/>
        <w:ind w:firstLine="708"/>
        <w:jc w:val="both"/>
        <w:rPr>
          <w:rFonts w:eastAsia="Times New Roman" w:cs="Times New Roman"/>
          <w:szCs w:val="28"/>
          <w:lang w:val="uk-UA" w:eastAsia="uk-UA"/>
        </w:rPr>
      </w:pPr>
      <w:r w:rsidRPr="00835620">
        <w:rPr>
          <w:rFonts w:eastAsia="Times New Roman" w:cs="Times New Roman"/>
          <w:szCs w:val="28"/>
          <w:lang w:val="uk-UA" w:eastAsia="uk-UA"/>
        </w:rPr>
        <w:t>Разом з тим, згідно з існуючою редакцією частини четвертої статей 212 та 212</w:t>
      </w:r>
      <w:r w:rsidRPr="00835620">
        <w:rPr>
          <w:rFonts w:eastAsia="Times New Roman" w:cs="Times New Roman"/>
          <w:szCs w:val="28"/>
          <w:vertAlign w:val="superscript"/>
          <w:lang w:val="uk-UA" w:eastAsia="uk-UA"/>
        </w:rPr>
        <w:t xml:space="preserve">1 </w:t>
      </w:r>
      <w:r w:rsidRPr="00835620">
        <w:rPr>
          <w:rFonts w:eastAsia="Times New Roman" w:cs="Times New Roman"/>
          <w:szCs w:val="28"/>
          <w:lang w:val="uk-UA" w:eastAsia="uk-UA"/>
        </w:rPr>
        <w:t xml:space="preserve">КК України «особа, яка вчинила діяння, передбачені частинами першою, другою, або діяння, передбачені частиною третьою (якщо вони призвели до фактичного ненадходження до бюджетів чи державних цільових фондів коштів в особливо великих розмірах) цієї статті, звільняється від кримінальної відповідальності, якщо </w:t>
      </w:r>
      <w:r w:rsidRPr="00835620">
        <w:rPr>
          <w:rFonts w:eastAsia="Times New Roman" w:cs="Times New Roman"/>
          <w:szCs w:val="28"/>
          <w:u w:val="single"/>
          <w:lang w:val="uk-UA" w:eastAsia="uk-UA"/>
        </w:rPr>
        <w:t>вона</w:t>
      </w:r>
      <w:r w:rsidRPr="00835620">
        <w:rPr>
          <w:rFonts w:eastAsia="Times New Roman" w:cs="Times New Roman"/>
          <w:szCs w:val="28"/>
          <w:lang w:val="uk-UA" w:eastAsia="uk-UA"/>
        </w:rPr>
        <w:t xml:space="preserve"> до притягнення до кримінальної відповідальності сплатила податки, збори (обов'язкові платежі), а також </w:t>
      </w:r>
      <w:r w:rsidRPr="00835620">
        <w:rPr>
          <w:rFonts w:eastAsia="Times New Roman" w:cs="Times New Roman"/>
          <w:szCs w:val="28"/>
          <w:u w:val="single"/>
          <w:lang w:val="uk-UA" w:eastAsia="uk-UA"/>
        </w:rPr>
        <w:t>відшкодувала</w:t>
      </w:r>
      <w:r w:rsidRPr="00835620">
        <w:rPr>
          <w:rFonts w:eastAsia="Times New Roman" w:cs="Times New Roman"/>
          <w:szCs w:val="28"/>
          <w:lang w:val="uk-UA" w:eastAsia="uk-UA"/>
        </w:rPr>
        <w:t xml:space="preserve"> шкоду, завдану державі їх несвоєчасною сплатою (фінансові санкції, пеня); особа, яка вперше вчинила діяння, передбачені частинами першою або другою цієї статті, звільняється від кримінальної відповідальності, якщо </w:t>
      </w:r>
      <w:r w:rsidRPr="00835620">
        <w:rPr>
          <w:rFonts w:eastAsia="Times New Roman" w:cs="Times New Roman"/>
          <w:szCs w:val="28"/>
          <w:u w:val="single"/>
          <w:lang w:val="uk-UA" w:eastAsia="uk-UA"/>
        </w:rPr>
        <w:t>вона</w:t>
      </w:r>
      <w:r w:rsidRPr="00835620">
        <w:rPr>
          <w:rFonts w:eastAsia="Times New Roman" w:cs="Times New Roman"/>
          <w:szCs w:val="28"/>
          <w:lang w:val="uk-UA" w:eastAsia="uk-UA"/>
        </w:rPr>
        <w:t xml:space="preserve"> до притягнення до кримінальної відповідальності сплатила єдиний внесок на загальнообов'язкове державне соціальне страхування чи страхові внески на загальнообов'язкове державне пенсійне страхування, а також </w:t>
      </w:r>
      <w:r w:rsidRPr="00835620">
        <w:rPr>
          <w:rFonts w:eastAsia="Times New Roman" w:cs="Times New Roman"/>
          <w:szCs w:val="28"/>
          <w:u w:val="single"/>
          <w:lang w:val="uk-UA" w:eastAsia="uk-UA"/>
        </w:rPr>
        <w:t>відшкодувала</w:t>
      </w:r>
      <w:r w:rsidRPr="00835620">
        <w:rPr>
          <w:rFonts w:eastAsia="Times New Roman" w:cs="Times New Roman"/>
          <w:szCs w:val="28"/>
          <w:lang w:val="uk-UA" w:eastAsia="uk-UA"/>
        </w:rPr>
        <w:t xml:space="preserve"> шкоду, завдану фондам загальнообов'язкового державного соціального страхування їх несвоєчасною сплатою (штрафні санкції, пеня)». Отже аналіз змісту положень чинної редакції цих частин дозволяє дійти висновку, що ці норми не повинні застосовуватися, якщо зокрема, податки, збори, фінансові санкції і пеня сплачені не особисто відповідною особою, винною у вчиненні податкового кримінального правопорушення.</w:t>
      </w:r>
    </w:p>
    <w:p w:rsidR="00B36721" w:rsidRPr="00835620" w:rsidRDefault="00B36721" w:rsidP="00B36721">
      <w:pPr>
        <w:spacing w:after="0" w:line="240" w:lineRule="auto"/>
        <w:ind w:firstLine="708"/>
        <w:jc w:val="both"/>
        <w:rPr>
          <w:rFonts w:eastAsia="Times New Roman" w:cs="Times New Roman"/>
          <w:szCs w:val="28"/>
          <w:lang w:val="uk-UA" w:eastAsia="uk-UA"/>
        </w:rPr>
      </w:pPr>
      <w:r w:rsidRPr="00835620">
        <w:rPr>
          <w:rFonts w:eastAsia="Times New Roman" w:cs="Times New Roman"/>
          <w:szCs w:val="28"/>
          <w:lang w:val="uk-UA" w:eastAsia="uk-UA"/>
        </w:rPr>
        <w:t>Проте, аналіз змісту запропонованої редакції частини четвертої статей 212 та 212</w:t>
      </w:r>
      <w:r w:rsidRPr="00835620">
        <w:rPr>
          <w:rFonts w:eastAsia="Times New Roman" w:cs="Times New Roman"/>
          <w:szCs w:val="28"/>
          <w:vertAlign w:val="superscript"/>
          <w:lang w:val="uk-UA" w:eastAsia="uk-UA"/>
        </w:rPr>
        <w:t xml:space="preserve">1 </w:t>
      </w:r>
      <w:r w:rsidRPr="00835620">
        <w:rPr>
          <w:rFonts w:eastAsia="Times New Roman" w:cs="Times New Roman"/>
          <w:szCs w:val="28"/>
          <w:lang w:val="uk-UA" w:eastAsia="uk-UA"/>
        </w:rPr>
        <w:t>КК України дозволяє дійти висновку, що зокрема, податки, збори, фінансові санкції і пеня можуть бути сплачені не особисто особою винною у вчиненні податкового кримінального правопорушення. Тобто запропоновані зміни передбачають відповідну сплату та відшкодування невизначеним колом суб'єктів.</w:t>
      </w:r>
    </w:p>
    <w:p w:rsidR="00B36721" w:rsidRPr="00835620" w:rsidRDefault="00B36721" w:rsidP="00B36721">
      <w:pPr>
        <w:spacing w:after="0"/>
        <w:jc w:val="both"/>
        <w:rPr>
          <w:rFonts w:eastAsia="Calibri" w:cs="Times New Roman"/>
          <w:color w:val="000000"/>
          <w:szCs w:val="28"/>
          <w:lang w:val="uk-UA"/>
        </w:rPr>
      </w:pPr>
      <w:r w:rsidRPr="00835620">
        <w:rPr>
          <w:rFonts w:eastAsia="Calibri" w:cs="Times New Roman"/>
          <w:lang w:val="uk-UA"/>
        </w:rPr>
        <w:tab/>
        <w:t xml:space="preserve">Такий законодавчий підхід не враховує приписи частини другої статті 61 Конституції України, згідно з якою </w:t>
      </w:r>
      <w:r w:rsidRPr="00835620">
        <w:rPr>
          <w:rFonts w:eastAsia="Calibri" w:cs="Times New Roman"/>
          <w:color w:val="000000"/>
          <w:szCs w:val="28"/>
          <w:lang w:val="uk-UA"/>
        </w:rPr>
        <w:t xml:space="preserve">юридична відповідальність особи має індивідуальний характер. </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 xml:space="preserve">На цьому положенні Конституції України базується інститут звільнення від кримінальної відповідальності, пов'язаний з позитивною </w:t>
      </w:r>
      <w:proofErr w:type="spellStart"/>
      <w:r w:rsidRPr="00835620">
        <w:rPr>
          <w:rFonts w:eastAsia="Calibri" w:cs="Times New Roman"/>
          <w:color w:val="000000"/>
          <w:szCs w:val="28"/>
          <w:lang w:val="uk-UA"/>
        </w:rPr>
        <w:t>посткримінальною</w:t>
      </w:r>
      <w:proofErr w:type="spellEnd"/>
      <w:r w:rsidRPr="00835620">
        <w:rPr>
          <w:rFonts w:eastAsia="Calibri" w:cs="Times New Roman"/>
          <w:color w:val="000000"/>
          <w:szCs w:val="28"/>
          <w:lang w:val="uk-UA"/>
        </w:rPr>
        <w:t xml:space="preserve"> поведінкою особи. Так, наприклад, відповідно до статті 45 КК України 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 звільняється від кримінальної відповідальності, якщо </w:t>
      </w:r>
      <w:r w:rsidRPr="00835620">
        <w:rPr>
          <w:rFonts w:eastAsia="Calibri" w:cs="Times New Roman"/>
          <w:color w:val="000000"/>
          <w:szCs w:val="28"/>
          <w:lang w:val="uk-UA"/>
        </w:rPr>
        <w:lastRenderedPageBreak/>
        <w:t xml:space="preserve">вона після вчинення кримінального правопорушення щиро покаялася, активно сприяла розкриттю кримінального правопорушення і повністю відшкодувала завдані нею збитки або усунула заподіяну шкоду. Тобто відшкодування шкоди, завданої особою, нерозривно пов'язане з її особистою </w:t>
      </w:r>
      <w:proofErr w:type="spellStart"/>
      <w:r w:rsidRPr="00835620">
        <w:rPr>
          <w:rFonts w:eastAsia="Calibri" w:cs="Times New Roman"/>
          <w:color w:val="000000"/>
          <w:szCs w:val="28"/>
          <w:lang w:val="uk-UA"/>
        </w:rPr>
        <w:t>посткримінальною</w:t>
      </w:r>
      <w:proofErr w:type="spellEnd"/>
      <w:r w:rsidRPr="00835620">
        <w:rPr>
          <w:rFonts w:eastAsia="Calibri" w:cs="Times New Roman"/>
          <w:color w:val="000000"/>
          <w:szCs w:val="28"/>
          <w:lang w:val="uk-UA"/>
        </w:rPr>
        <w:t xml:space="preserve"> поведінкою, оскільки інше не може забезпечити виконання завдань Кримінального кодексу України, а також </w:t>
      </w:r>
      <w:proofErr w:type="spellStart"/>
      <w:r w:rsidRPr="00835620">
        <w:rPr>
          <w:rFonts w:eastAsia="Calibri" w:cs="Times New Roman"/>
          <w:color w:val="000000"/>
          <w:szCs w:val="28"/>
          <w:lang w:val="uk-UA"/>
        </w:rPr>
        <w:t>деіндивідуалізує</w:t>
      </w:r>
      <w:proofErr w:type="spellEnd"/>
      <w:r w:rsidRPr="00835620">
        <w:rPr>
          <w:rFonts w:eastAsia="Calibri" w:cs="Times New Roman"/>
          <w:color w:val="000000"/>
          <w:szCs w:val="28"/>
          <w:lang w:val="uk-UA"/>
        </w:rPr>
        <w:t xml:space="preserve"> юридичну відповідальність особи.</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Крім того, передбачені законопроектом положення неможливо буде застосувати на практиці, оскільки  відповідно до статті 87 Податкового кодексу України, джерелами самостійної сплати грошових зобов'язань або погашення податкового боргу платника податків є будь-які власні кошти, у тому числі ті, що отримані від продажу товарів (робіт, послуг), майна, випуску цінних паперів, зокрема корпоративних прав, отримані як позика (кредит), та з інших джерел, з урахуванням особливостей, визначених цією статтею, а також суми надміру сплачених платежів до відповідних бюджетів.</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Не можуть бути використані як джерела погашення податкового боргу платника податків:</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кошти кредитів або позик, наданих платнику податків кредитно-фінансовою установою, що обліковуються на позичкових рахунках, відкритих такому платнику податків;</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кошти інших осіб, надані платнику податків у вклад (депозит) або довірче управління, а також власні кошти юридичної особи, що використовуються для виплат заборгованості з основної заробітної плати за фактично відпрацьований час фізичним особам, які перебувають у трудових відносинах з такою юридичною особою.</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Забороняється будь-яка уступка грошового зобов'язання або податкового боргу платника податків третім особам.</w:t>
      </w:r>
    </w:p>
    <w:p w:rsidR="00B36721" w:rsidRPr="00835620" w:rsidRDefault="00B36721" w:rsidP="00B36721">
      <w:pPr>
        <w:spacing w:after="0"/>
        <w:ind w:firstLine="708"/>
        <w:jc w:val="both"/>
        <w:rPr>
          <w:rFonts w:eastAsia="Calibri" w:cs="Times New Roman"/>
          <w:color w:val="000000"/>
          <w:szCs w:val="28"/>
          <w:lang w:val="uk-UA"/>
        </w:rPr>
      </w:pPr>
      <w:r w:rsidRPr="00835620">
        <w:rPr>
          <w:rFonts w:eastAsia="Calibri" w:cs="Times New Roman"/>
          <w:color w:val="000000"/>
          <w:szCs w:val="28"/>
          <w:lang w:val="uk-UA"/>
        </w:rPr>
        <w:t xml:space="preserve">Тобто, якщо до бюджету або відповідних фондів для сплати податків і зборів будуть перераховані кошти, що не належать платнику податків,  зазначене не призведе до виконання його податкових зобов'язань, а кваліфікуватиметься як помилково зараховані кошти інших платників податків. </w:t>
      </w:r>
    </w:p>
    <w:p w:rsidR="00B36721" w:rsidRPr="00835620" w:rsidRDefault="00B36721" w:rsidP="00B36721">
      <w:pPr>
        <w:spacing w:after="0" w:line="252" w:lineRule="auto"/>
        <w:ind w:firstLine="567"/>
        <w:jc w:val="both"/>
        <w:rPr>
          <w:rFonts w:eastAsia="Calibri" w:cs="Times New Roman"/>
          <w:szCs w:val="28"/>
          <w:lang w:val="uk-UA"/>
        </w:rPr>
      </w:pPr>
      <w:r w:rsidRPr="00835620">
        <w:rPr>
          <w:rFonts w:eastAsia="Calibri" w:cs="Times New Roman"/>
          <w:szCs w:val="28"/>
          <w:lang w:val="uk-UA"/>
        </w:rPr>
        <w:t xml:space="preserve"> В частині  слів «якщо до притягнення її до кримінальної відповідальності» (у запропонованій редакції частини четвертої статей 212 та 212</w:t>
      </w:r>
      <w:r w:rsidRPr="00835620">
        <w:rPr>
          <w:rFonts w:eastAsia="Calibri" w:cs="Times New Roman"/>
          <w:szCs w:val="28"/>
          <w:vertAlign w:val="superscript"/>
          <w:lang w:val="uk-UA"/>
        </w:rPr>
        <w:t xml:space="preserve">1 </w:t>
      </w:r>
      <w:r w:rsidRPr="00835620">
        <w:rPr>
          <w:rFonts w:eastAsia="Calibri" w:cs="Times New Roman"/>
          <w:szCs w:val="28"/>
          <w:lang w:val="uk-UA"/>
        </w:rPr>
        <w:t xml:space="preserve">КК України) слід зазначити, що у вітчизняному правовому полі «притягнення до кримінальної відповідальності» розглядається у двох значеннях: як юридичний факт та як процесуальна діяльність. </w:t>
      </w:r>
    </w:p>
    <w:p w:rsidR="00B36721" w:rsidRPr="00835620" w:rsidRDefault="00B36721" w:rsidP="00B36721">
      <w:pPr>
        <w:spacing w:after="0" w:line="252" w:lineRule="auto"/>
        <w:ind w:firstLine="567"/>
        <w:jc w:val="both"/>
        <w:rPr>
          <w:rFonts w:eastAsia="Calibri" w:cs="Times New Roman"/>
          <w:szCs w:val="28"/>
          <w:lang w:val="uk-UA"/>
        </w:rPr>
      </w:pPr>
      <w:r w:rsidRPr="00835620">
        <w:rPr>
          <w:rFonts w:eastAsia="Calibri" w:cs="Times New Roman"/>
          <w:szCs w:val="28"/>
          <w:lang w:val="uk-UA"/>
        </w:rPr>
        <w:t>Так, відповідно до резолютивної частини Рішення Конституційного Суду України у справі про депутатську недоторканність від 27 жовтня 1999 року № 9-рп/99</w:t>
      </w:r>
      <w:r w:rsidRPr="00835620">
        <w:rPr>
          <w:rFonts w:ascii="Consolas" w:eastAsia="Calibri" w:hAnsi="Consolas" w:cs="Times New Roman"/>
          <w:color w:val="212529"/>
          <w:sz w:val="26"/>
          <w:szCs w:val="26"/>
          <w:lang w:val="uk-UA" w:eastAsia="uk-UA"/>
        </w:rPr>
        <w:t xml:space="preserve"> </w:t>
      </w:r>
      <w:r w:rsidRPr="00835620">
        <w:rPr>
          <w:rFonts w:eastAsia="Calibri" w:cs="Times New Roman"/>
          <w:szCs w:val="28"/>
          <w:lang w:val="uk-UA"/>
        </w:rPr>
        <w:t xml:space="preserve">кримінальна відповідальність настає з моменту набрання законної сили обвинувальним </w:t>
      </w:r>
      <w:proofErr w:type="spellStart"/>
      <w:r w:rsidRPr="00835620">
        <w:rPr>
          <w:rFonts w:eastAsia="Calibri" w:cs="Times New Roman"/>
          <w:szCs w:val="28"/>
          <w:lang w:val="uk-UA"/>
        </w:rPr>
        <w:t>вироком</w:t>
      </w:r>
      <w:proofErr w:type="spellEnd"/>
      <w:r w:rsidRPr="00835620">
        <w:rPr>
          <w:rFonts w:eastAsia="Calibri" w:cs="Times New Roman"/>
          <w:szCs w:val="28"/>
          <w:lang w:val="uk-UA"/>
        </w:rPr>
        <w:t xml:space="preserve"> суду. </w:t>
      </w:r>
      <w:bookmarkStart w:id="1" w:name="o58"/>
      <w:bookmarkEnd w:id="1"/>
      <w:r w:rsidRPr="00835620">
        <w:rPr>
          <w:rFonts w:eastAsia="Calibri" w:cs="Times New Roman"/>
          <w:szCs w:val="28"/>
          <w:lang w:val="uk-UA"/>
        </w:rPr>
        <w:t xml:space="preserve">Притягнення до кримінальної відповідальності, як стадія кримінального переслідування, починається з моменту пред’явлення особі </w:t>
      </w:r>
      <w:r w:rsidRPr="00835620">
        <w:rPr>
          <w:rFonts w:eastAsia="Calibri" w:cs="Times New Roman"/>
          <w:szCs w:val="28"/>
          <w:lang w:val="uk-UA"/>
        </w:rPr>
        <w:lastRenderedPageBreak/>
        <w:t>обвинувачення у вчиненні злочину. Це тлумачення стосувалося відповідних положень КПК України, що втратив чинність.</w:t>
      </w:r>
    </w:p>
    <w:p w:rsidR="00B36721" w:rsidRPr="00835620" w:rsidRDefault="00B36721" w:rsidP="00B36721">
      <w:pPr>
        <w:spacing w:after="0" w:line="252" w:lineRule="auto"/>
        <w:ind w:firstLine="567"/>
        <w:jc w:val="both"/>
        <w:rPr>
          <w:rFonts w:eastAsia="Calibri" w:cs="Times New Roman"/>
          <w:szCs w:val="28"/>
          <w:lang w:val="uk-UA"/>
        </w:rPr>
      </w:pPr>
      <w:r w:rsidRPr="00835620">
        <w:rPr>
          <w:rFonts w:eastAsia="Calibri" w:cs="Times New Roman"/>
          <w:szCs w:val="28"/>
          <w:lang w:val="uk-UA"/>
        </w:rPr>
        <w:t>Нині згідно з пунктом 14 частини першої статті 3 КПК України притягнення до кримінальної відповідальності – стадія кримінального провадження, яка починається з моменту повідомлення особі про підозру у вчиненні кримінального правопорушення.</w:t>
      </w:r>
    </w:p>
    <w:p w:rsidR="00B36721" w:rsidRPr="00180FB6" w:rsidRDefault="00B36721" w:rsidP="00B36721">
      <w:pPr>
        <w:spacing w:after="0" w:line="252" w:lineRule="auto"/>
        <w:ind w:firstLine="567"/>
        <w:jc w:val="both"/>
        <w:rPr>
          <w:rFonts w:eastAsia="Calibri" w:cs="Times New Roman"/>
          <w:szCs w:val="28"/>
          <w:lang w:val="uk-UA"/>
        </w:rPr>
      </w:pPr>
      <w:r w:rsidRPr="00835620">
        <w:rPr>
          <w:rFonts w:eastAsia="Calibri" w:cs="Times New Roman"/>
          <w:szCs w:val="28"/>
          <w:lang w:val="uk-UA"/>
        </w:rPr>
        <w:t>Отже, з урахуванням наведеного положення частини четвертої статей 212, 212</w:t>
      </w:r>
      <w:r w:rsidRPr="00835620">
        <w:rPr>
          <w:rFonts w:eastAsia="Calibri" w:cs="Times New Roman"/>
          <w:szCs w:val="28"/>
          <w:vertAlign w:val="superscript"/>
          <w:lang w:val="uk-UA"/>
        </w:rPr>
        <w:t>1</w:t>
      </w:r>
      <w:r w:rsidRPr="00835620">
        <w:rPr>
          <w:rFonts w:eastAsia="Calibri" w:cs="Times New Roman"/>
          <w:szCs w:val="28"/>
          <w:lang w:val="uk-UA"/>
        </w:rPr>
        <w:t xml:space="preserve"> КК України (в редакції законопроекту) в частині слів «якщо до притягнення її до кримінальної відповідальності» містить ознаки правової невизначеності, оскільки з положень законопроекту не вбачається до якого саме моменту суб’єкт кримінального правопорушення має здійснити визначені законом дії, щоб мати право клопотати про звільнення від кримінальної відповідальності: до моменту повідомлення про підозру чи до моменту набрання законної сили обвинувальним </w:t>
      </w:r>
      <w:proofErr w:type="spellStart"/>
      <w:r w:rsidRPr="00835620">
        <w:rPr>
          <w:rFonts w:eastAsia="Calibri" w:cs="Times New Roman"/>
          <w:szCs w:val="28"/>
          <w:lang w:val="uk-UA"/>
        </w:rPr>
        <w:t>вироком</w:t>
      </w:r>
      <w:proofErr w:type="spellEnd"/>
      <w:r w:rsidRPr="00835620">
        <w:rPr>
          <w:rFonts w:eastAsia="Calibri" w:cs="Times New Roman"/>
          <w:szCs w:val="28"/>
          <w:lang w:val="uk-UA"/>
        </w:rPr>
        <w:t>.</w:t>
      </w:r>
    </w:p>
    <w:p w:rsidR="00B36721" w:rsidRDefault="00B36721" w:rsidP="00B36721">
      <w:pPr>
        <w:spacing w:after="0" w:line="240" w:lineRule="auto"/>
        <w:ind w:firstLine="567"/>
        <w:jc w:val="both"/>
        <w:rPr>
          <w:rFonts w:eastAsia="Times New Roman" w:cs="Times New Roman"/>
          <w:b/>
          <w:szCs w:val="24"/>
          <w:lang w:val="uk-UA" w:eastAsia="ru-RU"/>
        </w:rPr>
      </w:pPr>
    </w:p>
    <w:p w:rsidR="00B36721" w:rsidRDefault="00B36721" w:rsidP="00B36721">
      <w:pPr>
        <w:spacing w:after="0" w:line="240" w:lineRule="auto"/>
        <w:ind w:firstLine="567"/>
        <w:jc w:val="both"/>
        <w:rPr>
          <w:rFonts w:eastAsia="Times New Roman" w:cs="Times New Roman"/>
          <w:b/>
          <w:szCs w:val="24"/>
          <w:lang w:val="uk-UA" w:eastAsia="ru-RU"/>
        </w:rPr>
      </w:pPr>
      <w:r>
        <w:rPr>
          <w:rFonts w:eastAsia="Times New Roman" w:cs="Times New Roman"/>
          <w:b/>
          <w:szCs w:val="24"/>
          <w:lang w:val="uk-UA" w:eastAsia="ru-RU"/>
        </w:rPr>
        <w:t>Щодо змін до</w:t>
      </w:r>
      <w:r w:rsidRPr="00263CFA">
        <w:rPr>
          <w:rFonts w:eastAsia="Times New Roman" w:cs="Times New Roman"/>
          <w:b/>
          <w:szCs w:val="24"/>
          <w:lang w:val="uk-UA" w:eastAsia="ru-RU"/>
        </w:rPr>
        <w:t xml:space="preserve"> Кримінального процесуального кодексу України </w:t>
      </w:r>
    </w:p>
    <w:p w:rsidR="00B36721" w:rsidRPr="00263CFA" w:rsidRDefault="00B36721" w:rsidP="00B36721">
      <w:pPr>
        <w:spacing w:after="0" w:line="240" w:lineRule="auto"/>
        <w:ind w:firstLine="567"/>
        <w:jc w:val="both"/>
        <w:rPr>
          <w:rFonts w:eastAsia="Times New Roman" w:cs="Times New Roman"/>
          <w:b/>
          <w:szCs w:val="24"/>
          <w:lang w:val="uk-UA" w:eastAsia="ru-RU"/>
        </w:rPr>
      </w:pPr>
    </w:p>
    <w:p w:rsidR="00B36721" w:rsidRDefault="00B36721" w:rsidP="00B36721">
      <w:pPr>
        <w:widowControl w:val="0"/>
        <w:autoSpaceDE w:val="0"/>
        <w:autoSpaceDN w:val="0"/>
        <w:adjustRightInd w:val="0"/>
        <w:spacing w:after="0" w:line="240" w:lineRule="auto"/>
        <w:ind w:firstLine="709"/>
        <w:jc w:val="both"/>
        <w:rPr>
          <w:rFonts w:eastAsia="Times New Roman" w:cs="Times New Roman"/>
          <w:szCs w:val="24"/>
          <w:lang w:val="uk-UA" w:eastAsia="ru-RU"/>
        </w:rPr>
      </w:pPr>
      <w:r>
        <w:rPr>
          <w:rFonts w:eastAsia="Times New Roman" w:cs="Times New Roman"/>
          <w:szCs w:val="24"/>
          <w:lang w:val="uk-UA" w:eastAsia="ru-RU"/>
        </w:rPr>
        <w:t xml:space="preserve">1. Відповідно до положень пункту 8 частини першої статті 3 КПК України (у редакції законопроекту) до керівників органу досудового розслідування крім керівників (начальників) відповідних слідчих управлінь, відділів та підрозділів детективів органів, що здійснюють досудове розслідування, віднесені також перший заступник або заступник Директора Державного бюро розслідувань, заступник директора територіального управління Державного бюро розслідувань. </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У зв’язку з цим слід зазначити, що  відповідно до частини першої статті 39 КПК України керівник органу досудового розслідування </w:t>
      </w:r>
      <w:r w:rsidRPr="00473DE9">
        <w:rPr>
          <w:rFonts w:eastAsia="Times New Roman" w:cs="Times New Roman"/>
          <w:i/>
          <w:szCs w:val="24"/>
          <w:lang w:val="uk-UA" w:eastAsia="ru-RU"/>
        </w:rPr>
        <w:t>організовує досудове розслідування</w:t>
      </w:r>
      <w:r>
        <w:rPr>
          <w:rFonts w:eastAsia="Times New Roman" w:cs="Times New Roman"/>
          <w:szCs w:val="24"/>
          <w:lang w:val="uk-UA" w:eastAsia="ru-RU"/>
        </w:rPr>
        <w:t>.</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При цьому, з аналізу положень статті 12 Закону України «Про Державне бюро розслідувань» вбачається, що директор ДБР, а також його перший заступник та заступник здійснюють адміністративні повноваження для забезпечення належного функціонування ДБР в цілому.</w:t>
      </w:r>
    </w:p>
    <w:p w:rsidR="00B36721" w:rsidRPr="004E2808"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Відповідно вимоги до кандидата на посаду Директора ДБР, його першого заступника та заступника, визначені у статті 10 Закону України «Про Державне бюро розслідувань», не передбачають обов’язкової наявності досвіду роботи у слідстві </w:t>
      </w:r>
      <w:r w:rsidRPr="004E2808">
        <w:rPr>
          <w:rFonts w:eastAsia="Times New Roman" w:cs="Times New Roman"/>
          <w:szCs w:val="24"/>
          <w:lang w:val="uk-UA" w:eastAsia="ru-RU"/>
        </w:rPr>
        <w:t>чи оперативно-розшукової діяльності. Водночас для працівників ДБР</w:t>
      </w:r>
      <w:r>
        <w:rPr>
          <w:rFonts w:eastAsia="Times New Roman" w:cs="Times New Roman"/>
          <w:szCs w:val="24"/>
          <w:lang w:val="uk-UA" w:eastAsia="ru-RU"/>
        </w:rPr>
        <w:t>,</w:t>
      </w:r>
      <w:r w:rsidRPr="004E2808">
        <w:rPr>
          <w:rFonts w:eastAsia="Times New Roman" w:cs="Times New Roman"/>
          <w:szCs w:val="24"/>
          <w:lang w:val="uk-UA" w:eastAsia="ru-RU"/>
        </w:rPr>
        <w:t xml:space="preserve"> </w:t>
      </w:r>
      <w:r w:rsidRPr="004E2808">
        <w:rPr>
          <w:shd w:val="clear" w:color="auto" w:fill="FFFFFF"/>
          <w:lang w:val="uk-UA"/>
        </w:rPr>
        <w:t>до повноважень яких належать виявлення, розкриття і розслідування кримінальних правопорушень</w:t>
      </w:r>
      <w:r>
        <w:rPr>
          <w:shd w:val="clear" w:color="auto" w:fill="FFFFFF"/>
          <w:lang w:val="uk-UA"/>
        </w:rPr>
        <w:t>,</w:t>
      </w:r>
      <w:r w:rsidRPr="004E2808">
        <w:rPr>
          <w:shd w:val="clear" w:color="auto" w:fill="FFFFFF"/>
          <w:lang w:val="uk-UA"/>
        </w:rPr>
        <w:t xml:space="preserve"> </w:t>
      </w:r>
      <w:r w:rsidRPr="004E2808">
        <w:rPr>
          <w:rFonts w:eastAsia="Times New Roman" w:cs="Times New Roman"/>
          <w:szCs w:val="24"/>
          <w:lang w:val="uk-UA" w:eastAsia="ru-RU"/>
        </w:rPr>
        <w:t xml:space="preserve">не лише передбачено затвердження спеціальних кваліфікаційних вимог та критеріїв професійної придатності, а й </w:t>
      </w:r>
      <w:r w:rsidRPr="004E2808">
        <w:rPr>
          <w:shd w:val="clear" w:color="auto" w:fill="FFFFFF"/>
          <w:lang w:val="uk-UA"/>
        </w:rPr>
        <w:t>обов’язкова перепідготовка або підвищення кваліфікації за спеціальними програ</w:t>
      </w:r>
      <w:r>
        <w:rPr>
          <w:shd w:val="clear" w:color="auto" w:fill="FFFFFF"/>
          <w:lang w:val="uk-UA"/>
        </w:rPr>
        <w:t xml:space="preserve">мами, у тому числі за кордоном </w:t>
      </w:r>
      <w:r w:rsidRPr="004E2808">
        <w:rPr>
          <w:shd w:val="clear" w:color="auto" w:fill="FFFFFF"/>
          <w:lang w:val="uk-UA"/>
        </w:rPr>
        <w:t xml:space="preserve">(частина сьома статті 14 Закону України </w:t>
      </w:r>
      <w:r w:rsidRPr="004E2808">
        <w:rPr>
          <w:rFonts w:eastAsia="Times New Roman" w:cs="Times New Roman"/>
          <w:szCs w:val="24"/>
          <w:lang w:val="uk-UA" w:eastAsia="ru-RU"/>
        </w:rPr>
        <w:t>«Про Державне бюро розслідувань» у чинній редакції</w:t>
      </w:r>
      <w:r w:rsidRPr="004E2808">
        <w:rPr>
          <w:shd w:val="clear" w:color="auto" w:fill="FFFFFF"/>
          <w:lang w:val="uk-UA"/>
        </w:rPr>
        <w:t>).</w:t>
      </w:r>
    </w:p>
    <w:p w:rsidR="00B36721" w:rsidRDefault="00B36721" w:rsidP="00B36721">
      <w:pPr>
        <w:spacing w:after="0" w:line="240" w:lineRule="auto"/>
        <w:ind w:firstLine="567"/>
        <w:jc w:val="both"/>
        <w:rPr>
          <w:shd w:val="clear" w:color="auto" w:fill="FFFFFF"/>
          <w:lang w:val="uk-UA"/>
        </w:rPr>
      </w:pPr>
      <w:r>
        <w:rPr>
          <w:rFonts w:eastAsia="Times New Roman" w:cs="Times New Roman"/>
          <w:szCs w:val="24"/>
          <w:lang w:val="uk-UA" w:eastAsia="ru-RU"/>
        </w:rPr>
        <w:t xml:space="preserve">Отже, беручи до уваги наведене, ні з положень </w:t>
      </w:r>
      <w:r w:rsidRPr="004E2808">
        <w:rPr>
          <w:shd w:val="clear" w:color="auto" w:fill="FFFFFF"/>
          <w:lang w:val="uk-UA"/>
        </w:rPr>
        <w:t xml:space="preserve">Закону України </w:t>
      </w:r>
      <w:r w:rsidRPr="004E2808">
        <w:rPr>
          <w:rFonts w:eastAsia="Times New Roman" w:cs="Times New Roman"/>
          <w:szCs w:val="24"/>
          <w:lang w:val="uk-UA" w:eastAsia="ru-RU"/>
        </w:rPr>
        <w:t>«Про Державне бюро розслідувань»</w:t>
      </w:r>
      <w:r>
        <w:rPr>
          <w:rFonts w:eastAsia="Times New Roman" w:cs="Times New Roman"/>
          <w:szCs w:val="24"/>
          <w:lang w:val="uk-UA" w:eastAsia="ru-RU"/>
        </w:rPr>
        <w:t xml:space="preserve">, ні з КПК України не випливає, що перший </w:t>
      </w:r>
      <w:r>
        <w:rPr>
          <w:rFonts w:eastAsia="Times New Roman" w:cs="Times New Roman"/>
          <w:szCs w:val="24"/>
          <w:lang w:val="uk-UA" w:eastAsia="ru-RU"/>
        </w:rPr>
        <w:lastRenderedPageBreak/>
        <w:t>заступник, заступник Директора ДБР мають достатньо повноважень чи підстав здійснювати керівництво розслідуванням, зокрема</w:t>
      </w:r>
      <w:r w:rsidRPr="00D865EF">
        <w:rPr>
          <w:rFonts w:eastAsia="Times New Roman" w:cs="Times New Roman"/>
          <w:szCs w:val="24"/>
          <w:lang w:val="uk-UA" w:eastAsia="ru-RU"/>
        </w:rPr>
        <w:t xml:space="preserve">, </w:t>
      </w:r>
      <w:r w:rsidRPr="00D865EF">
        <w:rPr>
          <w:lang w:val="uk-UA"/>
        </w:rPr>
        <w:t xml:space="preserve">відсторонювати слідчого від проведення досудового розслідування </w:t>
      </w:r>
      <w:r>
        <w:rPr>
          <w:lang w:val="uk-UA"/>
        </w:rPr>
        <w:t xml:space="preserve">та призначати іншого слідчого, зокрема </w:t>
      </w:r>
      <w:r w:rsidRPr="00D865EF">
        <w:rPr>
          <w:lang w:val="uk-UA"/>
        </w:rPr>
        <w:t>у разі неефект</w:t>
      </w:r>
      <w:r>
        <w:rPr>
          <w:lang w:val="uk-UA"/>
        </w:rPr>
        <w:t>ивного досудового розслідування,</w:t>
      </w:r>
      <w:r w:rsidRPr="00D865EF">
        <w:rPr>
          <w:lang w:val="uk-UA"/>
        </w:rPr>
        <w:t xml:space="preserve"> ознайомлюватися з матеріалами досудового розслідування, давати слідчому письмові вказівки</w:t>
      </w:r>
      <w:r>
        <w:rPr>
          <w:lang w:val="uk-UA"/>
        </w:rPr>
        <w:t>,</w:t>
      </w:r>
      <w:r w:rsidRPr="00D865EF">
        <w:rPr>
          <w:shd w:val="clear" w:color="auto" w:fill="FFFFFF"/>
          <w:lang w:val="uk-UA"/>
        </w:rPr>
        <w:t xml:space="preserve"> здійснювати досудове розслідування, користуючись при цьому повноваженнями слідчого</w:t>
      </w:r>
      <w:r>
        <w:rPr>
          <w:shd w:val="clear" w:color="auto" w:fill="FFFFFF"/>
          <w:lang w:val="uk-UA"/>
        </w:rPr>
        <w:t xml:space="preserve">. </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Таким чином, наведена норма законопроекту не враховує логіки </w:t>
      </w:r>
      <w:r w:rsidRPr="004E2808">
        <w:rPr>
          <w:shd w:val="clear" w:color="auto" w:fill="FFFFFF"/>
          <w:lang w:val="uk-UA"/>
        </w:rPr>
        <w:t xml:space="preserve">Закону України </w:t>
      </w:r>
      <w:r w:rsidRPr="004E2808">
        <w:rPr>
          <w:rFonts w:eastAsia="Times New Roman" w:cs="Times New Roman"/>
          <w:szCs w:val="24"/>
          <w:lang w:val="uk-UA" w:eastAsia="ru-RU"/>
        </w:rPr>
        <w:t>«Про Державне бюро розслідувань»</w:t>
      </w:r>
      <w:r>
        <w:rPr>
          <w:rFonts w:eastAsia="Times New Roman" w:cs="Times New Roman"/>
          <w:szCs w:val="24"/>
          <w:lang w:val="uk-UA" w:eastAsia="ru-RU"/>
        </w:rPr>
        <w:t xml:space="preserve">, а також КПК України щодо розмежування функціональних обов’язків між різними посадовими особами органу державної влади, оскільки на практиці може призводити до стороннього втручання у здійснення досудового розслідування, що є </w:t>
      </w:r>
      <w:proofErr w:type="spellStart"/>
      <w:r>
        <w:rPr>
          <w:rFonts w:eastAsia="Times New Roman" w:cs="Times New Roman"/>
          <w:szCs w:val="24"/>
          <w:lang w:val="uk-UA" w:eastAsia="ru-RU"/>
        </w:rPr>
        <w:t>корупціогенним</w:t>
      </w:r>
      <w:proofErr w:type="spellEnd"/>
      <w:r>
        <w:rPr>
          <w:rFonts w:eastAsia="Times New Roman" w:cs="Times New Roman"/>
          <w:szCs w:val="24"/>
          <w:lang w:val="uk-UA" w:eastAsia="ru-RU"/>
        </w:rPr>
        <w:t xml:space="preserve"> фактором.</w:t>
      </w:r>
    </w:p>
    <w:p w:rsidR="00B36721" w:rsidRDefault="00B36721" w:rsidP="00B36721">
      <w:pPr>
        <w:spacing w:after="0" w:line="240" w:lineRule="auto"/>
        <w:ind w:firstLine="567"/>
        <w:jc w:val="both"/>
        <w:rPr>
          <w:rFonts w:eastAsia="Times New Roman" w:cs="Times New Roman"/>
          <w:szCs w:val="24"/>
          <w:lang w:val="uk-UA" w:eastAsia="ru-RU"/>
        </w:rPr>
      </w:pPr>
    </w:p>
    <w:p w:rsidR="00B36721" w:rsidRPr="00D865EF"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Аналогічні зауваження стосуються також заступника директора територіального управління ДБР.</w:t>
      </w:r>
    </w:p>
    <w:p w:rsidR="00B36721" w:rsidRDefault="00B36721" w:rsidP="00B36721">
      <w:pPr>
        <w:spacing w:after="0" w:line="240" w:lineRule="auto"/>
        <w:ind w:firstLine="567"/>
        <w:jc w:val="both"/>
        <w:rPr>
          <w:rFonts w:eastAsia="Times New Roman" w:cs="Times New Roman"/>
          <w:szCs w:val="24"/>
          <w:lang w:val="uk-UA" w:eastAsia="ru-RU"/>
        </w:rPr>
      </w:pPr>
    </w:p>
    <w:p w:rsidR="00B36721" w:rsidRPr="00A74E42"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2. Відповідно до частини п’ятої статті 36 КПК України (у редакції законопроекту)</w:t>
      </w:r>
      <w:r w:rsidRPr="003255E2">
        <w:rPr>
          <w:color w:val="333333"/>
          <w:shd w:val="clear" w:color="auto" w:fill="FFFFFF"/>
        </w:rPr>
        <w:t xml:space="preserve"> </w:t>
      </w:r>
      <w:r w:rsidRPr="00A74E42">
        <w:rPr>
          <w:shd w:val="clear" w:color="auto" w:fill="FFFFFF"/>
          <w:lang w:val="uk-UA"/>
        </w:rPr>
        <w:t xml:space="preserve">Генеральний прокурор, керівник обласної прокуратури, їх перші заступники та заступники своєю вмотивованою постановою мають право доручити здійснення досудового розслідування будь-якого кримінального правопорушення іншому органу досудового розслідування, у тому числі слідчому підрозділу вищого рівня в межах одного органу, </w:t>
      </w:r>
      <w:r w:rsidRPr="00A74E42">
        <w:rPr>
          <w:i/>
          <w:shd w:val="clear" w:color="auto" w:fill="FFFFFF"/>
          <w:lang w:val="uk-UA"/>
        </w:rPr>
        <w:t>у разі неефективного досудового розслідування</w:t>
      </w:r>
      <w:r w:rsidRPr="00A74E42">
        <w:rPr>
          <w:shd w:val="clear" w:color="auto" w:fill="FFFFFF"/>
          <w:lang w:val="uk-UA"/>
        </w:rPr>
        <w:t xml:space="preserve">. Право доручати </w:t>
      </w:r>
      <w:r w:rsidRPr="00A74E42">
        <w:rPr>
          <w:i/>
          <w:shd w:val="clear" w:color="auto" w:fill="FFFFFF"/>
          <w:lang w:val="uk-UA"/>
        </w:rPr>
        <w:t>у разі неефективного досудового розслідування</w:t>
      </w:r>
      <w:r w:rsidRPr="00A74E42">
        <w:rPr>
          <w:shd w:val="clear" w:color="auto" w:fill="FFFFFF"/>
          <w:lang w:val="uk-UA"/>
        </w:rPr>
        <w:t xml:space="preserve"> іншому органу досудового розслідування здійснення досудового розслідування кримінальних правопорушень, віднесених до підслідності Бюро економічної безпеки України (далі – БЕБ України), а також доручати БЕБ України розслідування кримінальних правопорушень, віднесених до підслідності інших органів досудового розслідування, мають: Генеральний прокурор, особа, яка виконує його обов’язки, його перший заступник та заступники.</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Як вбачається з наведеного, подібне доручення може даватися іншому органу досудового розслідування не залежно від підслідності відповідного кримінального правопорушення.</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Слід зазначити, що поняття «неефективності здійснення досудового розслідування» носить суто оціночний характер, тобто означає, що у законодавстві відсутні чітко визначені підстави для прийняття подібного рішення про зміну підслідності уповноваженою особою.</w:t>
      </w:r>
    </w:p>
    <w:p w:rsidR="00B36721" w:rsidRPr="00067953" w:rsidRDefault="00B36721" w:rsidP="00B36721">
      <w:pPr>
        <w:spacing w:after="0" w:line="240" w:lineRule="auto"/>
        <w:ind w:firstLine="709"/>
        <w:jc w:val="both"/>
        <w:rPr>
          <w:rFonts w:eastAsia="Times New Roman" w:cs="Times New Roman"/>
          <w:szCs w:val="28"/>
          <w:lang w:val="uk-UA" w:eastAsia="ru-RU"/>
        </w:rPr>
      </w:pPr>
      <w:r w:rsidRPr="00067953">
        <w:rPr>
          <w:rFonts w:eastAsia="Times New Roman" w:cs="Times New Roman"/>
          <w:szCs w:val="28"/>
          <w:lang w:val="uk-UA" w:eastAsia="ru-RU"/>
        </w:rPr>
        <w:t>Відтак, на нашу думку, це</w:t>
      </w:r>
      <w:r w:rsidRPr="00067953">
        <w:rPr>
          <w:rFonts w:eastAsia="Times New Roman" w:cs="Times New Roman"/>
          <w:b/>
          <w:szCs w:val="28"/>
          <w:lang w:val="uk-UA" w:eastAsia="ru-RU"/>
        </w:rPr>
        <w:t xml:space="preserve">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w:t>
      </w:r>
      <w:r w:rsidRPr="00067953">
        <w:rPr>
          <w:rFonts w:eastAsia="Times New Roman" w:cs="Times New Roman"/>
          <w:szCs w:val="28"/>
          <w:lang w:val="uk-UA" w:eastAsia="ru-RU"/>
        </w:rPr>
        <w:t xml:space="preserve">, а також створює широкі можливості для зловживань. </w:t>
      </w:r>
    </w:p>
    <w:p w:rsidR="00B36721" w:rsidRPr="00067953" w:rsidRDefault="00B36721" w:rsidP="00B36721">
      <w:pPr>
        <w:spacing w:after="0" w:line="240" w:lineRule="auto"/>
        <w:ind w:firstLine="709"/>
        <w:jc w:val="both"/>
        <w:rPr>
          <w:rFonts w:eastAsia="Calibri" w:cs="Times New Roman"/>
          <w:szCs w:val="28"/>
          <w:lang w:val="uk-UA"/>
        </w:rPr>
      </w:pPr>
      <w:r w:rsidRPr="00067953">
        <w:rPr>
          <w:rFonts w:eastAsia="Calibri" w:cs="Times New Roman"/>
          <w:szCs w:val="28"/>
          <w:lang w:val="uk-UA"/>
        </w:rPr>
        <w:t xml:space="preserve">Правова позиція Конституційного Суду України, викладена у Рішенні від 30 травня 2001 року № 7-рп/2001, полягає у тому,  що принцип правової держави </w:t>
      </w:r>
      <w:r w:rsidRPr="00067953">
        <w:rPr>
          <w:rFonts w:eastAsia="Calibri" w:cs="Times New Roman"/>
          <w:szCs w:val="28"/>
          <w:lang w:val="uk-UA"/>
        </w:rPr>
        <w:lastRenderedPageBreak/>
        <w:t>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B36721" w:rsidRPr="00067953" w:rsidRDefault="00B36721" w:rsidP="00B36721">
      <w:pPr>
        <w:spacing w:after="0" w:line="240" w:lineRule="auto"/>
        <w:ind w:firstLine="709"/>
        <w:jc w:val="both"/>
        <w:rPr>
          <w:rFonts w:eastAsia="Calibri" w:cs="Times New Roman"/>
          <w:szCs w:val="28"/>
          <w:lang w:val="uk-UA" w:eastAsia="ru-RU"/>
        </w:rPr>
      </w:pPr>
      <w:r w:rsidRPr="00067953">
        <w:rPr>
          <w:rFonts w:eastAsia="Calibri" w:cs="Times New Roman"/>
          <w:szCs w:val="28"/>
          <w:u w:val="single"/>
          <w:lang w:val="uk-UA" w:eastAsia="ru-RU"/>
        </w:rPr>
        <w:t xml:space="preserve">Закон повинен вказувати на обсяг будь-якої </w:t>
      </w:r>
      <w:proofErr w:type="spellStart"/>
      <w:r w:rsidRPr="00067953">
        <w:rPr>
          <w:rFonts w:eastAsia="Calibri" w:cs="Times New Roman"/>
          <w:szCs w:val="28"/>
          <w:u w:val="single"/>
          <w:lang w:val="uk-UA" w:eastAsia="ru-RU"/>
        </w:rPr>
        <w:t>дискреції</w:t>
      </w:r>
      <w:proofErr w:type="spellEnd"/>
      <w:r w:rsidRPr="00067953">
        <w:rPr>
          <w:rFonts w:eastAsia="Calibri" w:cs="Times New Roman"/>
          <w:szCs w:val="28"/>
          <w:u w:val="single"/>
          <w:lang w:val="uk-UA" w:eastAsia="ru-RU"/>
        </w:rPr>
        <w:t xml:space="preserve"> та на спосіб її здійснення із достатньою чіткістю, аби особа мала змогу відповідним чином захистити себе від свавільних дій влади</w:t>
      </w:r>
      <w:r w:rsidRPr="00067953">
        <w:rPr>
          <w:rFonts w:eastAsia="Calibri" w:cs="Times New Roman"/>
          <w:szCs w:val="28"/>
          <w:lang w:val="uk-UA" w:eastAsia="ru-RU"/>
        </w:rPr>
        <w:t xml:space="preserve"> (пункт 45 Доповіді "Верховенство права", схваленої Європейською Комісією "За демократію через право" на         86-у пленарному засіданні.</w:t>
      </w:r>
    </w:p>
    <w:p w:rsidR="00B36721" w:rsidRPr="00067953" w:rsidRDefault="00B36721" w:rsidP="00B36721">
      <w:pPr>
        <w:spacing w:after="0" w:line="240" w:lineRule="auto"/>
        <w:ind w:firstLine="709"/>
        <w:jc w:val="both"/>
        <w:rPr>
          <w:rFonts w:eastAsia="Calibri" w:cs="Times New Roman"/>
          <w:szCs w:val="28"/>
          <w:lang w:val="uk-UA" w:eastAsia="ru-RU"/>
        </w:rPr>
      </w:pPr>
      <w:r w:rsidRPr="00067953">
        <w:rPr>
          <w:rFonts w:eastAsia="Calibri" w:cs="Times New Roman"/>
          <w:szCs w:val="28"/>
          <w:lang w:val="uk-UA" w:eastAsia="ru-RU"/>
        </w:rPr>
        <w:t>Європейський суд з прав людини у своїх рішеннях також неодноразово нагадував про те, що "</w:t>
      </w:r>
      <w:r w:rsidRPr="00067953">
        <w:rPr>
          <w:rFonts w:eastAsia="Calibri" w:cs="Times New Roman"/>
          <w:szCs w:val="28"/>
          <w:u w:val="single"/>
          <w:lang w:val="uk-UA" w:eastAsia="ru-RU"/>
        </w:rPr>
        <w:t>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w:t>
      </w:r>
      <w:r w:rsidRPr="00067953">
        <w:rPr>
          <w:rFonts w:eastAsia="Calibri" w:cs="Times New Roman"/>
          <w:szCs w:val="28"/>
          <w:lang w:val="uk-UA" w:eastAsia="ru-RU"/>
        </w:rPr>
        <w:t xml:space="preserve"> (п. 118 рішення у справі "</w:t>
      </w:r>
      <w:proofErr w:type="spellStart"/>
      <w:r w:rsidRPr="00067953">
        <w:rPr>
          <w:rFonts w:eastAsia="Calibri" w:cs="Times New Roman"/>
          <w:szCs w:val="28"/>
          <w:lang w:val="uk-UA" w:eastAsia="ru-RU"/>
        </w:rPr>
        <w:t>Заїченко</w:t>
      </w:r>
      <w:proofErr w:type="spellEnd"/>
      <w:r w:rsidRPr="00067953">
        <w:rPr>
          <w:rFonts w:eastAsia="Calibri" w:cs="Times New Roman"/>
          <w:szCs w:val="28"/>
          <w:lang w:val="uk-UA" w:eastAsia="ru-RU"/>
        </w:rPr>
        <w:t xml:space="preserve"> проти України (№</w:t>
      </w:r>
      <w:r w:rsidR="00A84DEB">
        <w:rPr>
          <w:rFonts w:eastAsia="Calibri" w:cs="Times New Roman"/>
          <w:szCs w:val="28"/>
          <w:lang w:val="uk-UA" w:eastAsia="ru-RU"/>
        </w:rPr>
        <w:t xml:space="preserve"> 2)" </w:t>
      </w:r>
      <w:r w:rsidRPr="00067953">
        <w:rPr>
          <w:rFonts w:eastAsia="Calibri" w:cs="Times New Roman"/>
          <w:szCs w:val="28"/>
          <w:lang w:val="uk-UA" w:eastAsia="ru-RU"/>
        </w:rPr>
        <w:t>, заява №</w:t>
      </w:r>
      <w:r w:rsidR="00A84DEB">
        <w:rPr>
          <w:rFonts w:eastAsia="Calibri" w:cs="Times New Roman"/>
          <w:szCs w:val="28"/>
          <w:lang w:val="uk-UA" w:eastAsia="ru-RU"/>
        </w:rPr>
        <w:t> 45797/09;</w:t>
      </w:r>
      <w:r w:rsidRPr="00067953">
        <w:rPr>
          <w:rFonts w:eastAsia="Calibri" w:cs="Times New Roman"/>
          <w:szCs w:val="28"/>
          <w:lang w:val="uk-UA" w:eastAsia="ru-RU"/>
        </w:rPr>
        <w:t xml:space="preserve"> рішення у справі "С. і </w:t>
      </w:r>
      <w:proofErr w:type="spellStart"/>
      <w:r w:rsidRPr="00067953">
        <w:rPr>
          <w:rFonts w:eastAsia="Calibri" w:cs="Times New Roman"/>
          <w:szCs w:val="28"/>
          <w:lang w:val="uk-UA" w:eastAsia="ru-RU"/>
        </w:rPr>
        <w:t>Марпер</w:t>
      </w:r>
      <w:proofErr w:type="spellEnd"/>
      <w:r w:rsidRPr="00067953">
        <w:rPr>
          <w:rFonts w:eastAsia="Calibri" w:cs="Times New Roman"/>
          <w:szCs w:val="28"/>
          <w:lang w:val="uk-UA" w:eastAsia="ru-RU"/>
        </w:rPr>
        <w:t xml:space="preserve"> проти Сполученого Королівства" (S. </w:t>
      </w:r>
      <w:proofErr w:type="spellStart"/>
      <w:r w:rsidRPr="00067953">
        <w:rPr>
          <w:rFonts w:eastAsia="Calibri" w:cs="Times New Roman"/>
          <w:szCs w:val="28"/>
          <w:lang w:val="uk-UA" w:eastAsia="ru-RU"/>
        </w:rPr>
        <w:t>and</w:t>
      </w:r>
      <w:proofErr w:type="spellEnd"/>
      <w:r w:rsidRPr="00067953">
        <w:rPr>
          <w:rFonts w:eastAsia="Calibri" w:cs="Times New Roman"/>
          <w:szCs w:val="28"/>
          <w:lang w:val="uk-UA" w:eastAsia="ru-RU"/>
        </w:rPr>
        <w:t xml:space="preserve"> </w:t>
      </w:r>
      <w:proofErr w:type="spellStart"/>
      <w:r w:rsidRPr="00067953">
        <w:rPr>
          <w:rFonts w:eastAsia="Calibri" w:cs="Times New Roman"/>
          <w:szCs w:val="28"/>
          <w:lang w:val="uk-UA" w:eastAsia="ru-RU"/>
        </w:rPr>
        <w:t>Marper</w:t>
      </w:r>
      <w:proofErr w:type="spellEnd"/>
      <w:r w:rsidRPr="00067953">
        <w:rPr>
          <w:rFonts w:eastAsia="Calibri" w:cs="Times New Roman"/>
          <w:szCs w:val="28"/>
          <w:lang w:val="uk-UA" w:eastAsia="ru-RU"/>
        </w:rPr>
        <w:t xml:space="preserve"> v. </w:t>
      </w:r>
      <w:proofErr w:type="spellStart"/>
      <w:r w:rsidRPr="00067953">
        <w:rPr>
          <w:rFonts w:eastAsia="Calibri" w:cs="Times New Roman"/>
          <w:szCs w:val="28"/>
          <w:lang w:val="uk-UA" w:eastAsia="ru-RU"/>
        </w:rPr>
        <w:t>the</w:t>
      </w:r>
      <w:proofErr w:type="spellEnd"/>
      <w:r w:rsidRPr="00067953">
        <w:rPr>
          <w:rFonts w:eastAsia="Calibri" w:cs="Times New Roman"/>
          <w:szCs w:val="28"/>
          <w:lang w:val="uk-UA" w:eastAsia="ru-RU"/>
        </w:rPr>
        <w:t xml:space="preserve"> </w:t>
      </w:r>
      <w:proofErr w:type="spellStart"/>
      <w:r w:rsidRPr="00067953">
        <w:rPr>
          <w:rFonts w:eastAsia="Calibri" w:cs="Times New Roman"/>
          <w:szCs w:val="28"/>
          <w:lang w:val="uk-UA" w:eastAsia="ru-RU"/>
        </w:rPr>
        <w:t>United</w:t>
      </w:r>
      <w:proofErr w:type="spellEnd"/>
      <w:r w:rsidRPr="00067953">
        <w:rPr>
          <w:rFonts w:eastAsia="Calibri" w:cs="Times New Roman"/>
          <w:szCs w:val="28"/>
          <w:lang w:val="uk-UA" w:eastAsia="ru-RU"/>
        </w:rPr>
        <w:t xml:space="preserve"> </w:t>
      </w:r>
      <w:proofErr w:type="spellStart"/>
      <w:r w:rsidRPr="00067953">
        <w:rPr>
          <w:rFonts w:eastAsia="Calibri" w:cs="Times New Roman"/>
          <w:szCs w:val="28"/>
          <w:lang w:val="uk-UA" w:eastAsia="ru-RU"/>
        </w:rPr>
        <w:t>Kingdom</w:t>
      </w:r>
      <w:proofErr w:type="spellEnd"/>
      <w:r w:rsidRPr="00067953">
        <w:rPr>
          <w:rFonts w:eastAsia="Calibri" w:cs="Times New Roman"/>
          <w:szCs w:val="28"/>
          <w:lang w:val="uk-UA" w:eastAsia="ru-RU"/>
        </w:rPr>
        <w:t>), заява № 30562/04 і № 30566/04, п. 95, ECHR 2008).</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Крім того, питання неефективності здійснення досудового розслідування в контексті частини п’ятої статті 36 КПК України (в редакції законопроекту), коли таку «неефективність»</w:t>
      </w:r>
      <w:r w:rsidRPr="00946966">
        <w:rPr>
          <w:rFonts w:eastAsia="Times New Roman" w:cs="Times New Roman"/>
          <w:szCs w:val="24"/>
          <w:lang w:val="uk-UA" w:eastAsia="ru-RU"/>
        </w:rPr>
        <w:t xml:space="preserve"> </w:t>
      </w:r>
      <w:r>
        <w:rPr>
          <w:rFonts w:eastAsia="Times New Roman" w:cs="Times New Roman"/>
          <w:szCs w:val="24"/>
          <w:lang w:val="uk-UA" w:eastAsia="ru-RU"/>
        </w:rPr>
        <w:t xml:space="preserve">неможливо усунути в межах одного органу досудового розслідування, зокрема шляхом ротації слідчих, керівників органу досудового розслідування тощо, є показником системного збою у роботі всього органу і </w:t>
      </w:r>
      <w:r w:rsidR="009E3091">
        <w:rPr>
          <w:rFonts w:eastAsia="Times New Roman" w:cs="Times New Roman"/>
          <w:szCs w:val="24"/>
          <w:lang w:val="uk-UA" w:eastAsia="ru-RU"/>
        </w:rPr>
        <w:t>може бути</w:t>
      </w:r>
      <w:r>
        <w:rPr>
          <w:rFonts w:eastAsia="Times New Roman" w:cs="Times New Roman"/>
          <w:szCs w:val="24"/>
          <w:lang w:val="uk-UA" w:eastAsia="ru-RU"/>
        </w:rPr>
        <w:t xml:space="preserve"> підставою для </w:t>
      </w:r>
      <w:r w:rsidR="009E3091">
        <w:rPr>
          <w:rFonts w:eastAsia="Times New Roman" w:cs="Times New Roman"/>
          <w:szCs w:val="24"/>
          <w:lang w:val="uk-UA" w:eastAsia="ru-RU"/>
        </w:rPr>
        <w:t>«</w:t>
      </w:r>
      <w:r>
        <w:rPr>
          <w:rFonts w:eastAsia="Times New Roman" w:cs="Times New Roman"/>
          <w:szCs w:val="24"/>
          <w:lang w:val="uk-UA" w:eastAsia="ru-RU"/>
        </w:rPr>
        <w:t>перезапуску</w:t>
      </w:r>
      <w:r w:rsidR="009E3091">
        <w:rPr>
          <w:rFonts w:eastAsia="Times New Roman" w:cs="Times New Roman"/>
          <w:szCs w:val="24"/>
          <w:lang w:val="uk-UA" w:eastAsia="ru-RU"/>
        </w:rPr>
        <w:t>»</w:t>
      </w:r>
      <w:bookmarkStart w:id="2" w:name="_GoBack"/>
      <w:bookmarkEnd w:id="2"/>
      <w:r>
        <w:rPr>
          <w:rFonts w:eastAsia="Times New Roman" w:cs="Times New Roman"/>
          <w:szCs w:val="24"/>
          <w:lang w:val="uk-UA" w:eastAsia="ru-RU"/>
        </w:rPr>
        <w:t xml:space="preserve"> такого органу зі зміною всього керівного складу, а також свідчить про </w:t>
      </w:r>
      <w:r w:rsidRPr="00CF2D6C">
        <w:rPr>
          <w:rFonts w:eastAsia="Times New Roman" w:cs="Times New Roman"/>
          <w:szCs w:val="24"/>
          <w:lang w:val="uk-UA" w:eastAsia="ru-RU"/>
        </w:rPr>
        <w:t>відсутність у чинному законодавстві реальних механізмів контролю якості діяльності ор</w:t>
      </w:r>
      <w:r>
        <w:rPr>
          <w:rFonts w:eastAsia="Times New Roman" w:cs="Times New Roman"/>
          <w:szCs w:val="24"/>
          <w:lang w:val="uk-UA" w:eastAsia="ru-RU"/>
        </w:rPr>
        <w:t>ганів досудового розслідування.</w:t>
      </w:r>
    </w:p>
    <w:p w:rsidR="00B36721" w:rsidRDefault="00B36721" w:rsidP="00B36721">
      <w:pPr>
        <w:spacing w:after="0" w:line="240" w:lineRule="auto"/>
        <w:ind w:firstLine="567"/>
        <w:jc w:val="both"/>
        <w:rPr>
          <w:rFonts w:eastAsia="Times New Roman" w:cs="Times New Roman"/>
          <w:szCs w:val="24"/>
          <w:lang w:val="uk-UA" w:eastAsia="ru-RU"/>
        </w:rPr>
      </w:pP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3. Положеннями законопроекту вносяться зміни до частини другої статті 214 КПК України, відповідно до змісту яких у переліку суб’єктів владних повноважень, за погодженням з якими затверджується Положення про Єдиний реєстр досудових розслідувань, порядок його формування та ведення, орган, що здійснює контроль за додержанням податкового законодавства, замінюється на БЕБ України.</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У зв’язку з наведеним, після набрання чинності цим законопроектом як законом може виникнути питання легітимності зазначеного Положення, а також легітимності внесених до ЄРДР відомостей.</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Отже на нашу думку, у перехідних положеннях законопроекту слід було б визначити правовий статус Положення</w:t>
      </w:r>
      <w:r w:rsidRPr="00EC7762">
        <w:rPr>
          <w:rFonts w:eastAsia="Times New Roman" w:cs="Times New Roman"/>
          <w:szCs w:val="24"/>
          <w:lang w:val="uk-UA" w:eastAsia="ru-RU"/>
        </w:rPr>
        <w:t xml:space="preserve"> </w:t>
      </w:r>
      <w:r>
        <w:rPr>
          <w:rFonts w:eastAsia="Times New Roman" w:cs="Times New Roman"/>
          <w:szCs w:val="24"/>
          <w:lang w:val="uk-UA" w:eastAsia="ru-RU"/>
        </w:rPr>
        <w:t xml:space="preserve">про Єдиний реєстр досудових розслідувань, порядок його формування та ведення та відомостей, що до нього вноситимуться після набрання чинності законом, а також протягом якого часу у </w:t>
      </w:r>
      <w:r>
        <w:rPr>
          <w:rFonts w:eastAsia="Times New Roman" w:cs="Times New Roman"/>
          <w:szCs w:val="24"/>
          <w:lang w:val="uk-UA" w:eastAsia="ru-RU"/>
        </w:rPr>
        <w:lastRenderedPageBreak/>
        <w:t>разі необхіності, слід затвердити нове положення. Крім того, слід було б вирішити питання нормативного правонаступництва інших підзаконних нормативно-правових актів, пов’язаних з БЕБ України.</w:t>
      </w:r>
    </w:p>
    <w:p w:rsidR="00B36721" w:rsidRDefault="00B36721" w:rsidP="00B36721">
      <w:pPr>
        <w:spacing w:after="0" w:line="240" w:lineRule="auto"/>
        <w:ind w:firstLine="567"/>
        <w:jc w:val="both"/>
        <w:rPr>
          <w:rFonts w:eastAsia="Times New Roman" w:cs="Times New Roman"/>
          <w:szCs w:val="24"/>
          <w:lang w:val="uk-UA" w:eastAsia="ru-RU"/>
        </w:rPr>
      </w:pPr>
    </w:p>
    <w:p w:rsidR="00B36721" w:rsidRPr="007E41DA"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4. Положення частини сьомої статті 214 та частини другої статті 218 КПК </w:t>
      </w:r>
      <w:r w:rsidRPr="007E41DA">
        <w:rPr>
          <w:rFonts w:eastAsia="Times New Roman" w:cs="Times New Roman"/>
          <w:szCs w:val="24"/>
          <w:lang w:val="uk-UA" w:eastAsia="ru-RU"/>
        </w:rPr>
        <w:t>України (у редакції законопроекту) передбачають збільшення часу для вирішення питання щодо визначення підслідності кримінальних проваджень.</w:t>
      </w:r>
    </w:p>
    <w:p w:rsidR="00B36721" w:rsidRDefault="00B36721" w:rsidP="00B36721">
      <w:pPr>
        <w:spacing w:after="0" w:line="240" w:lineRule="auto"/>
        <w:ind w:firstLine="567"/>
        <w:jc w:val="both"/>
        <w:rPr>
          <w:rFonts w:eastAsia="Times New Roman" w:cs="Times New Roman"/>
          <w:szCs w:val="24"/>
          <w:lang w:val="uk-UA" w:eastAsia="ru-RU"/>
        </w:rPr>
      </w:pPr>
      <w:r w:rsidRPr="007E41DA">
        <w:rPr>
          <w:rFonts w:eastAsia="Times New Roman" w:cs="Times New Roman"/>
          <w:szCs w:val="24"/>
          <w:lang w:val="uk-UA" w:eastAsia="ru-RU"/>
        </w:rPr>
        <w:t>Так, відповідно до</w:t>
      </w:r>
      <w:r>
        <w:rPr>
          <w:rFonts w:eastAsia="Times New Roman" w:cs="Times New Roman"/>
          <w:szCs w:val="24"/>
          <w:lang w:val="uk-UA" w:eastAsia="ru-RU"/>
        </w:rPr>
        <w:t xml:space="preserve"> частини сьомої статті 214 КПК України (в редакції законопроекту) я</w:t>
      </w:r>
      <w:r w:rsidRPr="00DB5E6F">
        <w:rPr>
          <w:rFonts w:eastAsia="Times New Roman" w:cs="Times New Roman"/>
          <w:szCs w:val="24"/>
          <w:lang w:val="uk-UA" w:eastAsia="ru-RU"/>
        </w:rPr>
        <w:t xml:space="preserve">кщо відомості про кримінальне правопорушення до Єдиного реєстру досудових розслідувань внесені прокурором, він зобов’язаний </w:t>
      </w:r>
      <w:r w:rsidRPr="00DB5E6F">
        <w:rPr>
          <w:rFonts w:eastAsia="Times New Roman" w:cs="Times New Roman"/>
          <w:i/>
          <w:szCs w:val="24"/>
          <w:lang w:val="uk-UA" w:eastAsia="ru-RU"/>
        </w:rPr>
        <w:t>протягом п’яти робочих днів</w:t>
      </w:r>
      <w:r w:rsidRPr="00DB5E6F">
        <w:rPr>
          <w:rFonts w:eastAsia="Times New Roman" w:cs="Times New Roman"/>
          <w:szCs w:val="24"/>
          <w:lang w:val="uk-UA" w:eastAsia="ru-RU"/>
        </w:rPr>
        <w:t xml:space="preserve"> </w:t>
      </w:r>
      <w:r>
        <w:rPr>
          <w:rFonts w:eastAsia="Times New Roman" w:cs="Times New Roman"/>
          <w:szCs w:val="24"/>
          <w:lang w:val="uk-UA" w:eastAsia="ru-RU"/>
        </w:rPr>
        <w:t>(«невідкладно, але не пізніше на</w:t>
      </w:r>
      <w:r w:rsidR="0015254A">
        <w:rPr>
          <w:rFonts w:eastAsia="Times New Roman" w:cs="Times New Roman"/>
          <w:szCs w:val="24"/>
          <w:lang w:val="uk-UA" w:eastAsia="ru-RU"/>
        </w:rPr>
        <w:t>ступного дня» у чинній редакції</w:t>
      </w:r>
      <w:r>
        <w:rPr>
          <w:rFonts w:eastAsia="Times New Roman" w:cs="Times New Roman"/>
          <w:szCs w:val="24"/>
          <w:lang w:val="uk-UA" w:eastAsia="ru-RU"/>
        </w:rPr>
        <w:t xml:space="preserve">) </w:t>
      </w:r>
      <w:r w:rsidRPr="00DB5E6F">
        <w:rPr>
          <w:rFonts w:eastAsia="Times New Roman" w:cs="Times New Roman"/>
          <w:szCs w:val="24"/>
          <w:lang w:val="uk-UA" w:eastAsia="ru-RU"/>
        </w:rPr>
        <w:t>з мо</w:t>
      </w:r>
      <w:r>
        <w:rPr>
          <w:rFonts w:eastAsia="Times New Roman" w:cs="Times New Roman"/>
          <w:szCs w:val="24"/>
          <w:lang w:val="uk-UA" w:eastAsia="ru-RU"/>
        </w:rPr>
        <w:t>менту внесення таких відомостей</w:t>
      </w:r>
      <w:r w:rsidRPr="00DB5E6F">
        <w:rPr>
          <w:rFonts w:eastAsia="Times New Roman" w:cs="Times New Roman"/>
          <w:szCs w:val="24"/>
          <w:lang w:val="uk-UA" w:eastAsia="ru-RU"/>
        </w:rPr>
        <w:t xml:space="preserve"> з дотриманням правил підслідності передати наявні у нього матеріали до відповідного органу досудового розслідування та доручити проведення досудового розслідування</w:t>
      </w:r>
      <w:r>
        <w:rPr>
          <w:rFonts w:eastAsia="Times New Roman" w:cs="Times New Roman"/>
          <w:szCs w:val="24"/>
          <w:lang w:val="uk-UA" w:eastAsia="ru-RU"/>
        </w:rPr>
        <w:t>.</w:t>
      </w:r>
    </w:p>
    <w:p w:rsidR="00B36721" w:rsidRPr="0059142F" w:rsidRDefault="00B36721" w:rsidP="00B36721">
      <w:pPr>
        <w:spacing w:after="0" w:line="240" w:lineRule="auto"/>
        <w:ind w:firstLine="567"/>
        <w:jc w:val="both"/>
        <w:rPr>
          <w:rFonts w:eastAsia="Times New Roman" w:cs="Times New Roman"/>
          <w:szCs w:val="28"/>
          <w:lang w:val="uk-UA" w:eastAsia="ru-RU"/>
        </w:rPr>
      </w:pPr>
      <w:r>
        <w:rPr>
          <w:rFonts w:eastAsia="Times New Roman" w:cs="Times New Roman"/>
          <w:szCs w:val="24"/>
          <w:lang w:val="uk-UA" w:eastAsia="ru-RU"/>
        </w:rPr>
        <w:t>Згідно з частиною другою статті 218 КПК України (у редакції законопроекту) я</w:t>
      </w:r>
      <w:r w:rsidRPr="0026226E">
        <w:rPr>
          <w:rFonts w:eastAsia="Times New Roman" w:cs="Times New Roman"/>
          <w:szCs w:val="24"/>
          <w:lang w:val="uk-UA" w:eastAsia="ru-RU"/>
        </w:rPr>
        <w:t xml:space="preserve">кщо слідчому із заяви, повідомлення або інших джерел стало відомо про обставини, які можуть свідчити про кримінальне правопорушення, розслідування якого не віднесене до його компетенції, він зобов’язаний </w:t>
      </w:r>
      <w:r w:rsidRPr="0026226E">
        <w:rPr>
          <w:rFonts w:eastAsia="Times New Roman" w:cs="Times New Roman"/>
          <w:i/>
          <w:szCs w:val="24"/>
          <w:lang w:val="uk-UA" w:eastAsia="ru-RU"/>
        </w:rPr>
        <w:t>протягом п’яти днів</w:t>
      </w:r>
      <w:r w:rsidRPr="0026226E">
        <w:rPr>
          <w:rFonts w:eastAsia="Times New Roman" w:cs="Times New Roman"/>
          <w:szCs w:val="24"/>
          <w:lang w:val="uk-UA" w:eastAsia="ru-RU"/>
        </w:rPr>
        <w:t xml:space="preserve"> з моменту встановлення таких обставин письмово повідомити про них прокурора та проводити розслідування доти, доки прокурор не визначить іншу підслідність. Прокурор розглядає письмове повідомлення слідчого </w:t>
      </w:r>
      <w:r w:rsidRPr="0026226E">
        <w:rPr>
          <w:rFonts w:eastAsia="Times New Roman" w:cs="Times New Roman"/>
          <w:i/>
          <w:szCs w:val="24"/>
          <w:lang w:val="uk-UA" w:eastAsia="ru-RU"/>
        </w:rPr>
        <w:t>протягом десяти днів</w:t>
      </w:r>
      <w:r w:rsidRPr="0026226E">
        <w:rPr>
          <w:rFonts w:eastAsia="Times New Roman" w:cs="Times New Roman"/>
          <w:szCs w:val="24"/>
          <w:lang w:val="uk-UA" w:eastAsia="ru-RU"/>
        </w:rPr>
        <w:t xml:space="preserve"> з моменту його отримання та у разі підтвердження наведених у ньому обставин, зобов’язаний прийняти </w:t>
      </w:r>
      <w:r w:rsidRPr="0059142F">
        <w:rPr>
          <w:rFonts w:eastAsia="Times New Roman" w:cs="Times New Roman"/>
          <w:szCs w:val="28"/>
          <w:lang w:val="uk-UA" w:eastAsia="ru-RU"/>
        </w:rPr>
        <w:t xml:space="preserve">постанову про визначення підслідності. Прокурор у разі самостійного встановлення обставин, що свідчать про необхідність визначення іншої підслідності, </w:t>
      </w:r>
      <w:r w:rsidRPr="0059142F">
        <w:rPr>
          <w:rFonts w:eastAsia="Times New Roman" w:cs="Times New Roman"/>
          <w:i/>
          <w:szCs w:val="28"/>
          <w:lang w:val="uk-UA" w:eastAsia="ru-RU"/>
        </w:rPr>
        <w:t>протягом десяти днів</w:t>
      </w:r>
      <w:r w:rsidRPr="0059142F">
        <w:rPr>
          <w:rFonts w:eastAsia="Times New Roman" w:cs="Times New Roman"/>
          <w:szCs w:val="28"/>
          <w:lang w:val="uk-UA" w:eastAsia="ru-RU"/>
        </w:rPr>
        <w:t xml:space="preserve"> з моменту встановлення таких обставин зобов’язаний прийняти постанову про визначення підслідності.</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Водночас зі змісту законопроекту не вбачається чи здійснено у такому провадженні повідомлення про підозру, чи це провадження стосовно злочину чи кримінального проступку, що значним чином впливає на загальні строки досудового розслідування. А отже затримка із визначенням підслідності в подальшому може призводити до необхідності продовження строків досудового розслідування.</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Отже, подібне збільшення на рівні закону строків для вирішення питання щодо визначення підслідності кримінальних проваджень є необґрунтованим і на практиці може негативно позначитися на ефективності досудового розслідування. Зокрема, встановлення таких строків унеможливлює розслідування «по гарячих слідах», оперативного збирання та фіксування доказів, а також обставин кримінального правопорушення, що можуть мати значення для притягнення винної особи до відповідальності.</w:t>
      </w:r>
    </w:p>
    <w:p w:rsidR="00B36721" w:rsidRPr="0059142F" w:rsidRDefault="00B36721" w:rsidP="00B36721">
      <w:pPr>
        <w:spacing w:after="0" w:line="240" w:lineRule="auto"/>
        <w:ind w:firstLine="567"/>
        <w:jc w:val="both"/>
        <w:rPr>
          <w:rFonts w:eastAsia="Times New Roman" w:cs="Times New Roman"/>
          <w:szCs w:val="28"/>
          <w:lang w:val="uk-UA" w:eastAsia="ru-RU"/>
        </w:rPr>
      </w:pP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 xml:space="preserve">Крім того, положення частини сьомої статті 214 та абзацу другого частини другої статті 218 КПК України (у редакції законопроекту) суперечать одне </w:t>
      </w:r>
      <w:r w:rsidRPr="0059142F">
        <w:rPr>
          <w:rFonts w:eastAsia="Times New Roman" w:cs="Times New Roman"/>
          <w:szCs w:val="28"/>
          <w:lang w:val="uk-UA" w:eastAsia="ru-RU"/>
        </w:rPr>
        <w:lastRenderedPageBreak/>
        <w:t>одному в частині визначення строку, протягом якого прокурор має визначити підслідність та передати матеріали провадження (5 та 10 днів).</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В частині використання слів «що свідчать про необхідність визначення іншої підслідності» (абзац третій частини другої статті 218 КПК України в редакції законопроекту) слід зазначити, що відповідно до положень статті 131</w:t>
      </w:r>
      <w:r w:rsidRPr="0059142F">
        <w:rPr>
          <w:rFonts w:eastAsia="Times New Roman" w:cs="Times New Roman"/>
          <w:szCs w:val="28"/>
          <w:vertAlign w:val="superscript"/>
          <w:lang w:val="uk-UA" w:eastAsia="ru-RU"/>
        </w:rPr>
        <w:t>1</w:t>
      </w:r>
      <w:r w:rsidRPr="0059142F">
        <w:rPr>
          <w:rFonts w:eastAsia="Times New Roman" w:cs="Times New Roman"/>
          <w:szCs w:val="28"/>
          <w:lang w:val="uk-UA" w:eastAsia="ru-RU"/>
        </w:rPr>
        <w:t xml:space="preserve"> Конституції України прокуратура не здійснює безпосередньо розслідування кримінальних правопорушень, а лише організацію і процесуальне керівництво досудовим розслідуванням. Отже зазначені слова слід виключити із тексту законопроекту.</w:t>
      </w:r>
    </w:p>
    <w:p w:rsidR="00B36721" w:rsidRPr="0059142F" w:rsidRDefault="00B36721" w:rsidP="00B36721">
      <w:pPr>
        <w:spacing w:after="0" w:line="240" w:lineRule="auto"/>
        <w:ind w:firstLine="567"/>
        <w:jc w:val="both"/>
        <w:rPr>
          <w:rFonts w:eastAsia="Times New Roman" w:cs="Times New Roman"/>
          <w:szCs w:val="28"/>
          <w:lang w:val="uk-UA" w:eastAsia="ru-RU"/>
        </w:rPr>
      </w:pP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5. Проектом пропонується віднести до повноважень детективів БЕБ України досудове розслідування кримінальних правопорушень, передбачених статтею 191 КК України «якщо предметом кримінального правопорушення є бюджетне відшкодування» (пункт 2 частини третьої статті 216 КПК України у редакції законопроекту).</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По-перше, незрозуміло, про яке саме бюджетне відшкодування йдеться. Тому слід було б уточнити, що мається на увазі бюджетне відшкодування податку на додану вартість.</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По-друге, кримінальним правопорушенням, передбаченим цією статтею, є привласнення чи розтрата чужого майна, яке було ввірене особі чи перебувало в її віданні.</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Бюджетне відшкодування не є майном і не може бути ввірене особі або перебувати в її віданні, оскільки це процес повернення частини суми сплаченого до бюджету податку на додану вартість у розмірі від'ємного значення різниці між сумою податкового зобов'язання звітного (податкового) періоду та сумою податкового кредиту такого звітного (податкового) періоду (стаття 200 Податкового кодексу України).</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Податковим кодексом України (стаття 123) передбачено відповідальність за завищення суми бюджетного відшкодування.</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У зв'язку з цим з запропонованої редакції частини третьої слід виключити:</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у пункті 2 цифри і слова «191 (якщо предметом кримінального правопорушення є бюджетне відшкодування)»;</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у пункті 3 слова і цифру «(крім випадку, передбаченого пунктом 2 частини третьої цієї статті)».</w:t>
      </w:r>
    </w:p>
    <w:p w:rsidR="00B36721" w:rsidRPr="0059142F" w:rsidRDefault="00B36721" w:rsidP="00B36721">
      <w:pPr>
        <w:spacing w:after="0" w:line="240" w:lineRule="auto"/>
        <w:ind w:firstLine="567"/>
        <w:jc w:val="both"/>
        <w:rPr>
          <w:rFonts w:eastAsia="Times New Roman" w:cs="Times New Roman"/>
          <w:szCs w:val="28"/>
          <w:lang w:val="uk-UA" w:eastAsia="ru-RU"/>
        </w:rPr>
      </w:pP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6. Відповідно до абзацу першого частини п’ятої статті 216 КПК України (у редакції чинного КПК України) та пункту 2 частини п’ятої статті 216 КПК України (у редакції законопроекту) детективи НАБУ здійснюють досудове розслідування кримінальних правопорушень, передбачених, серед іншого, статтею 354 КК України «стосовно працівників юридичних осіб публічного права».</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 xml:space="preserve">При цьому слід зазначити, що якщо відповідно до положень частин третьої та четвертої статті 354 «Підкуп працівника підприємства, установи чи організації» КК України (у чинній редакції) «працівник юридичної особи </w:t>
      </w:r>
      <w:r w:rsidRPr="0059142F">
        <w:rPr>
          <w:rFonts w:eastAsia="Times New Roman" w:cs="Times New Roman"/>
          <w:szCs w:val="28"/>
          <w:lang w:val="uk-UA" w:eastAsia="ru-RU"/>
        </w:rPr>
        <w:lastRenderedPageBreak/>
        <w:t>публічного права» є суб’єктом відповідного кримінального правопорушення, то відповідно до положень частин першої та другої статті 354 КК України (у чинній редакції) – лише ознакою об’єктивної сторони відповідного кримінального правопорушення.</w:t>
      </w:r>
    </w:p>
    <w:p w:rsidR="00B36721" w:rsidRPr="0059142F" w:rsidRDefault="00B36721" w:rsidP="00B36721">
      <w:pPr>
        <w:spacing w:after="0" w:line="240" w:lineRule="auto"/>
        <w:ind w:firstLine="567"/>
        <w:jc w:val="both"/>
        <w:rPr>
          <w:rFonts w:eastAsia="Times New Roman" w:cs="Times New Roman"/>
          <w:szCs w:val="28"/>
          <w:lang w:val="uk-UA" w:eastAsia="ru-RU"/>
        </w:rPr>
      </w:pPr>
      <w:r w:rsidRPr="0059142F">
        <w:rPr>
          <w:rFonts w:eastAsia="Times New Roman" w:cs="Times New Roman"/>
          <w:szCs w:val="28"/>
          <w:lang w:val="uk-UA" w:eastAsia="ru-RU"/>
        </w:rPr>
        <w:t>З урахуванням наведеного, в частині використання слів «стосовно працівників юридичних осіб публічного права» неможливо точно встановити, чи маються на увазі склади кримінальних правопорушень із спеціальним суб’єктом, чи зі спеціальною ознакою об’єктивної сторони спеціального складу правопорушення, чи обидва наведені випадки, а отже неможливо встановити межі повноважень НАБУ щодо досудового розслідування кримінальних правопорушень, передбачених статтею 354 КК України, що не враховує вимог статей 8 та 19 Конституції України.</w:t>
      </w:r>
    </w:p>
    <w:p w:rsidR="00B36721" w:rsidRPr="0059142F" w:rsidRDefault="00B36721" w:rsidP="00B36721">
      <w:pPr>
        <w:spacing w:after="0" w:line="240" w:lineRule="auto"/>
        <w:ind w:firstLine="567"/>
        <w:jc w:val="both"/>
        <w:rPr>
          <w:rFonts w:eastAsia="Times New Roman" w:cs="Times New Roman"/>
          <w:szCs w:val="28"/>
          <w:lang w:val="uk-UA" w:eastAsia="ru-RU"/>
        </w:rPr>
      </w:pPr>
    </w:p>
    <w:p w:rsidR="00B36721" w:rsidRPr="008113CE" w:rsidRDefault="00B36721" w:rsidP="00B36721">
      <w:pPr>
        <w:spacing w:after="0" w:line="240" w:lineRule="auto"/>
        <w:ind w:firstLine="567"/>
        <w:jc w:val="both"/>
        <w:rPr>
          <w:rFonts w:eastAsia="Times New Roman" w:cs="Times New Roman"/>
          <w:szCs w:val="24"/>
          <w:lang w:val="uk-UA" w:eastAsia="ru-RU"/>
        </w:rPr>
      </w:pPr>
      <w:r w:rsidRPr="0059142F">
        <w:rPr>
          <w:rFonts w:eastAsia="Times New Roman" w:cs="Times New Roman"/>
          <w:szCs w:val="28"/>
          <w:lang w:val="uk-UA" w:eastAsia="ru-RU"/>
        </w:rPr>
        <w:t>7. Відповідно до абзацу п’ятого частини третьої статті 216 КПК України (у редакції законопроекту) якщо під час розслідування кримінальних правопорушень, зазначених у пунктах 1, 2 і 3 частини третьої статті 216 КПК України, будуть встановлені кримінальні правопорушення, передбачені статтями 192, 216, 358, 366, 369 Кримінального кодексу України, вчинені особою, стосовно</w:t>
      </w:r>
      <w:r w:rsidRPr="008113CE">
        <w:rPr>
          <w:rFonts w:eastAsia="Times New Roman" w:cs="Times New Roman"/>
          <w:szCs w:val="24"/>
          <w:lang w:val="uk-UA" w:eastAsia="ru-RU"/>
        </w:rPr>
        <w:t xml:space="preserve"> якої здійснюється досудове розслідування, або іншою особою, якщо вони пов’язані з кримінальними правопорушеннями, вчиненими особою, стосовно якої здійснюється досудове розслідування, такі правопорушення можуть розсліду</w:t>
      </w:r>
      <w:r>
        <w:rPr>
          <w:rFonts w:eastAsia="Times New Roman" w:cs="Times New Roman"/>
          <w:szCs w:val="24"/>
          <w:lang w:val="uk-UA" w:eastAsia="ru-RU"/>
        </w:rPr>
        <w:t>вати</w:t>
      </w:r>
      <w:r w:rsidRPr="008113CE">
        <w:rPr>
          <w:rFonts w:eastAsia="Times New Roman" w:cs="Times New Roman"/>
          <w:szCs w:val="24"/>
          <w:lang w:val="uk-UA" w:eastAsia="ru-RU"/>
        </w:rPr>
        <w:t xml:space="preserve">ся детективами органів </w:t>
      </w:r>
      <w:r>
        <w:rPr>
          <w:rFonts w:eastAsia="Times New Roman" w:cs="Times New Roman"/>
          <w:szCs w:val="24"/>
          <w:lang w:val="uk-UA" w:eastAsia="ru-RU"/>
        </w:rPr>
        <w:t>БЕБ</w:t>
      </w:r>
      <w:r w:rsidRPr="008113CE">
        <w:rPr>
          <w:rFonts w:eastAsia="Times New Roman" w:cs="Times New Roman"/>
          <w:szCs w:val="24"/>
          <w:lang w:val="uk-UA" w:eastAsia="ru-RU"/>
        </w:rPr>
        <w:t xml:space="preserve"> України, у разі якщо досудове розслідування таких кримінальних правопорушень не віднесено до підслідності </w:t>
      </w:r>
      <w:r>
        <w:rPr>
          <w:rFonts w:eastAsia="Times New Roman" w:cs="Times New Roman"/>
          <w:szCs w:val="24"/>
          <w:lang w:val="uk-UA" w:eastAsia="ru-RU"/>
        </w:rPr>
        <w:t>ДБР</w:t>
      </w:r>
      <w:r w:rsidRPr="008113CE">
        <w:rPr>
          <w:rFonts w:eastAsia="Times New Roman" w:cs="Times New Roman"/>
          <w:szCs w:val="24"/>
          <w:lang w:val="uk-UA" w:eastAsia="ru-RU"/>
        </w:rPr>
        <w:t xml:space="preserve"> чи </w:t>
      </w:r>
      <w:r>
        <w:rPr>
          <w:rFonts w:eastAsia="Times New Roman" w:cs="Times New Roman"/>
          <w:szCs w:val="24"/>
          <w:lang w:val="uk-UA" w:eastAsia="ru-RU"/>
        </w:rPr>
        <w:t>НАБУ.</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На нашу думку, подібний імперативний припис закону не завжди здатен урахувати усі обставини відповідного кримінального провадження, а отже належно врегулювати питання підслідності з метою забезпечення подальшого ефективного розслідування. Питання вирішення спорів про підслідність при сукупності кримінальних правопорушень, що мають різну підслідність, слід було б віддати на розсуд прокурора, окресливши в законі загальні принципи такого розсуду єдині для усіх органів досудового розслідування.</w:t>
      </w:r>
    </w:p>
    <w:p w:rsidR="00B36721" w:rsidRDefault="00B36721" w:rsidP="00B36721">
      <w:pPr>
        <w:spacing w:after="0" w:line="240" w:lineRule="auto"/>
        <w:ind w:firstLine="567"/>
        <w:jc w:val="both"/>
        <w:rPr>
          <w:rFonts w:eastAsia="Times New Roman" w:cs="Times New Roman"/>
          <w:szCs w:val="24"/>
          <w:lang w:val="uk-UA" w:eastAsia="ru-RU"/>
        </w:rPr>
      </w:pPr>
    </w:p>
    <w:p w:rsidR="00B36721" w:rsidRPr="004B514D" w:rsidRDefault="00B36721" w:rsidP="00B36721">
      <w:pPr>
        <w:spacing w:after="0" w:line="240" w:lineRule="auto"/>
        <w:ind w:firstLine="567"/>
        <w:jc w:val="both"/>
        <w:rPr>
          <w:rFonts w:eastAsia="Times New Roman" w:cs="Times New Roman"/>
          <w:szCs w:val="24"/>
          <w:lang w:val="uk-UA" w:eastAsia="ru-RU"/>
        </w:rPr>
      </w:pPr>
      <w:r w:rsidRPr="004B514D">
        <w:rPr>
          <w:rFonts w:eastAsia="Times New Roman" w:cs="Times New Roman"/>
          <w:szCs w:val="24"/>
          <w:lang w:val="uk-UA" w:eastAsia="ru-RU"/>
        </w:rPr>
        <w:t>8. Відповідно до положень законопроекту перелік осіб, стосовно яких слідчі органів ДБР здійснюють досудове розслідування, доповнюється Директором БЕБ України (пункт перший частини четвертої статті 216 КПК України). Водночас перелік осіб, стосовно яких досудове розслідування здійснюють детективи НАБУ, доповнюється не лише Директором БЕБ України, а і його заступником (абзац другий пункту 1 частини п’ятої статті 216 КПК України).</w:t>
      </w:r>
    </w:p>
    <w:p w:rsidR="00B36721" w:rsidRPr="004B514D" w:rsidRDefault="00B36721" w:rsidP="00B36721">
      <w:pPr>
        <w:spacing w:after="0" w:line="240" w:lineRule="auto"/>
        <w:ind w:firstLine="567"/>
        <w:jc w:val="both"/>
        <w:rPr>
          <w:rFonts w:eastAsia="Times New Roman" w:cs="Times New Roman"/>
          <w:szCs w:val="24"/>
          <w:lang w:val="uk-UA" w:eastAsia="ru-RU"/>
        </w:rPr>
      </w:pPr>
      <w:r w:rsidRPr="004B514D">
        <w:rPr>
          <w:rFonts w:eastAsia="Times New Roman" w:cs="Times New Roman"/>
          <w:szCs w:val="24"/>
          <w:lang w:val="uk-UA" w:eastAsia="ru-RU"/>
        </w:rPr>
        <w:t>У зв’язку з наведеним слід зазначити, що у законопроекті відсутній єдиний підхід до визначення підслідності кримінальних правопорушень за ознакою суб’єкта складу кримінального правопорушення.</w:t>
      </w:r>
    </w:p>
    <w:p w:rsidR="00B36721" w:rsidRPr="004B514D" w:rsidRDefault="00B36721" w:rsidP="00B36721">
      <w:pPr>
        <w:spacing w:after="0" w:line="240" w:lineRule="auto"/>
        <w:ind w:firstLine="567"/>
        <w:jc w:val="both"/>
        <w:rPr>
          <w:rFonts w:eastAsia="Times New Roman" w:cs="Times New Roman"/>
          <w:szCs w:val="24"/>
          <w:lang w:val="uk-UA" w:eastAsia="ru-RU"/>
        </w:rPr>
      </w:pPr>
      <w:r w:rsidRPr="004B514D">
        <w:rPr>
          <w:rFonts w:eastAsia="Times New Roman" w:cs="Times New Roman"/>
          <w:szCs w:val="24"/>
          <w:lang w:val="uk-UA" w:eastAsia="ru-RU"/>
        </w:rPr>
        <w:t xml:space="preserve">Крім того, відповідно до положень Закону України «Про Бюро економічної безпеки України» до керівного складу БЕБ України відносяться не лише Директор і заступник, а й перший заступник Директора. Отже, абзац другий </w:t>
      </w:r>
      <w:r w:rsidRPr="004B514D">
        <w:rPr>
          <w:rFonts w:eastAsia="Times New Roman" w:cs="Times New Roman"/>
          <w:szCs w:val="24"/>
          <w:lang w:val="uk-UA" w:eastAsia="ru-RU"/>
        </w:rPr>
        <w:lastRenderedPageBreak/>
        <w:t>пункту 1 частини п’ятої статті 216 КПК України (в редакції законопроекту) в частині вказівки на керівний склад БЕБ України не враховує положень Закону України «Про Бюро економічної безпеки України».</w:t>
      </w:r>
    </w:p>
    <w:p w:rsidR="00B36721" w:rsidRDefault="00B36721" w:rsidP="00B36721">
      <w:pPr>
        <w:spacing w:after="0" w:line="240" w:lineRule="auto"/>
        <w:ind w:firstLine="567"/>
        <w:jc w:val="both"/>
        <w:rPr>
          <w:rFonts w:eastAsia="Times New Roman" w:cs="Times New Roman"/>
          <w:szCs w:val="24"/>
          <w:lang w:val="uk-UA" w:eastAsia="ru-RU"/>
        </w:rPr>
      </w:pPr>
    </w:p>
    <w:p w:rsidR="00B36721" w:rsidRPr="00EF39C3" w:rsidRDefault="00B36721" w:rsidP="00B36721">
      <w:pPr>
        <w:spacing w:after="0" w:line="240" w:lineRule="auto"/>
        <w:ind w:firstLine="567"/>
        <w:jc w:val="both"/>
        <w:rPr>
          <w:rFonts w:eastAsia="Times New Roman" w:cs="Times New Roman"/>
          <w:szCs w:val="24"/>
          <w:lang w:eastAsia="ru-RU"/>
        </w:rPr>
      </w:pPr>
      <w:r>
        <w:rPr>
          <w:rFonts w:eastAsia="Times New Roman" w:cs="Times New Roman"/>
          <w:szCs w:val="24"/>
          <w:lang w:val="uk-UA" w:eastAsia="ru-RU"/>
        </w:rPr>
        <w:t>9. Положеннями законопроекту передбачено внесення змін до статті 246 «</w:t>
      </w:r>
      <w:r w:rsidRPr="005E7380">
        <w:rPr>
          <w:rFonts w:eastAsia="Times New Roman" w:cs="Times New Roman"/>
          <w:szCs w:val="24"/>
          <w:lang w:val="uk-UA" w:eastAsia="ru-RU"/>
        </w:rPr>
        <w:t>Підстави проведення негласних слідчих (розшукових) дій</w:t>
      </w:r>
      <w:r>
        <w:rPr>
          <w:rFonts w:eastAsia="Times New Roman" w:cs="Times New Roman"/>
          <w:szCs w:val="24"/>
          <w:lang w:val="uk-UA" w:eastAsia="ru-RU"/>
        </w:rPr>
        <w:t xml:space="preserve">» КПК України. У частині п’ятій, що регламентує продовження строку проведення негласних слідчих (розшукових) дій викладаються у новій редакції абзаци четвертий та п’ятий. </w:t>
      </w:r>
    </w:p>
    <w:p w:rsidR="00B36721" w:rsidRPr="00EF39C3"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Відповідно до абзацу четвертого частини п’ятої статті 246 КПК України (у редакції законопроекту) строк проведення негласних слідчих (розшукових) дій може бути продовжений </w:t>
      </w:r>
      <w:r w:rsidRPr="00EF39C3">
        <w:rPr>
          <w:rFonts w:eastAsia="Times New Roman" w:cs="Times New Roman"/>
          <w:szCs w:val="24"/>
          <w:lang w:eastAsia="ru-RU"/>
        </w:rPr>
        <w:t xml:space="preserve">начальником головного, </w:t>
      </w:r>
      <w:r w:rsidRPr="00EF39C3">
        <w:rPr>
          <w:rFonts w:eastAsia="Times New Roman" w:cs="Times New Roman"/>
          <w:szCs w:val="24"/>
          <w:lang w:val="uk-UA" w:eastAsia="ru-RU"/>
        </w:rPr>
        <w:t>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 органу Державного бюро розслідувань, органу Бюро економічної безпеки України, Державної кримінально-виконавчої служби України, регіонального органу Служби безпеки України в межах компетенції, якщо негласна слідча (розшукова) дія проводиться за рішенням слідчого, - до дванадцяти місяців.</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Слід зазначити, що наведений перелік осіб не узгоджується із жодним переліком осіб, уповноважених на здійснення досудового розслідування, зокрема наведених у пунктах 7</w:t>
      </w:r>
      <w:r w:rsidRPr="002D3475">
        <w:rPr>
          <w:rFonts w:eastAsia="Times New Roman" w:cs="Times New Roman"/>
          <w:szCs w:val="24"/>
          <w:vertAlign w:val="superscript"/>
          <w:lang w:val="uk-UA" w:eastAsia="ru-RU"/>
        </w:rPr>
        <w:t>1</w:t>
      </w:r>
      <w:r>
        <w:rPr>
          <w:rFonts w:eastAsia="Times New Roman" w:cs="Times New Roman"/>
          <w:szCs w:val="24"/>
          <w:lang w:val="uk-UA" w:eastAsia="ru-RU"/>
        </w:rPr>
        <w:t>, 8, 17 частини першої статті 3, статтях 38, 41 КПК України (як у чинній редакції</w:t>
      </w:r>
      <w:r w:rsidR="00E2120B">
        <w:rPr>
          <w:rFonts w:eastAsia="Times New Roman" w:cs="Times New Roman"/>
          <w:szCs w:val="24"/>
          <w:lang w:val="uk-UA" w:eastAsia="ru-RU"/>
        </w:rPr>
        <w:t>,</w:t>
      </w:r>
      <w:r>
        <w:rPr>
          <w:rFonts w:eastAsia="Times New Roman" w:cs="Times New Roman"/>
          <w:szCs w:val="24"/>
          <w:lang w:val="uk-UA" w:eastAsia="ru-RU"/>
        </w:rPr>
        <w:t xml:space="preserve"> так і редакції законопроекту). </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Отже, в контексті положень КПК України не можливо визначити, які саме посадові особи маються на увазі під «</w:t>
      </w:r>
      <w:r w:rsidRPr="00522FB5">
        <w:rPr>
          <w:rFonts w:eastAsia="Times New Roman" w:cs="Times New Roman"/>
          <w:szCs w:val="24"/>
          <w:lang w:val="uk-UA" w:eastAsia="ru-RU"/>
        </w:rPr>
        <w:t>начальником головного, самостійного управління, департаменту апарату Національної поліції, територіальних органів Національної поліції та його відокремлених підрозділів, Центрального управління Служби безпеки України, керівником відповідного підрозділу Національного антикорупційного бюро України</w:t>
      </w:r>
      <w:r>
        <w:rPr>
          <w:rFonts w:eastAsia="Times New Roman" w:cs="Times New Roman"/>
          <w:szCs w:val="24"/>
          <w:lang w:val="uk-UA" w:eastAsia="ru-RU"/>
        </w:rPr>
        <w:t>». Чи це посадові особи підрозділів, уповноважених на здійснення досудового розслідування, чи посадові особи в тому числі і неслідчих підрозділів?</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Це питання набуває особливого значення в контексті того, що такі посадові особи можуть продовжувати </w:t>
      </w:r>
      <w:r w:rsidRPr="00522FB5">
        <w:rPr>
          <w:rFonts w:eastAsia="Times New Roman" w:cs="Times New Roman"/>
          <w:szCs w:val="24"/>
          <w:lang w:val="uk-UA" w:eastAsia="ru-RU"/>
        </w:rPr>
        <w:t>строк проведення негласних слідчих (розшукових) дій</w:t>
      </w:r>
      <w:r>
        <w:rPr>
          <w:rFonts w:eastAsia="Times New Roman" w:cs="Times New Roman"/>
          <w:szCs w:val="24"/>
          <w:lang w:val="uk-UA" w:eastAsia="ru-RU"/>
        </w:rPr>
        <w:t xml:space="preserve"> до дванадцяти місяців, в той час як керівник органу досудового розслідування лише до шести місяців (абзац третій частини п’ятої статті 246 КПК України у чинній редакції).</w:t>
      </w: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Таким чином, наведені положення законопроекту не узгоджуються із положеннями КПК України, а також містять ознаки правової невизначеності, що не враховує вимог статті 8 Конституції України.</w:t>
      </w:r>
    </w:p>
    <w:p w:rsidR="00B36721" w:rsidRDefault="00B36721" w:rsidP="00B36721">
      <w:pPr>
        <w:spacing w:after="0" w:line="240" w:lineRule="auto"/>
        <w:ind w:firstLine="567"/>
        <w:jc w:val="both"/>
        <w:rPr>
          <w:rFonts w:eastAsia="Times New Roman" w:cs="Times New Roman"/>
          <w:szCs w:val="24"/>
          <w:lang w:val="uk-UA" w:eastAsia="ru-RU"/>
        </w:rPr>
      </w:pPr>
    </w:p>
    <w:p w:rsidR="00B36721" w:rsidRDefault="00B36721" w:rsidP="00B36721">
      <w:pPr>
        <w:spacing w:after="0" w:line="240" w:lineRule="auto"/>
        <w:ind w:firstLine="567"/>
        <w:jc w:val="both"/>
        <w:rPr>
          <w:rFonts w:eastAsia="Times New Roman" w:cs="Times New Roman"/>
          <w:szCs w:val="24"/>
          <w:lang w:val="uk-UA" w:eastAsia="ru-RU"/>
        </w:rPr>
      </w:pPr>
      <w:r>
        <w:rPr>
          <w:rFonts w:eastAsia="Times New Roman" w:cs="Times New Roman"/>
          <w:szCs w:val="24"/>
          <w:lang w:val="uk-UA" w:eastAsia="ru-RU"/>
        </w:rPr>
        <w:t xml:space="preserve">10. Також, на нашу думку, законопроект потребує техніко-юридичного доопрацювання в частині вказівки на </w:t>
      </w:r>
      <w:r w:rsidRPr="0059142F">
        <w:rPr>
          <w:rFonts w:eastAsia="Times New Roman" w:cs="Times New Roman"/>
          <w:i/>
          <w:szCs w:val="24"/>
          <w:lang w:val="uk-UA" w:eastAsia="ru-RU"/>
        </w:rPr>
        <w:t>органи</w:t>
      </w:r>
      <w:r>
        <w:rPr>
          <w:rFonts w:eastAsia="Times New Roman" w:cs="Times New Roman"/>
          <w:szCs w:val="24"/>
          <w:lang w:val="uk-UA" w:eastAsia="ru-RU"/>
        </w:rPr>
        <w:t xml:space="preserve"> БЕБ України у статтях 263 та 269</w:t>
      </w:r>
      <w:r w:rsidRPr="0059142F">
        <w:rPr>
          <w:rFonts w:eastAsia="Times New Roman" w:cs="Times New Roman"/>
          <w:szCs w:val="24"/>
          <w:vertAlign w:val="superscript"/>
          <w:lang w:val="uk-UA" w:eastAsia="ru-RU"/>
        </w:rPr>
        <w:t>1</w:t>
      </w:r>
      <w:r>
        <w:rPr>
          <w:rFonts w:eastAsia="Times New Roman" w:cs="Times New Roman"/>
          <w:szCs w:val="24"/>
          <w:lang w:val="uk-UA" w:eastAsia="ru-RU"/>
        </w:rPr>
        <w:t xml:space="preserve"> КПК України (у редакції законопроекту).</w:t>
      </w:r>
    </w:p>
    <w:p w:rsidR="00B36721" w:rsidRDefault="00B36721" w:rsidP="00B36721">
      <w:pPr>
        <w:spacing w:after="0" w:line="240" w:lineRule="auto"/>
        <w:ind w:firstLine="567"/>
        <w:jc w:val="both"/>
        <w:rPr>
          <w:rFonts w:eastAsia="Times New Roman" w:cs="Times New Roman"/>
          <w:szCs w:val="24"/>
          <w:lang w:val="uk-UA" w:eastAsia="ru-RU"/>
        </w:rPr>
      </w:pPr>
    </w:p>
    <w:p w:rsidR="00B36721" w:rsidRPr="00FE4C70" w:rsidRDefault="00B36721" w:rsidP="00B36721">
      <w:pPr>
        <w:spacing w:after="0" w:line="240" w:lineRule="auto"/>
        <w:ind w:firstLine="540"/>
        <w:jc w:val="both"/>
        <w:rPr>
          <w:rFonts w:eastAsia="Calibri" w:cs="Times New Roman"/>
          <w:bCs/>
          <w:color w:val="000000"/>
          <w:szCs w:val="28"/>
          <w:lang w:val="uk-UA"/>
        </w:rPr>
      </w:pPr>
      <w:r w:rsidRPr="00FE4C70">
        <w:rPr>
          <w:rFonts w:eastAsia="Calibri" w:cs="Times New Roman"/>
          <w:b/>
          <w:bCs/>
          <w:color w:val="000000"/>
          <w:szCs w:val="28"/>
          <w:u w:val="single"/>
          <w:lang w:val="uk-UA"/>
        </w:rPr>
        <w:t>Узагальнюючий висновок</w:t>
      </w:r>
      <w:r w:rsidRPr="00FE4C70">
        <w:rPr>
          <w:rFonts w:eastAsia="Calibri" w:cs="Times New Roman"/>
          <w:bCs/>
          <w:color w:val="000000"/>
          <w:szCs w:val="28"/>
          <w:lang w:val="uk-UA"/>
        </w:rPr>
        <w:t>:</w:t>
      </w:r>
      <w:r w:rsidRPr="00FE4C70">
        <w:rPr>
          <w:rFonts w:eastAsia="Calibri" w:cs="Times New Roman"/>
          <w:bCs/>
          <w:color w:val="000000"/>
          <w:szCs w:val="28"/>
        </w:rPr>
        <w:t xml:space="preserve"> </w:t>
      </w:r>
      <w:r w:rsidRPr="00FE4C70">
        <w:rPr>
          <w:rFonts w:eastAsia="Calibri" w:cs="Times New Roman"/>
          <w:bCs/>
          <w:color w:val="000000"/>
          <w:szCs w:val="28"/>
          <w:lang w:val="uk-UA"/>
        </w:rPr>
        <w:t>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Pr="00FE4C70">
        <w:rPr>
          <w:rFonts w:eastAsia="Calibri" w:cs="Times New Roman"/>
          <w:bCs/>
          <w:i/>
          <w:color w:val="000000"/>
          <w:szCs w:val="28"/>
          <w:lang w:val="uk-UA"/>
        </w:rPr>
        <w:t xml:space="preserve"> </w:t>
      </w:r>
    </w:p>
    <w:p w:rsidR="00B36721" w:rsidRPr="00FE4C70" w:rsidRDefault="00B36721" w:rsidP="00B36721">
      <w:pPr>
        <w:spacing w:after="0" w:line="240" w:lineRule="auto"/>
        <w:ind w:firstLine="540"/>
        <w:jc w:val="both"/>
        <w:rPr>
          <w:rFonts w:eastAsia="Calibri" w:cs="Times New Roman"/>
          <w:bCs/>
          <w:color w:val="000000"/>
          <w:szCs w:val="28"/>
          <w:lang w:val="uk-UA"/>
        </w:rPr>
      </w:pPr>
    </w:p>
    <w:p w:rsidR="00B36721" w:rsidRPr="00FE4C70" w:rsidRDefault="00B36721" w:rsidP="00B36721">
      <w:pPr>
        <w:spacing w:after="0" w:line="240" w:lineRule="auto"/>
        <w:ind w:firstLine="540"/>
        <w:jc w:val="both"/>
        <w:rPr>
          <w:rFonts w:eastAsia="Calibri" w:cs="Times New Roman"/>
          <w:bCs/>
          <w:color w:val="000000"/>
          <w:szCs w:val="28"/>
          <w:lang w:val="uk-UA"/>
        </w:rPr>
      </w:pPr>
    </w:p>
    <w:p w:rsidR="00C527C6" w:rsidRPr="00C527C6" w:rsidRDefault="00C527C6" w:rsidP="00C527C6">
      <w:pPr>
        <w:spacing w:after="0" w:line="240" w:lineRule="auto"/>
        <w:jc w:val="both"/>
        <w:rPr>
          <w:rFonts w:eastAsia="Calibri" w:cs="Times New Roman"/>
          <w:b/>
          <w:bCs/>
          <w:color w:val="000000"/>
          <w:szCs w:val="28"/>
          <w:lang w:val="uk-UA"/>
        </w:rPr>
      </w:pPr>
      <w:r w:rsidRPr="00C527C6">
        <w:rPr>
          <w:rFonts w:eastAsia="Calibri" w:cs="Times New Roman"/>
          <w:b/>
          <w:bCs/>
          <w:color w:val="000000"/>
          <w:szCs w:val="28"/>
          <w:lang w:val="uk-UA"/>
        </w:rPr>
        <w:t xml:space="preserve">Перший заступник керівника </w:t>
      </w:r>
    </w:p>
    <w:p w:rsidR="00C527C6" w:rsidRPr="00C527C6" w:rsidRDefault="00C527C6" w:rsidP="00C527C6">
      <w:pPr>
        <w:spacing w:after="0" w:line="240" w:lineRule="auto"/>
        <w:jc w:val="both"/>
        <w:rPr>
          <w:rFonts w:eastAsia="Calibri" w:cs="Times New Roman"/>
          <w:b/>
          <w:bCs/>
          <w:color w:val="000000"/>
          <w:szCs w:val="28"/>
          <w:lang w:val="uk-UA"/>
        </w:rPr>
      </w:pPr>
      <w:r w:rsidRPr="00C527C6">
        <w:rPr>
          <w:rFonts w:eastAsia="Calibri" w:cs="Times New Roman"/>
          <w:b/>
          <w:bCs/>
          <w:color w:val="000000"/>
          <w:szCs w:val="28"/>
          <w:lang w:val="uk-UA"/>
        </w:rPr>
        <w:t xml:space="preserve">Головного управління </w:t>
      </w:r>
      <w:r w:rsidRPr="00C527C6">
        <w:rPr>
          <w:rFonts w:eastAsia="Calibri" w:cs="Times New Roman"/>
          <w:b/>
          <w:bCs/>
          <w:color w:val="000000"/>
          <w:szCs w:val="28"/>
          <w:lang w:val="uk-UA"/>
        </w:rPr>
        <w:tab/>
      </w:r>
      <w:r w:rsidRPr="00C527C6">
        <w:rPr>
          <w:rFonts w:eastAsia="Calibri" w:cs="Times New Roman"/>
          <w:b/>
          <w:bCs/>
          <w:color w:val="000000"/>
          <w:szCs w:val="28"/>
          <w:lang w:val="uk-UA"/>
        </w:rPr>
        <w:tab/>
      </w:r>
      <w:r w:rsidRPr="00C527C6">
        <w:rPr>
          <w:rFonts w:eastAsia="Calibri" w:cs="Times New Roman"/>
          <w:b/>
          <w:bCs/>
          <w:color w:val="000000"/>
          <w:szCs w:val="28"/>
          <w:lang w:val="uk-UA"/>
        </w:rPr>
        <w:tab/>
      </w:r>
      <w:r w:rsidRPr="00C527C6">
        <w:rPr>
          <w:rFonts w:eastAsia="Calibri" w:cs="Times New Roman"/>
          <w:b/>
          <w:bCs/>
          <w:color w:val="000000"/>
          <w:szCs w:val="28"/>
          <w:lang w:val="uk-UA"/>
        </w:rPr>
        <w:tab/>
      </w:r>
      <w:r w:rsidRPr="00C527C6">
        <w:rPr>
          <w:rFonts w:eastAsia="Calibri" w:cs="Times New Roman"/>
          <w:b/>
          <w:bCs/>
          <w:color w:val="000000"/>
          <w:szCs w:val="28"/>
          <w:lang w:val="uk-UA"/>
        </w:rPr>
        <w:tab/>
      </w:r>
      <w:r w:rsidRPr="00C527C6">
        <w:rPr>
          <w:rFonts w:eastAsia="Calibri" w:cs="Times New Roman"/>
          <w:b/>
          <w:bCs/>
          <w:color w:val="000000"/>
          <w:szCs w:val="28"/>
          <w:lang w:val="uk-UA"/>
        </w:rPr>
        <w:tab/>
      </w:r>
      <w:r w:rsidRPr="00C527C6">
        <w:rPr>
          <w:rFonts w:eastAsia="Calibri" w:cs="Times New Roman"/>
          <w:b/>
          <w:bCs/>
          <w:color w:val="000000"/>
          <w:szCs w:val="28"/>
          <w:lang w:val="uk-UA"/>
        </w:rPr>
        <w:tab/>
        <w:t>А. НИЖНИК</w:t>
      </w:r>
    </w:p>
    <w:p w:rsidR="00B36721" w:rsidRPr="00875FFF" w:rsidRDefault="00B36721" w:rsidP="00B36721">
      <w:pPr>
        <w:spacing w:after="0" w:line="240" w:lineRule="auto"/>
        <w:jc w:val="both"/>
        <w:rPr>
          <w:rFonts w:eastAsia="Calibri" w:cs="Times New Roman"/>
          <w:b/>
          <w:bCs/>
          <w:color w:val="000000"/>
          <w:szCs w:val="28"/>
          <w:lang w:val="uk-UA"/>
        </w:rPr>
      </w:pPr>
    </w:p>
    <w:p w:rsidR="005204CF" w:rsidRPr="00B36721" w:rsidRDefault="005204CF">
      <w:pPr>
        <w:rPr>
          <w:lang w:val="uk-UA"/>
        </w:rPr>
      </w:pPr>
    </w:p>
    <w:sectPr w:rsidR="005204CF" w:rsidRPr="00B36721" w:rsidSect="0059142F">
      <w:headerReference w:type="default" r:id="rId7"/>
      <w:pgSz w:w="11906" w:h="16838"/>
      <w:pgMar w:top="850" w:right="850" w:bottom="1134"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FB5" w:rsidRDefault="00521FB5">
      <w:pPr>
        <w:spacing w:after="0" w:line="240" w:lineRule="auto"/>
      </w:pPr>
      <w:r>
        <w:separator/>
      </w:r>
    </w:p>
  </w:endnote>
  <w:endnote w:type="continuationSeparator" w:id="0">
    <w:p w:rsidR="00521FB5" w:rsidRDefault="00521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FB5" w:rsidRDefault="00521FB5">
      <w:pPr>
        <w:spacing w:after="0" w:line="240" w:lineRule="auto"/>
      </w:pPr>
      <w:r>
        <w:separator/>
      </w:r>
    </w:p>
  </w:footnote>
  <w:footnote w:type="continuationSeparator" w:id="0">
    <w:p w:rsidR="00521FB5" w:rsidRDefault="00521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902717"/>
      <w:docPartObj>
        <w:docPartGallery w:val="Page Numbers (Top of Page)"/>
        <w:docPartUnique/>
      </w:docPartObj>
    </w:sdtPr>
    <w:sdtEndPr/>
    <w:sdtContent>
      <w:p w:rsidR="0030260C" w:rsidRDefault="001A0813">
        <w:pPr>
          <w:pStyle w:val="a5"/>
          <w:jc w:val="center"/>
        </w:pPr>
        <w:r>
          <w:fldChar w:fldCharType="begin"/>
        </w:r>
        <w:r>
          <w:instrText>PAGE   \* MERGEFORMAT</w:instrText>
        </w:r>
        <w:r>
          <w:fldChar w:fldCharType="separate"/>
        </w:r>
        <w:r w:rsidR="009E3091" w:rsidRPr="009E3091">
          <w:rPr>
            <w:noProof/>
            <w:lang w:val="uk-UA"/>
          </w:rPr>
          <w:t>12</w:t>
        </w:r>
        <w:r>
          <w:fldChar w:fldCharType="end"/>
        </w:r>
      </w:p>
    </w:sdtContent>
  </w:sdt>
  <w:p w:rsidR="0030260C" w:rsidRDefault="00521FB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721"/>
    <w:rsid w:val="0009142D"/>
    <w:rsid w:val="001214CC"/>
    <w:rsid w:val="0015254A"/>
    <w:rsid w:val="001A0813"/>
    <w:rsid w:val="001A2BDF"/>
    <w:rsid w:val="003520BF"/>
    <w:rsid w:val="004B514D"/>
    <w:rsid w:val="005204CF"/>
    <w:rsid w:val="00521FB5"/>
    <w:rsid w:val="005D6041"/>
    <w:rsid w:val="00835620"/>
    <w:rsid w:val="00860569"/>
    <w:rsid w:val="008B471E"/>
    <w:rsid w:val="009D45E1"/>
    <w:rsid w:val="009E3091"/>
    <w:rsid w:val="00A84DEB"/>
    <w:rsid w:val="00B36721"/>
    <w:rsid w:val="00B54FC8"/>
    <w:rsid w:val="00BE7555"/>
    <w:rsid w:val="00C527C6"/>
    <w:rsid w:val="00CD4C1E"/>
    <w:rsid w:val="00E2120B"/>
    <w:rsid w:val="00E26B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FE937"/>
  <w15:chartTrackingRefBased/>
  <w15:docId w15:val="{D6984F09-2BC5-444F-8E39-249FBB7E8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72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3672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B36721"/>
    <w:pPr>
      <w:spacing w:after="0" w:line="240" w:lineRule="auto"/>
    </w:pPr>
    <w:rPr>
      <w:rFonts w:eastAsia="Times New Roman" w:cs="Times New Roman"/>
      <w:sz w:val="24"/>
      <w:szCs w:val="24"/>
      <w:lang w:val="uk-UA" w:eastAsia="uk-UA"/>
    </w:rPr>
  </w:style>
  <w:style w:type="paragraph" w:styleId="a5">
    <w:name w:val="header"/>
    <w:basedOn w:val="a"/>
    <w:link w:val="a6"/>
    <w:uiPriority w:val="99"/>
    <w:unhideWhenUsed/>
    <w:rsid w:val="00B36721"/>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B36721"/>
    <w:rPr>
      <w:lang w:val="ru-RU"/>
    </w:rPr>
  </w:style>
  <w:style w:type="paragraph" w:styleId="a7">
    <w:name w:val="List Paragraph"/>
    <w:basedOn w:val="a"/>
    <w:uiPriority w:val="34"/>
    <w:qFormat/>
    <w:rsid w:val="00BE7555"/>
    <w:pPr>
      <w:ind w:left="720"/>
      <w:contextualSpacing/>
    </w:pPr>
  </w:style>
  <w:style w:type="paragraph" w:styleId="a8">
    <w:name w:val="Balloon Text"/>
    <w:basedOn w:val="a"/>
    <w:link w:val="a9"/>
    <w:uiPriority w:val="99"/>
    <w:semiHidden/>
    <w:unhideWhenUsed/>
    <w:rsid w:val="001214C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214CC"/>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77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871</TotalTime>
  <Pages>12</Pages>
  <Words>18799</Words>
  <Characters>10716</Characters>
  <Application>Microsoft Office Word</Application>
  <DocSecurity>0</DocSecurity>
  <Lines>89</Lines>
  <Paragraphs>58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4</cp:revision>
  <cp:lastPrinted>2021-10-19T12:45:00Z</cp:lastPrinted>
  <dcterms:created xsi:type="dcterms:W3CDTF">2021-10-13T07:10:00Z</dcterms:created>
  <dcterms:modified xsi:type="dcterms:W3CDTF">2021-10-20T12:36:00Z</dcterms:modified>
</cp:coreProperties>
</file>