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846" w:rsidRDefault="007A0846" w:rsidP="00B16B5A">
      <w:pPr>
        <w:spacing w:after="0" w:line="240" w:lineRule="auto"/>
        <w:ind w:left="5103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02999" w:rsidRDefault="00B02999" w:rsidP="00B16B5A">
      <w:pPr>
        <w:spacing w:after="0" w:line="240" w:lineRule="auto"/>
        <w:ind w:left="5103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05D4F" w:rsidRPr="0075510E" w:rsidRDefault="00B05D4F" w:rsidP="004C1B07">
      <w:pPr>
        <w:spacing w:after="0" w:line="240" w:lineRule="auto"/>
        <w:ind w:left="5103"/>
        <w:jc w:val="both"/>
        <w:rPr>
          <w:rFonts w:ascii="Times New Roman" w:eastAsia="Times New Roman" w:hAnsi="Times New Roman"/>
          <w:b/>
          <w:i/>
          <w:sz w:val="27"/>
          <w:szCs w:val="27"/>
          <w:lang w:val="uk-UA" w:eastAsia="ru-RU"/>
        </w:rPr>
      </w:pPr>
      <w:r w:rsidRPr="0075510E">
        <w:rPr>
          <w:rFonts w:ascii="Times New Roman" w:eastAsia="Times New Roman" w:hAnsi="Times New Roman"/>
          <w:b/>
          <w:sz w:val="27"/>
          <w:szCs w:val="27"/>
          <w:lang w:val="uk-UA" w:eastAsia="ru-RU"/>
        </w:rPr>
        <w:t xml:space="preserve">Комітет Верховної Ради України </w:t>
      </w:r>
      <w:r w:rsidR="00B104E8" w:rsidRPr="0075510E">
        <w:rPr>
          <w:rFonts w:ascii="Times New Roman" w:eastAsia="Times New Roman" w:hAnsi="Times New Roman"/>
          <w:b/>
          <w:bCs/>
          <w:sz w:val="27"/>
          <w:szCs w:val="27"/>
          <w:lang w:val="uk-UA" w:eastAsia="ru-RU"/>
        </w:rPr>
        <w:t>з питань соціальної політики та захисту прав ветеранів</w:t>
      </w:r>
    </w:p>
    <w:p w:rsidR="00B05D4F" w:rsidRDefault="00B05D4F" w:rsidP="00B05D4F">
      <w:pPr>
        <w:spacing w:after="0" w:line="240" w:lineRule="auto"/>
        <w:jc w:val="both"/>
        <w:rPr>
          <w:rFonts w:ascii="Times New Roman" w:eastAsia="Times New Roman" w:hAnsi="Times New Roman"/>
          <w:i/>
          <w:sz w:val="27"/>
          <w:szCs w:val="27"/>
          <w:lang w:val="uk-UA" w:eastAsia="ru-RU"/>
        </w:rPr>
      </w:pPr>
      <w:r w:rsidRPr="0075510E">
        <w:rPr>
          <w:rFonts w:ascii="Times New Roman" w:eastAsia="Times New Roman" w:hAnsi="Times New Roman"/>
          <w:i/>
          <w:sz w:val="27"/>
          <w:szCs w:val="27"/>
          <w:lang w:val="uk-UA" w:eastAsia="ru-RU"/>
        </w:rPr>
        <w:t>До розгляду законопроекту</w:t>
      </w:r>
    </w:p>
    <w:p w:rsidR="005D1B75" w:rsidRPr="0075510E" w:rsidRDefault="005D1B75" w:rsidP="00B05D4F">
      <w:pPr>
        <w:spacing w:after="0" w:line="240" w:lineRule="auto"/>
        <w:jc w:val="both"/>
        <w:rPr>
          <w:rFonts w:ascii="Times New Roman" w:eastAsia="Times New Roman" w:hAnsi="Times New Roman"/>
          <w:i/>
          <w:sz w:val="27"/>
          <w:szCs w:val="27"/>
          <w:lang w:val="uk-UA" w:eastAsia="ru-RU"/>
        </w:rPr>
      </w:pPr>
      <w:r>
        <w:rPr>
          <w:rFonts w:ascii="Times New Roman" w:eastAsia="Times New Roman" w:hAnsi="Times New Roman"/>
          <w:i/>
          <w:sz w:val="27"/>
          <w:szCs w:val="27"/>
          <w:lang w:val="uk-UA" w:eastAsia="ru-RU"/>
        </w:rPr>
        <w:t>реєстр. № 3011а від 26.08.2020</w:t>
      </w:r>
    </w:p>
    <w:p w:rsidR="00B05D4F" w:rsidRPr="0075510E" w:rsidRDefault="00B05D4F" w:rsidP="00B05D4F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7"/>
          <w:szCs w:val="27"/>
          <w:lang w:val="uk-UA" w:eastAsia="ru-RU"/>
        </w:rPr>
      </w:pPr>
    </w:p>
    <w:p w:rsidR="00B05D4F" w:rsidRPr="0075510E" w:rsidRDefault="00B05D4F" w:rsidP="00AB708F">
      <w:pPr>
        <w:spacing w:after="0" w:line="240" w:lineRule="auto"/>
        <w:ind w:right="-39" w:firstLine="851"/>
        <w:jc w:val="both"/>
        <w:rPr>
          <w:rFonts w:ascii="Times New Roman" w:eastAsia="Times New Roman" w:hAnsi="Times New Roman"/>
          <w:sz w:val="27"/>
          <w:szCs w:val="27"/>
          <w:lang w:val="uk-UA" w:eastAsia="ru-RU"/>
        </w:rPr>
      </w:pPr>
      <w:r w:rsidRPr="0075510E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Комітет Верховної Ради України з питань бюджету на засіданні від </w:t>
      </w:r>
      <w:r w:rsidRPr="0075510E">
        <w:rPr>
          <w:rFonts w:ascii="Times New Roman" w:eastAsia="Times New Roman" w:hAnsi="Times New Roman"/>
          <w:sz w:val="27"/>
          <w:szCs w:val="27"/>
          <w:lang w:val="uk-UA" w:eastAsia="ru-RU"/>
        </w:rPr>
        <w:br/>
      </w:r>
      <w:r w:rsidR="001D31DF">
        <w:rPr>
          <w:rFonts w:ascii="Times New Roman" w:eastAsia="Times New Roman" w:hAnsi="Times New Roman"/>
          <w:sz w:val="27"/>
          <w:szCs w:val="27"/>
          <w:lang w:val="uk-UA" w:eastAsia="ru-RU"/>
        </w:rPr>
        <w:t>25 листопада</w:t>
      </w:r>
      <w:r w:rsidRPr="0075510E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 2020 року (протокол № </w:t>
      </w:r>
      <w:r w:rsidR="001D31DF">
        <w:rPr>
          <w:rFonts w:ascii="Times New Roman" w:eastAsia="Times New Roman" w:hAnsi="Times New Roman"/>
          <w:sz w:val="27"/>
          <w:szCs w:val="27"/>
          <w:lang w:val="uk-UA" w:eastAsia="ru-RU"/>
        </w:rPr>
        <w:t>64</w:t>
      </w:r>
      <w:bookmarkStart w:id="0" w:name="_GoBack"/>
      <w:bookmarkEnd w:id="0"/>
      <w:r w:rsidRPr="0075510E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) відповідно до статей  27 і 109 Бюджетного кодексу України та статті 93 Регламенту Верховної Ради України розглянув проект Закону України </w:t>
      </w:r>
      <w:r w:rsidR="00B104E8" w:rsidRPr="0075510E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про </w:t>
      </w:r>
      <w:r w:rsidR="00F201B0" w:rsidRPr="0075510E">
        <w:rPr>
          <w:rFonts w:ascii="Times New Roman" w:hAnsi="Times New Roman"/>
          <w:sz w:val="27"/>
          <w:szCs w:val="27"/>
          <w:lang w:val="uk-UA"/>
        </w:rPr>
        <w:t xml:space="preserve">внесення змін до статті 42 Закону України </w:t>
      </w:r>
      <w:r w:rsidR="0075510E" w:rsidRPr="0075510E">
        <w:rPr>
          <w:rFonts w:ascii="Times New Roman" w:hAnsi="Times New Roman"/>
          <w:sz w:val="27"/>
          <w:szCs w:val="27"/>
          <w:lang w:val="uk-UA"/>
        </w:rPr>
        <w:t>«</w:t>
      </w:r>
      <w:r w:rsidR="00F201B0" w:rsidRPr="0075510E">
        <w:rPr>
          <w:rFonts w:ascii="Times New Roman" w:hAnsi="Times New Roman"/>
          <w:sz w:val="27"/>
          <w:szCs w:val="27"/>
          <w:lang w:val="uk-UA"/>
        </w:rPr>
        <w:t>Про загальнообов’язкове державне соціальне страхування</w:t>
      </w:r>
      <w:r w:rsidR="0075510E" w:rsidRPr="0075510E">
        <w:rPr>
          <w:rFonts w:ascii="Times New Roman" w:hAnsi="Times New Roman"/>
          <w:sz w:val="27"/>
          <w:szCs w:val="27"/>
          <w:lang w:val="uk-UA"/>
        </w:rPr>
        <w:t>»</w:t>
      </w:r>
      <w:r w:rsidR="00F201B0" w:rsidRPr="0075510E">
        <w:rPr>
          <w:rFonts w:ascii="Times New Roman" w:hAnsi="Times New Roman"/>
          <w:sz w:val="27"/>
          <w:szCs w:val="27"/>
          <w:lang w:val="uk-UA"/>
        </w:rPr>
        <w:t xml:space="preserve"> щодо збільшення суми індексації щомісячних страхових виплат</w:t>
      </w:r>
      <w:r w:rsidR="00B104E8" w:rsidRPr="0075510E">
        <w:rPr>
          <w:rFonts w:ascii="Times New Roman" w:hAnsi="Times New Roman"/>
          <w:sz w:val="27"/>
          <w:szCs w:val="27"/>
          <w:lang w:val="uk-UA"/>
        </w:rPr>
        <w:t xml:space="preserve"> </w:t>
      </w:r>
      <w:r w:rsidRPr="0075510E">
        <w:rPr>
          <w:rFonts w:ascii="Times New Roman" w:eastAsia="Times New Roman" w:hAnsi="Times New Roman"/>
          <w:sz w:val="27"/>
          <w:szCs w:val="27"/>
          <w:lang w:val="uk-UA" w:eastAsia="ru-RU"/>
        </w:rPr>
        <w:t>(реєстр.</w:t>
      </w:r>
      <w:r w:rsidR="00641E19" w:rsidRPr="0075510E">
        <w:rPr>
          <w:rFonts w:ascii="Times New Roman" w:eastAsia="Times New Roman" w:hAnsi="Times New Roman"/>
          <w:sz w:val="27"/>
          <w:szCs w:val="27"/>
          <w:lang w:val="uk-UA" w:eastAsia="ru-RU"/>
        </w:rPr>
        <w:t> </w:t>
      </w:r>
      <w:r w:rsidRPr="0075510E">
        <w:rPr>
          <w:rFonts w:ascii="Times New Roman" w:eastAsia="Times New Roman" w:hAnsi="Times New Roman"/>
          <w:sz w:val="27"/>
          <w:szCs w:val="27"/>
          <w:lang w:val="uk-UA" w:eastAsia="ru-RU"/>
        </w:rPr>
        <w:t>№</w:t>
      </w:r>
      <w:r w:rsidR="00E11FE6" w:rsidRPr="0075510E">
        <w:rPr>
          <w:rFonts w:ascii="Times New Roman" w:eastAsia="Times New Roman" w:hAnsi="Times New Roman"/>
          <w:sz w:val="27"/>
          <w:szCs w:val="27"/>
          <w:lang w:val="uk-UA" w:eastAsia="ru-RU"/>
        </w:rPr>
        <w:t> </w:t>
      </w:r>
      <w:r w:rsidR="00AB708F" w:rsidRPr="0075510E">
        <w:rPr>
          <w:rFonts w:ascii="Times New Roman" w:eastAsia="Times New Roman" w:hAnsi="Times New Roman"/>
          <w:sz w:val="27"/>
          <w:szCs w:val="27"/>
          <w:lang w:val="uk-UA" w:eastAsia="ru-RU"/>
        </w:rPr>
        <w:t>3</w:t>
      </w:r>
      <w:r w:rsidR="00F201B0" w:rsidRPr="0075510E">
        <w:rPr>
          <w:rFonts w:ascii="Times New Roman" w:eastAsia="Times New Roman" w:hAnsi="Times New Roman"/>
          <w:sz w:val="27"/>
          <w:szCs w:val="27"/>
          <w:lang w:val="uk-UA" w:eastAsia="ru-RU"/>
        </w:rPr>
        <w:t>011а</w:t>
      </w:r>
      <w:r w:rsidRPr="0075510E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 від </w:t>
      </w:r>
      <w:r w:rsidR="00E676C9" w:rsidRPr="0075510E">
        <w:rPr>
          <w:rFonts w:ascii="Times New Roman" w:eastAsia="Times New Roman" w:hAnsi="Times New Roman"/>
          <w:sz w:val="27"/>
          <w:szCs w:val="27"/>
          <w:lang w:val="uk-UA" w:eastAsia="ru-RU"/>
        </w:rPr>
        <w:t>2</w:t>
      </w:r>
      <w:r w:rsidR="006C5FA6">
        <w:rPr>
          <w:rFonts w:ascii="Times New Roman" w:eastAsia="Times New Roman" w:hAnsi="Times New Roman"/>
          <w:sz w:val="27"/>
          <w:szCs w:val="27"/>
          <w:lang w:val="uk-UA" w:eastAsia="ru-RU"/>
        </w:rPr>
        <w:t>6</w:t>
      </w:r>
      <w:r w:rsidRPr="0075510E">
        <w:rPr>
          <w:rFonts w:ascii="Times New Roman" w:eastAsia="Times New Roman" w:hAnsi="Times New Roman"/>
          <w:sz w:val="27"/>
          <w:szCs w:val="27"/>
          <w:lang w:val="uk-UA" w:eastAsia="ru-RU"/>
        </w:rPr>
        <w:t>.0</w:t>
      </w:r>
      <w:r w:rsidR="00641E19" w:rsidRPr="0075510E">
        <w:rPr>
          <w:rFonts w:ascii="Times New Roman" w:eastAsia="Times New Roman" w:hAnsi="Times New Roman"/>
          <w:sz w:val="27"/>
          <w:szCs w:val="27"/>
          <w:lang w:val="uk-UA" w:eastAsia="ru-RU"/>
        </w:rPr>
        <w:t>8</w:t>
      </w:r>
      <w:r w:rsidRPr="0075510E">
        <w:rPr>
          <w:rFonts w:ascii="Times New Roman" w:eastAsia="Times New Roman" w:hAnsi="Times New Roman"/>
          <w:sz w:val="27"/>
          <w:szCs w:val="27"/>
          <w:lang w:val="uk-UA" w:eastAsia="ru-RU"/>
        </w:rPr>
        <w:t>.2020), поданий народним</w:t>
      </w:r>
      <w:r w:rsidR="00E676C9" w:rsidRPr="0075510E">
        <w:rPr>
          <w:rFonts w:ascii="Times New Roman" w:eastAsia="Times New Roman" w:hAnsi="Times New Roman"/>
          <w:sz w:val="27"/>
          <w:szCs w:val="27"/>
          <w:lang w:val="uk-UA" w:eastAsia="ru-RU"/>
        </w:rPr>
        <w:t>и</w:t>
      </w:r>
      <w:r w:rsidRPr="0075510E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 депутат</w:t>
      </w:r>
      <w:r w:rsidR="00E676C9" w:rsidRPr="0075510E">
        <w:rPr>
          <w:rFonts w:ascii="Times New Roman" w:eastAsia="Times New Roman" w:hAnsi="Times New Roman"/>
          <w:sz w:val="27"/>
          <w:szCs w:val="27"/>
          <w:lang w:val="uk-UA" w:eastAsia="ru-RU"/>
        </w:rPr>
        <w:t>а</w:t>
      </w:r>
      <w:r w:rsidRPr="0075510E">
        <w:rPr>
          <w:rFonts w:ascii="Times New Roman" w:eastAsia="Times New Roman" w:hAnsi="Times New Roman"/>
          <w:sz w:val="27"/>
          <w:szCs w:val="27"/>
          <w:lang w:val="uk-UA" w:eastAsia="ru-RU"/>
        </w:rPr>
        <w:t>м</w:t>
      </w:r>
      <w:r w:rsidR="00E676C9" w:rsidRPr="0075510E">
        <w:rPr>
          <w:rFonts w:ascii="Times New Roman" w:eastAsia="Times New Roman" w:hAnsi="Times New Roman"/>
          <w:sz w:val="27"/>
          <w:szCs w:val="27"/>
          <w:lang w:val="uk-UA" w:eastAsia="ru-RU"/>
        </w:rPr>
        <w:t>и</w:t>
      </w:r>
      <w:r w:rsidRPr="0075510E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 України </w:t>
      </w:r>
      <w:r w:rsidR="00F201B0" w:rsidRPr="0075510E">
        <w:rPr>
          <w:rFonts w:ascii="Times New Roman" w:eastAsia="Times New Roman" w:hAnsi="Times New Roman"/>
          <w:sz w:val="27"/>
          <w:szCs w:val="27"/>
          <w:lang w:val="uk-UA" w:eastAsia="ru-RU"/>
        </w:rPr>
        <w:t>Тимошенко</w:t>
      </w:r>
      <w:r w:rsidR="00641E19" w:rsidRPr="0075510E">
        <w:rPr>
          <w:rFonts w:ascii="Times New Roman" w:eastAsia="Times New Roman" w:hAnsi="Times New Roman"/>
          <w:sz w:val="27"/>
          <w:szCs w:val="27"/>
          <w:lang w:val="uk-UA" w:eastAsia="ru-RU"/>
        </w:rPr>
        <w:t> </w:t>
      </w:r>
      <w:r w:rsidR="00F201B0" w:rsidRPr="0075510E">
        <w:rPr>
          <w:rFonts w:ascii="Times New Roman" w:eastAsia="Times New Roman" w:hAnsi="Times New Roman"/>
          <w:sz w:val="27"/>
          <w:szCs w:val="27"/>
          <w:lang w:val="uk-UA" w:eastAsia="ru-RU"/>
        </w:rPr>
        <w:t>Ю</w:t>
      </w:r>
      <w:r w:rsidR="00641E19" w:rsidRPr="0075510E">
        <w:rPr>
          <w:rFonts w:ascii="Times New Roman" w:eastAsia="Times New Roman" w:hAnsi="Times New Roman"/>
          <w:sz w:val="27"/>
          <w:szCs w:val="27"/>
          <w:lang w:val="uk-UA" w:eastAsia="ru-RU"/>
        </w:rPr>
        <w:t>.</w:t>
      </w:r>
      <w:r w:rsidR="00F201B0" w:rsidRPr="0075510E">
        <w:rPr>
          <w:rFonts w:ascii="Times New Roman" w:eastAsia="Times New Roman" w:hAnsi="Times New Roman"/>
          <w:sz w:val="27"/>
          <w:szCs w:val="27"/>
          <w:lang w:val="uk-UA" w:eastAsia="ru-RU"/>
        </w:rPr>
        <w:t>В</w:t>
      </w:r>
      <w:r w:rsidR="00641E19" w:rsidRPr="0075510E">
        <w:rPr>
          <w:rFonts w:ascii="Times New Roman" w:eastAsia="Times New Roman" w:hAnsi="Times New Roman"/>
          <w:sz w:val="27"/>
          <w:szCs w:val="27"/>
          <w:lang w:val="uk-UA" w:eastAsia="ru-RU"/>
        </w:rPr>
        <w:t>.</w:t>
      </w:r>
      <w:r w:rsidR="00E676C9" w:rsidRPr="0075510E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 та </w:t>
      </w:r>
      <w:r w:rsidR="00F201B0" w:rsidRPr="0075510E">
        <w:rPr>
          <w:rFonts w:ascii="Times New Roman" w:eastAsia="Times New Roman" w:hAnsi="Times New Roman"/>
          <w:sz w:val="27"/>
          <w:szCs w:val="27"/>
          <w:lang w:val="uk-UA" w:eastAsia="ru-RU"/>
        </w:rPr>
        <w:t>Цимбалюком</w:t>
      </w:r>
      <w:r w:rsidR="00E676C9" w:rsidRPr="0075510E">
        <w:rPr>
          <w:rFonts w:ascii="Times New Roman" w:eastAsia="Times New Roman" w:hAnsi="Times New Roman"/>
          <w:sz w:val="27"/>
          <w:szCs w:val="27"/>
          <w:lang w:val="uk-UA" w:eastAsia="ru-RU"/>
        </w:rPr>
        <w:t> </w:t>
      </w:r>
      <w:r w:rsidR="00F201B0" w:rsidRPr="0075510E">
        <w:rPr>
          <w:rFonts w:ascii="Times New Roman" w:eastAsia="Times New Roman" w:hAnsi="Times New Roman"/>
          <w:sz w:val="27"/>
          <w:szCs w:val="27"/>
          <w:lang w:val="uk-UA" w:eastAsia="ru-RU"/>
        </w:rPr>
        <w:t>М</w:t>
      </w:r>
      <w:r w:rsidR="00E676C9" w:rsidRPr="0075510E">
        <w:rPr>
          <w:rFonts w:ascii="Times New Roman" w:eastAsia="Times New Roman" w:hAnsi="Times New Roman"/>
          <w:sz w:val="27"/>
          <w:szCs w:val="27"/>
          <w:lang w:val="uk-UA" w:eastAsia="ru-RU"/>
        </w:rPr>
        <w:t>.</w:t>
      </w:r>
      <w:r w:rsidR="00F201B0" w:rsidRPr="0075510E">
        <w:rPr>
          <w:rFonts w:ascii="Times New Roman" w:eastAsia="Times New Roman" w:hAnsi="Times New Roman"/>
          <w:sz w:val="27"/>
          <w:szCs w:val="27"/>
          <w:lang w:val="uk-UA" w:eastAsia="ru-RU"/>
        </w:rPr>
        <w:t>М</w:t>
      </w:r>
      <w:r w:rsidR="00E676C9" w:rsidRPr="0075510E">
        <w:rPr>
          <w:rFonts w:ascii="Times New Roman" w:eastAsia="Times New Roman" w:hAnsi="Times New Roman"/>
          <w:sz w:val="27"/>
          <w:szCs w:val="27"/>
          <w:lang w:val="uk-UA" w:eastAsia="ru-RU"/>
        </w:rPr>
        <w:t>.</w:t>
      </w:r>
      <w:r w:rsidR="00317933" w:rsidRPr="0075510E">
        <w:rPr>
          <w:rFonts w:ascii="Times New Roman" w:eastAsia="Times New Roman" w:hAnsi="Times New Roman"/>
          <w:sz w:val="27"/>
          <w:szCs w:val="27"/>
          <w:lang w:val="uk-UA" w:eastAsia="ru-RU"/>
        </w:rPr>
        <w:t>,</w:t>
      </w:r>
      <w:r w:rsidR="00B104E8" w:rsidRPr="0075510E">
        <w:rPr>
          <w:rFonts w:ascii="Times New Roman" w:eastAsia="Times New Roman" w:hAnsi="Times New Roman"/>
          <w:sz w:val="27"/>
          <w:szCs w:val="27"/>
          <w:lang w:val="uk-UA" w:eastAsia="ru-RU"/>
        </w:rPr>
        <w:t xml:space="preserve"> </w:t>
      </w:r>
      <w:r w:rsidRPr="0075510E">
        <w:rPr>
          <w:rFonts w:ascii="Times New Roman" w:eastAsia="Times New Roman" w:hAnsi="Times New Roman"/>
          <w:sz w:val="27"/>
          <w:szCs w:val="27"/>
          <w:lang w:val="uk-UA" w:eastAsia="ru-RU"/>
        </w:rPr>
        <w:t>і повідомляється наступне.</w:t>
      </w:r>
    </w:p>
    <w:p w:rsidR="006C5FA6" w:rsidRDefault="00AB708F" w:rsidP="00B05D4F">
      <w:pPr>
        <w:widowControl w:val="0"/>
        <w:tabs>
          <w:tab w:val="left" w:pos="4248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Calibri"/>
          <w:iCs/>
          <w:sz w:val="27"/>
          <w:szCs w:val="27"/>
          <w:lang w:val="uk-UA"/>
        </w:rPr>
      </w:pPr>
      <w:r w:rsidRPr="0075510E">
        <w:rPr>
          <w:rFonts w:ascii="Times New Roman" w:hAnsi="Times New Roman" w:cs="Calibri"/>
          <w:iCs/>
          <w:sz w:val="27"/>
          <w:szCs w:val="27"/>
          <w:lang w:val="uk-UA"/>
        </w:rPr>
        <w:t>Законопроектом</w:t>
      </w:r>
      <w:r w:rsidR="00B104E8" w:rsidRPr="0075510E">
        <w:rPr>
          <w:rFonts w:ascii="Times New Roman" w:hAnsi="Times New Roman" w:cs="Calibri"/>
          <w:iCs/>
          <w:sz w:val="27"/>
          <w:szCs w:val="27"/>
          <w:lang w:val="uk-UA"/>
        </w:rPr>
        <w:t xml:space="preserve"> </w:t>
      </w:r>
      <w:r w:rsidR="00641E19" w:rsidRPr="0075510E">
        <w:rPr>
          <w:rFonts w:ascii="Times New Roman" w:hAnsi="Times New Roman" w:cs="Calibri"/>
          <w:iCs/>
          <w:sz w:val="27"/>
          <w:szCs w:val="27"/>
          <w:lang w:val="uk-UA"/>
        </w:rPr>
        <w:t>пропонується</w:t>
      </w:r>
      <w:r w:rsidR="006C5FA6">
        <w:rPr>
          <w:rFonts w:ascii="Times New Roman" w:hAnsi="Times New Roman" w:cs="Calibri"/>
          <w:iCs/>
          <w:sz w:val="27"/>
          <w:szCs w:val="27"/>
          <w:lang w:val="uk-UA"/>
        </w:rPr>
        <w:t xml:space="preserve"> внести зміни до статті 42 </w:t>
      </w:r>
      <w:r w:rsidR="006C5FA6" w:rsidRPr="006C5FA6">
        <w:rPr>
          <w:rFonts w:ascii="Times New Roman" w:hAnsi="Times New Roman" w:cs="Calibri"/>
          <w:iCs/>
          <w:sz w:val="27"/>
          <w:szCs w:val="27"/>
          <w:lang w:val="uk-UA"/>
        </w:rPr>
        <w:t>Закону України «Про загальнообов’язкове державне соціальне страхування»</w:t>
      </w:r>
      <w:r w:rsidR="006C5FA6">
        <w:rPr>
          <w:rFonts w:ascii="Times New Roman" w:hAnsi="Times New Roman" w:cs="Calibri"/>
          <w:iCs/>
          <w:sz w:val="27"/>
          <w:szCs w:val="27"/>
          <w:lang w:val="uk-UA"/>
        </w:rPr>
        <w:t xml:space="preserve"> та </w:t>
      </w:r>
      <w:r w:rsidR="00F201B0" w:rsidRPr="0075510E">
        <w:rPr>
          <w:rFonts w:ascii="Times New Roman" w:hAnsi="Times New Roman" w:cs="Calibri"/>
          <w:iCs/>
          <w:sz w:val="27"/>
          <w:szCs w:val="27"/>
          <w:lang w:val="uk-UA"/>
        </w:rPr>
        <w:t xml:space="preserve">здійснювати </w:t>
      </w:r>
      <w:r w:rsidR="006C5FA6" w:rsidRPr="0075510E">
        <w:rPr>
          <w:rFonts w:ascii="Times New Roman" w:hAnsi="Times New Roman" w:cs="Calibri"/>
          <w:iCs/>
          <w:sz w:val="27"/>
          <w:szCs w:val="27"/>
          <w:lang w:val="uk-UA"/>
        </w:rPr>
        <w:t xml:space="preserve">з 1 січня 2020 року </w:t>
      </w:r>
      <w:r w:rsidR="00F201B0" w:rsidRPr="0075510E">
        <w:rPr>
          <w:rFonts w:ascii="Times New Roman" w:hAnsi="Times New Roman" w:cs="Calibri"/>
          <w:iCs/>
          <w:sz w:val="27"/>
          <w:szCs w:val="27"/>
          <w:lang w:val="uk-UA"/>
        </w:rPr>
        <w:t>індексацію суми страхової виплати відповідно до Закону України «Про індексацію грошових доходів населення»</w:t>
      </w:r>
      <w:r w:rsidR="006C5FA6">
        <w:rPr>
          <w:rFonts w:ascii="Times New Roman" w:hAnsi="Times New Roman" w:cs="Calibri"/>
          <w:iCs/>
          <w:sz w:val="27"/>
          <w:szCs w:val="27"/>
          <w:lang w:val="uk-UA"/>
        </w:rPr>
        <w:t>.</w:t>
      </w:r>
    </w:p>
    <w:p w:rsidR="00F201B0" w:rsidRPr="0075510E" w:rsidRDefault="006C5FA6" w:rsidP="00B05D4F">
      <w:pPr>
        <w:widowControl w:val="0"/>
        <w:tabs>
          <w:tab w:val="left" w:pos="4248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Calibri"/>
          <w:iCs/>
          <w:sz w:val="27"/>
          <w:szCs w:val="27"/>
          <w:lang w:val="uk-UA"/>
        </w:rPr>
      </w:pPr>
      <w:r>
        <w:rPr>
          <w:rFonts w:ascii="Times New Roman" w:hAnsi="Times New Roman" w:cs="Calibri"/>
          <w:iCs/>
          <w:sz w:val="27"/>
          <w:szCs w:val="27"/>
          <w:lang w:val="uk-UA"/>
        </w:rPr>
        <w:t>З</w:t>
      </w:r>
      <w:r w:rsidR="00F201B0" w:rsidRPr="0075510E">
        <w:rPr>
          <w:rFonts w:ascii="Times New Roman" w:hAnsi="Times New Roman" w:cs="Calibri"/>
          <w:iCs/>
          <w:sz w:val="27"/>
          <w:szCs w:val="27"/>
          <w:lang w:val="uk-UA"/>
        </w:rPr>
        <w:t xml:space="preserve">гідно з чинною редакцією </w:t>
      </w:r>
      <w:r w:rsidRPr="006C5FA6">
        <w:rPr>
          <w:rFonts w:ascii="Times New Roman" w:hAnsi="Times New Roman" w:cs="Calibri"/>
          <w:iCs/>
          <w:sz w:val="27"/>
          <w:szCs w:val="27"/>
          <w:lang w:val="uk-UA"/>
        </w:rPr>
        <w:t>Закону України «</w:t>
      </w:r>
      <w:r w:rsidR="002F7F24" w:rsidRPr="002F7F24">
        <w:rPr>
          <w:rFonts w:ascii="Times New Roman" w:hAnsi="Times New Roman" w:cs="Calibri"/>
          <w:iCs/>
          <w:sz w:val="27"/>
          <w:szCs w:val="27"/>
          <w:lang w:val="uk-UA"/>
        </w:rPr>
        <w:t>Про загальнообов’язкове державне соціальне страхування</w:t>
      </w:r>
      <w:r w:rsidRPr="006C5FA6">
        <w:rPr>
          <w:rFonts w:ascii="Times New Roman" w:hAnsi="Times New Roman" w:cs="Calibri"/>
          <w:iCs/>
          <w:sz w:val="27"/>
          <w:szCs w:val="27"/>
          <w:lang w:val="uk-UA"/>
        </w:rPr>
        <w:t>»</w:t>
      </w:r>
      <w:r>
        <w:rPr>
          <w:rFonts w:ascii="Times New Roman" w:hAnsi="Times New Roman" w:cs="Calibri"/>
          <w:iCs/>
          <w:sz w:val="27"/>
          <w:szCs w:val="27"/>
          <w:lang w:val="uk-UA"/>
        </w:rPr>
        <w:t xml:space="preserve"> </w:t>
      </w:r>
      <w:r w:rsidR="00F201B0" w:rsidRPr="0075510E">
        <w:rPr>
          <w:rFonts w:ascii="Times New Roman" w:hAnsi="Times New Roman" w:cs="Calibri"/>
          <w:iCs/>
          <w:sz w:val="27"/>
          <w:szCs w:val="27"/>
          <w:lang w:val="uk-UA"/>
        </w:rPr>
        <w:t xml:space="preserve">індексація таких виплат проводиться відповідно до частини другої статті 37 </w:t>
      </w:r>
      <w:r w:rsidR="006A462E">
        <w:rPr>
          <w:rFonts w:ascii="Times New Roman" w:hAnsi="Times New Roman" w:cs="Calibri"/>
          <w:iCs/>
          <w:sz w:val="27"/>
          <w:szCs w:val="27"/>
          <w:lang w:val="uk-UA"/>
        </w:rPr>
        <w:t xml:space="preserve">цього </w:t>
      </w:r>
      <w:r w:rsidR="00F201B0" w:rsidRPr="0075510E">
        <w:rPr>
          <w:rFonts w:ascii="Times New Roman" w:hAnsi="Times New Roman" w:cs="Calibri"/>
          <w:iCs/>
          <w:sz w:val="27"/>
          <w:szCs w:val="27"/>
          <w:lang w:val="uk-UA"/>
        </w:rPr>
        <w:t>Закону, згідно з якою перерахування сум щомісячних страхових виплат провадиться у разі зростання у попередньому календарному році середньої заробітної плати</w:t>
      </w:r>
      <w:r>
        <w:rPr>
          <w:rFonts w:ascii="Times New Roman" w:hAnsi="Times New Roman" w:cs="Calibri"/>
          <w:iCs/>
          <w:sz w:val="27"/>
          <w:szCs w:val="27"/>
          <w:lang w:val="uk-UA"/>
        </w:rPr>
        <w:t>,</w:t>
      </w:r>
      <w:r w:rsidR="00F201B0" w:rsidRPr="0075510E">
        <w:rPr>
          <w:rFonts w:ascii="Times New Roman" w:hAnsi="Times New Roman" w:cs="Calibri"/>
          <w:iCs/>
          <w:sz w:val="27"/>
          <w:szCs w:val="27"/>
          <w:lang w:val="uk-UA"/>
        </w:rPr>
        <w:t xml:space="preserve"> </w:t>
      </w:r>
      <w:r>
        <w:rPr>
          <w:rFonts w:ascii="Times New Roman" w:hAnsi="Times New Roman" w:cs="Calibri"/>
          <w:iCs/>
          <w:sz w:val="27"/>
          <w:szCs w:val="27"/>
          <w:lang w:val="uk-UA"/>
        </w:rPr>
        <w:t>при цьому</w:t>
      </w:r>
      <w:r w:rsidR="00F201B0" w:rsidRPr="0075510E">
        <w:rPr>
          <w:rFonts w:ascii="Times New Roman" w:hAnsi="Times New Roman" w:cs="Calibri"/>
          <w:iCs/>
          <w:sz w:val="27"/>
          <w:szCs w:val="27"/>
          <w:lang w:val="uk-UA"/>
        </w:rPr>
        <w:t xml:space="preserve"> перерахування провадиться з 1 березня наступного року відповідно до коефіцієнта, затвердженого Кабінетом Міністрів України на підставі даних центрального органу виконавчої влади, що реалізує державну політику у сфері статистики. </w:t>
      </w:r>
    </w:p>
    <w:p w:rsidR="006C5FA6" w:rsidRPr="006C5FA6" w:rsidRDefault="006C5FA6" w:rsidP="006C5FA6">
      <w:pPr>
        <w:widowControl w:val="0"/>
        <w:tabs>
          <w:tab w:val="left" w:pos="4248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Calibri"/>
          <w:iCs/>
          <w:sz w:val="27"/>
          <w:szCs w:val="27"/>
          <w:lang w:val="uk-UA"/>
        </w:rPr>
      </w:pPr>
      <w:r>
        <w:rPr>
          <w:rFonts w:ascii="Times New Roman" w:hAnsi="Times New Roman" w:cs="Calibri"/>
          <w:iCs/>
          <w:sz w:val="27"/>
          <w:szCs w:val="27"/>
          <w:lang w:val="uk-UA"/>
        </w:rPr>
        <w:t xml:space="preserve">Згідно із абзацом </w:t>
      </w:r>
      <w:r w:rsidR="002F7F24">
        <w:rPr>
          <w:rFonts w:ascii="Times New Roman" w:hAnsi="Times New Roman" w:cs="Calibri"/>
          <w:iCs/>
          <w:sz w:val="27"/>
          <w:szCs w:val="27"/>
          <w:lang w:val="uk-UA"/>
        </w:rPr>
        <w:t>четвертим</w:t>
      </w:r>
      <w:r>
        <w:rPr>
          <w:rFonts w:ascii="Times New Roman" w:hAnsi="Times New Roman" w:cs="Calibri"/>
          <w:iCs/>
          <w:sz w:val="27"/>
          <w:szCs w:val="27"/>
          <w:lang w:val="uk-UA"/>
        </w:rPr>
        <w:t xml:space="preserve"> пункту 2 розділу ІІ «Прикінцеві положення» законопроекту Кабінету Міністрів України доручається невідкладно </w:t>
      </w:r>
      <w:r w:rsidRPr="006C5FA6">
        <w:rPr>
          <w:rFonts w:ascii="Times New Roman" w:hAnsi="Times New Roman" w:cs="Calibri"/>
          <w:iCs/>
          <w:sz w:val="27"/>
          <w:szCs w:val="27"/>
          <w:lang w:val="uk-UA"/>
        </w:rPr>
        <w:t>затвердити план заходів щодо недопущення укриття податків і зборів у тіньовому секторі економіки та в офшорних зонах, що дасть можливість збільшити надходження до фондів загальнообов’язкового державного соціального страхування та спрямувати їх на підвищення сум індексації щомісячних страхових виплат.</w:t>
      </w:r>
    </w:p>
    <w:p w:rsidR="00F201B0" w:rsidRPr="0075510E" w:rsidRDefault="002F7F24" w:rsidP="00B05D4F">
      <w:pPr>
        <w:widowControl w:val="0"/>
        <w:tabs>
          <w:tab w:val="left" w:pos="4248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Calibri"/>
          <w:iCs/>
          <w:sz w:val="27"/>
          <w:szCs w:val="27"/>
          <w:lang w:val="uk-UA"/>
        </w:rPr>
      </w:pPr>
      <w:r>
        <w:rPr>
          <w:rFonts w:ascii="Times New Roman" w:hAnsi="Times New Roman" w:cs="Calibri"/>
          <w:iCs/>
          <w:sz w:val="27"/>
          <w:szCs w:val="27"/>
          <w:lang w:val="uk-UA"/>
        </w:rPr>
        <w:t>Слід зазначити, що в</w:t>
      </w:r>
      <w:r w:rsidR="00F9086A" w:rsidRPr="0075510E">
        <w:rPr>
          <w:rFonts w:ascii="Times New Roman" w:hAnsi="Times New Roman" w:cs="Calibri"/>
          <w:iCs/>
          <w:sz w:val="27"/>
          <w:szCs w:val="27"/>
          <w:lang w:val="uk-UA"/>
        </w:rPr>
        <w:t xml:space="preserve">ідповідно до статті 2 Закону України «Про індексацію грошових доходів населення» індексації підлягають суми виплат, що здійснюються відповідно до законодавства про загальнообов’язкове державне соціальне страхування, крім щомісячних страхових виплат потерпілим на виробництві (з </w:t>
      </w:r>
      <w:r w:rsidR="00F9086A" w:rsidRPr="0075510E">
        <w:rPr>
          <w:rFonts w:ascii="Times New Roman" w:hAnsi="Times New Roman" w:cs="Calibri"/>
          <w:iCs/>
          <w:sz w:val="27"/>
          <w:szCs w:val="27"/>
          <w:lang w:val="uk-UA"/>
        </w:rPr>
        <w:lastRenderedPageBreak/>
        <w:t>урахуванням виплат на необхідний догляд за потерпілим) та членам їхніх сімей і пенсій, які індексуються відповідно до закону за цими видами страхування.</w:t>
      </w:r>
      <w:r w:rsidR="00DD755D" w:rsidRPr="0075510E">
        <w:rPr>
          <w:rFonts w:ascii="Times New Roman" w:hAnsi="Times New Roman" w:cs="Calibri"/>
          <w:iCs/>
          <w:sz w:val="27"/>
          <w:szCs w:val="27"/>
          <w:lang w:val="uk-UA"/>
        </w:rPr>
        <w:t xml:space="preserve"> Отже, запропоновані законодавчою ініціативою положення не узгоджуються з вимогами статті 2 Закону України «Про індексацію грошових доходів населення».</w:t>
      </w:r>
    </w:p>
    <w:p w:rsidR="00DD755D" w:rsidRDefault="00DD755D" w:rsidP="00DD755D">
      <w:pPr>
        <w:widowControl w:val="0"/>
        <w:tabs>
          <w:tab w:val="left" w:pos="4248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Calibri"/>
          <w:iCs/>
          <w:sz w:val="27"/>
          <w:szCs w:val="27"/>
          <w:lang w:val="uk-UA"/>
        </w:rPr>
      </w:pPr>
      <w:r w:rsidRPr="0075510E">
        <w:rPr>
          <w:rFonts w:ascii="Times New Roman" w:hAnsi="Times New Roman" w:cs="Calibri"/>
          <w:iCs/>
          <w:sz w:val="27"/>
          <w:szCs w:val="27"/>
          <w:lang w:val="uk-UA"/>
        </w:rPr>
        <w:t>При цьому</w:t>
      </w:r>
      <w:r w:rsidR="006C5FA6">
        <w:rPr>
          <w:rFonts w:ascii="Times New Roman" w:hAnsi="Times New Roman" w:cs="Calibri"/>
          <w:iCs/>
          <w:sz w:val="27"/>
          <w:szCs w:val="27"/>
          <w:lang w:val="uk-UA"/>
        </w:rPr>
        <w:t>,</w:t>
      </w:r>
      <w:r w:rsidRPr="0075510E">
        <w:rPr>
          <w:rFonts w:ascii="Times New Roman" w:hAnsi="Times New Roman" w:cs="Calibri"/>
          <w:iCs/>
          <w:sz w:val="27"/>
          <w:szCs w:val="27"/>
          <w:lang w:val="uk-UA"/>
        </w:rPr>
        <w:t xml:space="preserve"> слід відмітити, що з 1 січня 2021 року набиратимуть чинності зміни до статті 37 Закону України «Про загальнообов’язкове державне соціальне страхування», згідно з якими щомісячні страхові виплати підлягають перерахуванню на коефіцієнт, що враховує показники зростання споживчих цін та середньої заробітної плати (доходу) в Україні. </w:t>
      </w:r>
      <w:r w:rsidR="006C5FA6">
        <w:rPr>
          <w:rFonts w:ascii="Times New Roman" w:hAnsi="Times New Roman" w:cs="Calibri"/>
          <w:iCs/>
          <w:sz w:val="27"/>
          <w:szCs w:val="27"/>
          <w:lang w:val="uk-UA"/>
        </w:rPr>
        <w:t>Встановлено, що к</w:t>
      </w:r>
      <w:r w:rsidRPr="0075510E">
        <w:rPr>
          <w:rFonts w:ascii="Times New Roman" w:hAnsi="Times New Roman" w:cs="Calibri"/>
          <w:iCs/>
          <w:sz w:val="27"/>
          <w:szCs w:val="27"/>
          <w:lang w:val="uk-UA"/>
        </w:rPr>
        <w:t>оефіцієнт перерахунку відповідає 50 відсоткам показника зростання споживчих цін за попередній рік та 50 відсоткам показника зростання середньої заробітної плати (доходу) в Україні, з якої сплачено страхові внески, визначеного відповідно до Закону України "Про загальнообов’язкове державне пенсійне страхування", за три календарні роки, що передують року, в якому проводиться збільшення, порівняно з трьома календарними роками, що передують року, який є попереднім щодо року, в якому проводиться збільшення</w:t>
      </w:r>
      <w:r w:rsidR="006C5FA6">
        <w:rPr>
          <w:rFonts w:ascii="Times New Roman" w:hAnsi="Times New Roman" w:cs="Calibri"/>
          <w:iCs/>
          <w:sz w:val="27"/>
          <w:szCs w:val="27"/>
          <w:lang w:val="uk-UA"/>
        </w:rPr>
        <w:t>,</w:t>
      </w:r>
      <w:r w:rsidRPr="0075510E">
        <w:rPr>
          <w:rFonts w:ascii="Times New Roman" w:hAnsi="Times New Roman" w:cs="Calibri"/>
          <w:iCs/>
          <w:sz w:val="27"/>
          <w:szCs w:val="27"/>
          <w:lang w:val="uk-UA"/>
        </w:rPr>
        <w:t xml:space="preserve"> </w:t>
      </w:r>
      <w:r w:rsidR="006C5FA6">
        <w:rPr>
          <w:rFonts w:ascii="Times New Roman" w:hAnsi="Times New Roman" w:cs="Calibri"/>
          <w:iCs/>
          <w:sz w:val="27"/>
          <w:szCs w:val="27"/>
          <w:lang w:val="uk-UA"/>
        </w:rPr>
        <w:t>з</w:t>
      </w:r>
      <w:r w:rsidRPr="0075510E">
        <w:rPr>
          <w:rFonts w:ascii="Times New Roman" w:hAnsi="Times New Roman" w:cs="Calibri"/>
          <w:iCs/>
          <w:sz w:val="27"/>
          <w:szCs w:val="27"/>
          <w:lang w:val="uk-UA"/>
        </w:rPr>
        <w:t>а наявності фінансових можливостей бюджету Фонду</w:t>
      </w:r>
      <w:r w:rsidRPr="0075510E">
        <w:rPr>
          <w:color w:val="333333"/>
          <w:sz w:val="27"/>
          <w:szCs w:val="27"/>
          <w:shd w:val="clear" w:color="auto" w:fill="FFFFFF"/>
        </w:rPr>
        <w:t xml:space="preserve"> </w:t>
      </w:r>
      <w:r w:rsidRPr="0075510E">
        <w:rPr>
          <w:rFonts w:ascii="Times New Roman" w:hAnsi="Times New Roman" w:cs="Calibri"/>
          <w:iCs/>
          <w:sz w:val="27"/>
          <w:szCs w:val="27"/>
          <w:lang w:val="uk-UA"/>
        </w:rPr>
        <w:t>соціального страхування України розмір щорічного збільшення показника середньої заробітної плати (доходу) в Україні, який застосовується для здійснення перерахунку, передбачений абзацом другим цієї частини, може бути збільшений, але не повинен перевищувати 100 відсотків показника зростання середньої заробітної плати (доходу) в Україні, з якої сплачено страхові внески, за три календарні роки, що передують року, в якому проводиться збільшення</w:t>
      </w:r>
      <w:r w:rsidR="006C5FA6">
        <w:rPr>
          <w:rFonts w:ascii="Times New Roman" w:hAnsi="Times New Roman" w:cs="Calibri"/>
          <w:iCs/>
          <w:sz w:val="27"/>
          <w:szCs w:val="27"/>
          <w:lang w:val="uk-UA"/>
        </w:rPr>
        <w:t>,</w:t>
      </w:r>
      <w:r w:rsidRPr="0075510E">
        <w:rPr>
          <w:rFonts w:ascii="Times New Roman" w:hAnsi="Times New Roman" w:cs="Calibri"/>
          <w:iCs/>
          <w:sz w:val="27"/>
          <w:szCs w:val="27"/>
          <w:lang w:val="uk-UA"/>
        </w:rPr>
        <w:t xml:space="preserve"> </w:t>
      </w:r>
      <w:r w:rsidR="006C5FA6">
        <w:rPr>
          <w:rFonts w:ascii="Times New Roman" w:hAnsi="Times New Roman" w:cs="Calibri"/>
          <w:iCs/>
          <w:sz w:val="27"/>
          <w:szCs w:val="27"/>
          <w:lang w:val="uk-UA"/>
        </w:rPr>
        <w:t>р</w:t>
      </w:r>
      <w:r w:rsidRPr="0075510E">
        <w:rPr>
          <w:rFonts w:ascii="Times New Roman" w:hAnsi="Times New Roman" w:cs="Calibri"/>
          <w:iCs/>
          <w:sz w:val="27"/>
          <w:szCs w:val="27"/>
          <w:lang w:val="uk-UA"/>
        </w:rPr>
        <w:t>озмір та дата такого збільшення визначаються у межах бюджету Фонду соціального страхування України за рішенням Кабінету Міністрів України.</w:t>
      </w:r>
    </w:p>
    <w:p w:rsidR="00F201B0" w:rsidRDefault="00DD755D" w:rsidP="00B05D4F">
      <w:pPr>
        <w:widowControl w:val="0"/>
        <w:tabs>
          <w:tab w:val="left" w:pos="4248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Calibri"/>
          <w:iCs/>
          <w:sz w:val="27"/>
          <w:szCs w:val="27"/>
          <w:lang w:val="uk-UA"/>
        </w:rPr>
      </w:pPr>
      <w:r w:rsidRPr="0075510E">
        <w:rPr>
          <w:rFonts w:ascii="Times New Roman" w:hAnsi="Times New Roman" w:cs="Calibri"/>
          <w:iCs/>
          <w:sz w:val="27"/>
          <w:szCs w:val="27"/>
          <w:lang w:val="uk-UA"/>
        </w:rPr>
        <w:t xml:space="preserve">За висновком Міністерства фінансів України реалізація законопроекту не впливатиме на показники державного бюджету, проте потребуватиме додаткових видатків Фонду соціального страхування України, </w:t>
      </w:r>
      <w:r w:rsidR="0093495E" w:rsidRPr="0075510E">
        <w:rPr>
          <w:rFonts w:ascii="Times New Roman" w:hAnsi="Times New Roman" w:cs="Calibri"/>
          <w:iCs/>
          <w:sz w:val="27"/>
          <w:szCs w:val="27"/>
          <w:lang w:val="uk-UA"/>
        </w:rPr>
        <w:t>які не будуть фінансово забезпечені у зв’язку з відсутністю реальних джерел покриття Фондом додаткових видатків,</w:t>
      </w:r>
      <w:r w:rsidR="0075510E" w:rsidRPr="0075510E">
        <w:rPr>
          <w:rFonts w:ascii="Times New Roman" w:hAnsi="Times New Roman" w:cs="Calibri"/>
          <w:iCs/>
          <w:sz w:val="27"/>
          <w:szCs w:val="27"/>
          <w:lang w:val="uk-UA"/>
        </w:rPr>
        <w:t xml:space="preserve"> та може поставити під загрозу вчасне виконання вже покладених на Фонд функцій,</w:t>
      </w:r>
      <w:r w:rsidR="0093495E" w:rsidRPr="0075510E">
        <w:rPr>
          <w:rFonts w:ascii="Times New Roman" w:hAnsi="Times New Roman" w:cs="Calibri"/>
          <w:iCs/>
          <w:sz w:val="27"/>
          <w:szCs w:val="27"/>
          <w:lang w:val="uk-UA"/>
        </w:rPr>
        <w:t xml:space="preserve"> </w:t>
      </w:r>
      <w:r w:rsidRPr="0075510E">
        <w:rPr>
          <w:rFonts w:ascii="Times New Roman" w:hAnsi="Times New Roman" w:cs="Calibri"/>
          <w:iCs/>
          <w:sz w:val="27"/>
          <w:szCs w:val="27"/>
          <w:lang w:val="uk-UA"/>
        </w:rPr>
        <w:t xml:space="preserve">визначити обсяг додаткових видатків Мінфін не має можливості </w:t>
      </w:r>
      <w:r w:rsidR="0093495E" w:rsidRPr="0075510E">
        <w:rPr>
          <w:rFonts w:ascii="Times New Roman" w:hAnsi="Times New Roman" w:cs="Calibri"/>
          <w:iCs/>
          <w:sz w:val="27"/>
          <w:szCs w:val="27"/>
          <w:lang w:val="uk-UA"/>
        </w:rPr>
        <w:t xml:space="preserve">через </w:t>
      </w:r>
      <w:r w:rsidRPr="0075510E">
        <w:rPr>
          <w:rFonts w:ascii="Times New Roman" w:hAnsi="Times New Roman" w:cs="Calibri"/>
          <w:iCs/>
          <w:sz w:val="27"/>
          <w:szCs w:val="27"/>
          <w:lang w:val="uk-UA"/>
        </w:rPr>
        <w:t>відсутніст</w:t>
      </w:r>
      <w:r w:rsidR="0093495E" w:rsidRPr="0075510E">
        <w:rPr>
          <w:rFonts w:ascii="Times New Roman" w:hAnsi="Times New Roman" w:cs="Calibri"/>
          <w:iCs/>
          <w:sz w:val="27"/>
          <w:szCs w:val="27"/>
          <w:lang w:val="uk-UA"/>
        </w:rPr>
        <w:t>ь</w:t>
      </w:r>
      <w:r w:rsidRPr="0075510E">
        <w:rPr>
          <w:rFonts w:ascii="Times New Roman" w:hAnsi="Times New Roman" w:cs="Calibri"/>
          <w:iCs/>
          <w:sz w:val="27"/>
          <w:szCs w:val="27"/>
          <w:lang w:val="uk-UA"/>
        </w:rPr>
        <w:t xml:space="preserve"> вихідних даних.</w:t>
      </w:r>
    </w:p>
    <w:p w:rsidR="00796B5C" w:rsidRPr="0075510E" w:rsidRDefault="00796B5C" w:rsidP="00B05D4F">
      <w:pPr>
        <w:widowControl w:val="0"/>
        <w:tabs>
          <w:tab w:val="left" w:pos="4248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Calibri"/>
          <w:iCs/>
          <w:sz w:val="27"/>
          <w:szCs w:val="27"/>
          <w:lang w:val="uk-UA"/>
        </w:rPr>
      </w:pPr>
      <w:r>
        <w:rPr>
          <w:rFonts w:ascii="Times New Roman" w:hAnsi="Times New Roman" w:cs="Calibri"/>
          <w:iCs/>
          <w:sz w:val="27"/>
          <w:szCs w:val="27"/>
          <w:lang w:val="uk-UA"/>
        </w:rPr>
        <w:t>Беручи до уваги висновок Міністерства фінансів України, за умов неспроможності Фонду забезпечити виконання вказаної законодавчої ініціативи, для її реалізації необхідно буде виділяти кошти з державного бюджету для надання фінансової допомоги Фонду.</w:t>
      </w:r>
    </w:p>
    <w:p w:rsidR="00E3051E" w:rsidRPr="0075510E" w:rsidRDefault="00E3051E" w:rsidP="00B02999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7"/>
          <w:szCs w:val="27"/>
          <w:lang w:val="uk-UA" w:eastAsia="ru-RU"/>
        </w:rPr>
      </w:pPr>
      <w:r w:rsidRPr="0075510E">
        <w:rPr>
          <w:rFonts w:ascii="Times New Roman" w:eastAsia="Times New Roman" w:hAnsi="Times New Roman"/>
          <w:sz w:val="27"/>
          <w:szCs w:val="27"/>
          <w:lang w:val="uk-UA" w:eastAsia="ru-RU"/>
        </w:rPr>
        <w:t>Згідно з вимогами частини першої статті 27 Бюджетного кодексу України та статті 91 Регламенту Верховної Ради України суб’єкту законодавчої ініціативи належить надати фінансово-економічне обґрунтування до законопроекту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бюджету, проте відповідні матеріали відсутні у супровідних документах до законопроекту. На невиконання зазначених вимог звертає увагу також Міністерство фінансів України.</w:t>
      </w:r>
    </w:p>
    <w:p w:rsidR="00B02999" w:rsidRPr="0075510E" w:rsidRDefault="00B02999" w:rsidP="00B02999">
      <w:pPr>
        <w:pStyle w:val="ab"/>
        <w:spacing w:after="0"/>
        <w:ind w:firstLine="851"/>
        <w:jc w:val="both"/>
        <w:rPr>
          <w:sz w:val="27"/>
          <w:szCs w:val="27"/>
        </w:rPr>
      </w:pPr>
      <w:r w:rsidRPr="0075510E">
        <w:rPr>
          <w:sz w:val="27"/>
          <w:szCs w:val="27"/>
        </w:rPr>
        <w:t xml:space="preserve">Термін набрання чинності, визначений у законопроекті, не відповідає частині третій статті 27 Бюджетного кодексу України, якою передбачено, що закони України або їх окремі положення, які впливають на показники бюджету (зменшують </w:t>
      </w:r>
      <w:r w:rsidRPr="0075510E">
        <w:rPr>
          <w:sz w:val="27"/>
          <w:szCs w:val="27"/>
        </w:rPr>
        <w:lastRenderedPageBreak/>
        <w:t>надходження бюджету та/або збільшують витрати бюджету) і приймаються після 15 липня року, що передує плановому, вводяться в дію не раніше початку бюджетного періоду, що настає за плановим.</w:t>
      </w:r>
    </w:p>
    <w:p w:rsidR="00E3051E" w:rsidRPr="0075510E" w:rsidRDefault="00D57BEE" w:rsidP="00B02999">
      <w:pPr>
        <w:pStyle w:val="ab"/>
        <w:spacing w:after="0"/>
        <w:ind w:firstLine="851"/>
        <w:jc w:val="both"/>
        <w:rPr>
          <w:color w:val="000000"/>
          <w:sz w:val="27"/>
          <w:szCs w:val="27"/>
        </w:rPr>
      </w:pPr>
      <w:r w:rsidRPr="0075510E">
        <w:rPr>
          <w:sz w:val="27"/>
          <w:szCs w:val="27"/>
        </w:rPr>
        <w:t>За наслідками розгляду Комітет прийняв рішення, що п</w:t>
      </w:r>
      <w:r w:rsidR="00E3051E" w:rsidRPr="0075510E">
        <w:rPr>
          <w:sz w:val="27"/>
          <w:szCs w:val="27"/>
        </w:rPr>
        <w:t xml:space="preserve">роект Закону України </w:t>
      </w:r>
      <w:r w:rsidR="0075510E" w:rsidRPr="0075510E">
        <w:rPr>
          <w:sz w:val="27"/>
          <w:szCs w:val="27"/>
        </w:rPr>
        <w:t>про внесення змін до статті 42 Закону України «Про загальнообов’язкове державне соціальне страхування» щодо збільшення суми індексації щомісячних страхових виплат (реєстр. № 3011а від 2</w:t>
      </w:r>
      <w:r w:rsidR="006C5FA6">
        <w:rPr>
          <w:sz w:val="27"/>
          <w:szCs w:val="27"/>
        </w:rPr>
        <w:t>6</w:t>
      </w:r>
      <w:r w:rsidR="0075510E" w:rsidRPr="0075510E">
        <w:rPr>
          <w:sz w:val="27"/>
          <w:szCs w:val="27"/>
        </w:rPr>
        <w:t>.08.2020), поданий народними депутатами України Тимошенко Ю.В. та Цимбалюком М.М.</w:t>
      </w:r>
      <w:r w:rsidR="00E3051E" w:rsidRPr="0075510E">
        <w:rPr>
          <w:bCs/>
          <w:sz w:val="27"/>
          <w:szCs w:val="27"/>
        </w:rPr>
        <w:t xml:space="preserve">, </w:t>
      </w:r>
      <w:r w:rsidR="002938C6" w:rsidRPr="0075510E">
        <w:rPr>
          <w:sz w:val="27"/>
          <w:szCs w:val="27"/>
        </w:rPr>
        <w:t>мати</w:t>
      </w:r>
      <w:r w:rsidR="00BB0AC8" w:rsidRPr="0075510E">
        <w:rPr>
          <w:sz w:val="27"/>
          <w:szCs w:val="27"/>
        </w:rPr>
        <w:t>ме</w:t>
      </w:r>
      <w:r w:rsidR="002938C6" w:rsidRPr="0075510E">
        <w:rPr>
          <w:sz w:val="27"/>
          <w:szCs w:val="27"/>
        </w:rPr>
        <w:t xml:space="preserve"> </w:t>
      </w:r>
      <w:r w:rsidR="00E3051E" w:rsidRPr="0075510E">
        <w:rPr>
          <w:sz w:val="27"/>
          <w:szCs w:val="27"/>
        </w:rPr>
        <w:t>вплив на показники бюджету (</w:t>
      </w:r>
      <w:r w:rsidR="0075510E" w:rsidRPr="0075510E">
        <w:rPr>
          <w:sz w:val="27"/>
          <w:szCs w:val="27"/>
        </w:rPr>
        <w:t xml:space="preserve">збільшуючи витрати </w:t>
      </w:r>
      <w:r w:rsidR="000D1B43" w:rsidRPr="0075510E">
        <w:rPr>
          <w:sz w:val="27"/>
          <w:szCs w:val="27"/>
        </w:rPr>
        <w:t xml:space="preserve">Фонду </w:t>
      </w:r>
      <w:r w:rsidR="0075510E" w:rsidRPr="0075510E">
        <w:rPr>
          <w:sz w:val="27"/>
          <w:szCs w:val="27"/>
        </w:rPr>
        <w:t xml:space="preserve">соціального страхування </w:t>
      </w:r>
      <w:r w:rsidR="000D1B43" w:rsidRPr="0075510E">
        <w:rPr>
          <w:sz w:val="27"/>
          <w:szCs w:val="27"/>
        </w:rPr>
        <w:t>України</w:t>
      </w:r>
      <w:r w:rsidR="00796B5C">
        <w:rPr>
          <w:sz w:val="27"/>
          <w:szCs w:val="27"/>
        </w:rPr>
        <w:t xml:space="preserve"> та може потребувати додаткових витрат державного бюджету для надання фінансової допомоги цьому фонду</w:t>
      </w:r>
      <w:r w:rsidR="002938C6" w:rsidRPr="0075510E">
        <w:rPr>
          <w:sz w:val="27"/>
          <w:szCs w:val="27"/>
        </w:rPr>
        <w:t>)</w:t>
      </w:r>
      <w:r w:rsidRPr="0075510E">
        <w:rPr>
          <w:sz w:val="27"/>
          <w:szCs w:val="27"/>
        </w:rPr>
        <w:t>.</w:t>
      </w:r>
      <w:r w:rsidR="002938C6" w:rsidRPr="0075510E">
        <w:rPr>
          <w:sz w:val="27"/>
          <w:szCs w:val="27"/>
        </w:rPr>
        <w:t xml:space="preserve"> </w:t>
      </w:r>
      <w:r w:rsidR="004F64A3" w:rsidRPr="0075510E">
        <w:rPr>
          <w:bCs/>
          <w:color w:val="000000"/>
          <w:sz w:val="27"/>
          <w:szCs w:val="27"/>
        </w:rPr>
        <w:t>У разі прийняття відповідного закону до 15 липня 2021 року він має вводитись в дію не раніше 1 січня 2022 року, а після 15 липня 2021 року - не раніше 1 січня 2023 року (або 1 січня наступного за цим року залежно від часу прийняття закону).</w:t>
      </w:r>
    </w:p>
    <w:p w:rsidR="00D57BEE" w:rsidRPr="0075510E" w:rsidRDefault="00D57BEE" w:rsidP="00B05D4F">
      <w:pPr>
        <w:spacing w:after="0" w:line="240" w:lineRule="auto"/>
        <w:ind w:firstLine="851"/>
        <w:jc w:val="both"/>
        <w:rPr>
          <w:rFonts w:ascii="Times New Roman" w:eastAsia="Times New Roman" w:hAnsi="Times New Roman"/>
          <w:b/>
          <w:sz w:val="27"/>
          <w:szCs w:val="27"/>
          <w:lang w:val="uk-UA" w:eastAsia="ru-RU"/>
        </w:rPr>
      </w:pPr>
    </w:p>
    <w:p w:rsidR="00D57BEE" w:rsidRPr="0075510E" w:rsidRDefault="00D57BEE" w:rsidP="00B05D4F">
      <w:pPr>
        <w:spacing w:after="0" w:line="240" w:lineRule="auto"/>
        <w:ind w:firstLine="851"/>
        <w:jc w:val="both"/>
        <w:rPr>
          <w:rFonts w:ascii="Times New Roman" w:eastAsia="Times New Roman" w:hAnsi="Times New Roman"/>
          <w:b/>
          <w:sz w:val="27"/>
          <w:szCs w:val="27"/>
          <w:lang w:val="uk-UA" w:eastAsia="ru-RU"/>
        </w:rPr>
      </w:pPr>
    </w:p>
    <w:p w:rsidR="00A7635E" w:rsidRPr="00D57BEE" w:rsidRDefault="00B05D4F" w:rsidP="000B1CF9">
      <w:pPr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 w:rsidRPr="0075510E"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Голова </w:t>
      </w:r>
      <w:r w:rsidRPr="0075510E">
        <w:rPr>
          <w:rFonts w:ascii="Times New Roman" w:eastAsia="Times New Roman" w:hAnsi="Times New Roman"/>
          <w:b/>
          <w:sz w:val="27"/>
          <w:szCs w:val="27"/>
          <w:lang w:val="uk-UA" w:eastAsia="ru-RU"/>
        </w:rPr>
        <w:t xml:space="preserve">Комітету                            </w:t>
      </w:r>
      <w:r w:rsidR="00B02999" w:rsidRPr="0075510E">
        <w:rPr>
          <w:rFonts w:ascii="Times New Roman" w:eastAsia="Times New Roman" w:hAnsi="Times New Roman"/>
          <w:b/>
          <w:sz w:val="27"/>
          <w:szCs w:val="27"/>
          <w:lang w:val="uk-UA" w:eastAsia="ru-RU"/>
        </w:rPr>
        <w:t xml:space="preserve">      </w:t>
      </w:r>
      <w:r w:rsidRPr="0075510E">
        <w:rPr>
          <w:rFonts w:ascii="Times New Roman" w:eastAsia="Times New Roman" w:hAnsi="Times New Roman"/>
          <w:b/>
          <w:sz w:val="27"/>
          <w:szCs w:val="27"/>
          <w:lang w:val="uk-UA" w:eastAsia="ru-RU"/>
        </w:rPr>
        <w:t xml:space="preserve">                  </w:t>
      </w:r>
      <w:r w:rsidR="004F64A3" w:rsidRPr="0075510E">
        <w:rPr>
          <w:rFonts w:ascii="Times New Roman" w:eastAsia="Times New Roman" w:hAnsi="Times New Roman"/>
          <w:b/>
          <w:sz w:val="27"/>
          <w:szCs w:val="27"/>
          <w:lang w:val="uk-UA" w:eastAsia="ru-RU"/>
        </w:rPr>
        <w:t xml:space="preserve">  </w:t>
      </w:r>
      <w:r w:rsidRPr="0075510E">
        <w:rPr>
          <w:rFonts w:ascii="Times New Roman" w:eastAsia="Times New Roman" w:hAnsi="Times New Roman"/>
          <w:b/>
          <w:sz w:val="27"/>
          <w:szCs w:val="27"/>
          <w:lang w:val="uk-UA" w:eastAsia="ru-RU"/>
        </w:rPr>
        <w:t xml:space="preserve">                                   Ю</w:t>
      </w:r>
      <w:r w:rsidRPr="0075510E">
        <w:rPr>
          <w:rFonts w:ascii="Times New Roman" w:eastAsia="Times New Roman" w:hAnsi="Times New Roman"/>
          <w:b/>
          <w:sz w:val="27"/>
          <w:szCs w:val="27"/>
          <w:lang w:eastAsia="ru-RU"/>
        </w:rPr>
        <w:t>.Ю. Арістов</w:t>
      </w:r>
    </w:p>
    <w:sectPr w:rsidR="00A7635E" w:rsidRPr="00D57BEE" w:rsidSect="006A462E">
      <w:headerReference w:type="default" r:id="rId7"/>
      <w:headerReference w:type="first" r:id="rId8"/>
      <w:footerReference w:type="first" r:id="rId9"/>
      <w:pgSz w:w="11906" w:h="16838"/>
      <w:pgMar w:top="1134" w:right="707" w:bottom="1418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5D1E" w:rsidRDefault="003C5D1E" w:rsidP="005E306B">
      <w:pPr>
        <w:spacing w:after="0" w:line="240" w:lineRule="auto"/>
      </w:pPr>
      <w:r>
        <w:separator/>
      </w:r>
    </w:p>
  </w:endnote>
  <w:endnote w:type="continuationSeparator" w:id="0">
    <w:p w:rsidR="003C5D1E" w:rsidRDefault="003C5D1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3C5D1E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5D1E" w:rsidRDefault="003C5D1E" w:rsidP="005E306B">
      <w:pPr>
        <w:spacing w:after="0" w:line="240" w:lineRule="auto"/>
      </w:pPr>
      <w:r>
        <w:separator/>
      </w:r>
    </w:p>
  </w:footnote>
  <w:footnote w:type="continuationSeparator" w:id="0">
    <w:p w:rsidR="003C5D1E" w:rsidRDefault="003C5D1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64245"/>
    <w:rsid w:val="00086943"/>
    <w:rsid w:val="000B1CF9"/>
    <w:rsid w:val="000B43C5"/>
    <w:rsid w:val="000C083E"/>
    <w:rsid w:val="000D1B43"/>
    <w:rsid w:val="000F1586"/>
    <w:rsid w:val="001105D2"/>
    <w:rsid w:val="00116EA2"/>
    <w:rsid w:val="00141617"/>
    <w:rsid w:val="00143A71"/>
    <w:rsid w:val="001615EB"/>
    <w:rsid w:val="00175DCA"/>
    <w:rsid w:val="0019108F"/>
    <w:rsid w:val="0019231B"/>
    <w:rsid w:val="001942EA"/>
    <w:rsid w:val="001966F0"/>
    <w:rsid w:val="001A765E"/>
    <w:rsid w:val="001D31DF"/>
    <w:rsid w:val="001D3C24"/>
    <w:rsid w:val="001F05A4"/>
    <w:rsid w:val="001F6F19"/>
    <w:rsid w:val="0021032F"/>
    <w:rsid w:val="00214744"/>
    <w:rsid w:val="00235CD7"/>
    <w:rsid w:val="002938C6"/>
    <w:rsid w:val="002A5D4C"/>
    <w:rsid w:val="002B5FC1"/>
    <w:rsid w:val="002D0561"/>
    <w:rsid w:val="002E0A18"/>
    <w:rsid w:val="002E31BF"/>
    <w:rsid w:val="002E44DA"/>
    <w:rsid w:val="002F7F24"/>
    <w:rsid w:val="00300886"/>
    <w:rsid w:val="00317933"/>
    <w:rsid w:val="0036341C"/>
    <w:rsid w:val="00375EA3"/>
    <w:rsid w:val="003833B5"/>
    <w:rsid w:val="003B6D6C"/>
    <w:rsid w:val="003C27FF"/>
    <w:rsid w:val="003C5D1E"/>
    <w:rsid w:val="003D0996"/>
    <w:rsid w:val="003D185E"/>
    <w:rsid w:val="003D1CBA"/>
    <w:rsid w:val="00415AE7"/>
    <w:rsid w:val="00420B8A"/>
    <w:rsid w:val="0043339B"/>
    <w:rsid w:val="00451750"/>
    <w:rsid w:val="00470B9A"/>
    <w:rsid w:val="004717F5"/>
    <w:rsid w:val="00476C93"/>
    <w:rsid w:val="004852FA"/>
    <w:rsid w:val="004B3675"/>
    <w:rsid w:val="004B6081"/>
    <w:rsid w:val="004C1B07"/>
    <w:rsid w:val="004C53C1"/>
    <w:rsid w:val="004E2EFE"/>
    <w:rsid w:val="004E37E5"/>
    <w:rsid w:val="004E4F5C"/>
    <w:rsid w:val="004F64A3"/>
    <w:rsid w:val="004F7494"/>
    <w:rsid w:val="004F7B8A"/>
    <w:rsid w:val="00500CE7"/>
    <w:rsid w:val="0050620F"/>
    <w:rsid w:val="00510AC0"/>
    <w:rsid w:val="00545919"/>
    <w:rsid w:val="0055005A"/>
    <w:rsid w:val="0056039F"/>
    <w:rsid w:val="0056352F"/>
    <w:rsid w:val="00572BE4"/>
    <w:rsid w:val="00587B43"/>
    <w:rsid w:val="00592C72"/>
    <w:rsid w:val="005A4728"/>
    <w:rsid w:val="005B71F5"/>
    <w:rsid w:val="005C674D"/>
    <w:rsid w:val="005D1B75"/>
    <w:rsid w:val="005E306B"/>
    <w:rsid w:val="005F20B5"/>
    <w:rsid w:val="00626A3E"/>
    <w:rsid w:val="006342B4"/>
    <w:rsid w:val="00641E19"/>
    <w:rsid w:val="006458C5"/>
    <w:rsid w:val="00660B13"/>
    <w:rsid w:val="0066623D"/>
    <w:rsid w:val="006735EF"/>
    <w:rsid w:val="006A462E"/>
    <w:rsid w:val="006C07F8"/>
    <w:rsid w:val="006C5FA6"/>
    <w:rsid w:val="006F10E8"/>
    <w:rsid w:val="00704F09"/>
    <w:rsid w:val="00713E93"/>
    <w:rsid w:val="00722930"/>
    <w:rsid w:val="0073224C"/>
    <w:rsid w:val="0073776E"/>
    <w:rsid w:val="0075510E"/>
    <w:rsid w:val="007645AD"/>
    <w:rsid w:val="007835D7"/>
    <w:rsid w:val="00787BD3"/>
    <w:rsid w:val="00796B5C"/>
    <w:rsid w:val="007A0252"/>
    <w:rsid w:val="007A0846"/>
    <w:rsid w:val="007A2B57"/>
    <w:rsid w:val="007B31A3"/>
    <w:rsid w:val="007B6545"/>
    <w:rsid w:val="007D2476"/>
    <w:rsid w:val="007D2B6C"/>
    <w:rsid w:val="007F5D91"/>
    <w:rsid w:val="007F7F2F"/>
    <w:rsid w:val="00802A81"/>
    <w:rsid w:val="0080545D"/>
    <w:rsid w:val="00811821"/>
    <w:rsid w:val="0081631D"/>
    <w:rsid w:val="00835212"/>
    <w:rsid w:val="0084269F"/>
    <w:rsid w:val="008A7D0B"/>
    <w:rsid w:val="008D0011"/>
    <w:rsid w:val="008D6F39"/>
    <w:rsid w:val="008D7BBE"/>
    <w:rsid w:val="008F43D1"/>
    <w:rsid w:val="0091360E"/>
    <w:rsid w:val="00932D27"/>
    <w:rsid w:val="0093495E"/>
    <w:rsid w:val="00945B68"/>
    <w:rsid w:val="00957D31"/>
    <w:rsid w:val="00972232"/>
    <w:rsid w:val="009865D4"/>
    <w:rsid w:val="00991018"/>
    <w:rsid w:val="009A6973"/>
    <w:rsid w:val="009A720A"/>
    <w:rsid w:val="009C4B4E"/>
    <w:rsid w:val="009D3FF3"/>
    <w:rsid w:val="009F4825"/>
    <w:rsid w:val="00A00059"/>
    <w:rsid w:val="00A47E5E"/>
    <w:rsid w:val="00A60747"/>
    <w:rsid w:val="00A7635E"/>
    <w:rsid w:val="00A76A60"/>
    <w:rsid w:val="00A81240"/>
    <w:rsid w:val="00A833C8"/>
    <w:rsid w:val="00A96EA5"/>
    <w:rsid w:val="00AB708F"/>
    <w:rsid w:val="00AC3DAF"/>
    <w:rsid w:val="00AD7F82"/>
    <w:rsid w:val="00AE3090"/>
    <w:rsid w:val="00B02999"/>
    <w:rsid w:val="00B0546F"/>
    <w:rsid w:val="00B05D4F"/>
    <w:rsid w:val="00B104E8"/>
    <w:rsid w:val="00B16B5A"/>
    <w:rsid w:val="00B174B9"/>
    <w:rsid w:val="00B311E8"/>
    <w:rsid w:val="00B60E56"/>
    <w:rsid w:val="00B94A7D"/>
    <w:rsid w:val="00BA62CD"/>
    <w:rsid w:val="00BA7D40"/>
    <w:rsid w:val="00BB0AC8"/>
    <w:rsid w:val="00BD0801"/>
    <w:rsid w:val="00BF1E95"/>
    <w:rsid w:val="00C070EF"/>
    <w:rsid w:val="00C11FB6"/>
    <w:rsid w:val="00C27AE9"/>
    <w:rsid w:val="00C42B1C"/>
    <w:rsid w:val="00C434B6"/>
    <w:rsid w:val="00C448D8"/>
    <w:rsid w:val="00C853DC"/>
    <w:rsid w:val="00C86266"/>
    <w:rsid w:val="00C92F3D"/>
    <w:rsid w:val="00CA7044"/>
    <w:rsid w:val="00CB402E"/>
    <w:rsid w:val="00CC39A1"/>
    <w:rsid w:val="00CD4A38"/>
    <w:rsid w:val="00CE3E1B"/>
    <w:rsid w:val="00CE6A4B"/>
    <w:rsid w:val="00D1339E"/>
    <w:rsid w:val="00D22048"/>
    <w:rsid w:val="00D242C2"/>
    <w:rsid w:val="00D37FA2"/>
    <w:rsid w:val="00D52549"/>
    <w:rsid w:val="00D57BEE"/>
    <w:rsid w:val="00D57E1B"/>
    <w:rsid w:val="00D665AB"/>
    <w:rsid w:val="00DC01E3"/>
    <w:rsid w:val="00DD755D"/>
    <w:rsid w:val="00DF0115"/>
    <w:rsid w:val="00E11FE6"/>
    <w:rsid w:val="00E3051E"/>
    <w:rsid w:val="00E53AB2"/>
    <w:rsid w:val="00E64B66"/>
    <w:rsid w:val="00E676C9"/>
    <w:rsid w:val="00E73906"/>
    <w:rsid w:val="00E95BE6"/>
    <w:rsid w:val="00EE0B2D"/>
    <w:rsid w:val="00F201B0"/>
    <w:rsid w:val="00F55423"/>
    <w:rsid w:val="00F64984"/>
    <w:rsid w:val="00F9086A"/>
    <w:rsid w:val="00F91DD3"/>
    <w:rsid w:val="00FA786B"/>
    <w:rsid w:val="00FC3DF4"/>
    <w:rsid w:val="00FD11F5"/>
    <w:rsid w:val="00FF3963"/>
    <w:rsid w:val="00FF5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A270027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Body Text"/>
    <w:basedOn w:val="a"/>
    <w:link w:val="ac"/>
    <w:rsid w:val="00E3051E"/>
    <w:pPr>
      <w:spacing w:after="120" w:line="240" w:lineRule="auto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ac">
    <w:name w:val="Основний текст Знак"/>
    <w:basedOn w:val="a0"/>
    <w:link w:val="ab"/>
    <w:rsid w:val="00E3051E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rvts37">
    <w:name w:val="rvts37"/>
    <w:basedOn w:val="a0"/>
    <w:rsid w:val="00B104E8"/>
  </w:style>
  <w:style w:type="character" w:customStyle="1" w:styleId="rvts46">
    <w:name w:val="rvts46"/>
    <w:basedOn w:val="a0"/>
    <w:rsid w:val="00B104E8"/>
  </w:style>
  <w:style w:type="character" w:customStyle="1" w:styleId="rvts15">
    <w:name w:val="rvts15"/>
    <w:uiPriority w:val="99"/>
    <w:rsid w:val="00B104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093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0FB198-C289-457E-ADFF-9E936197D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4263</Words>
  <Characters>2431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Наталя Василівна Кочергіна</cp:lastModifiedBy>
  <cp:revision>22</cp:revision>
  <cp:lastPrinted>2020-11-25T08:43:00Z</cp:lastPrinted>
  <dcterms:created xsi:type="dcterms:W3CDTF">2020-11-10T11:01:00Z</dcterms:created>
  <dcterms:modified xsi:type="dcterms:W3CDTF">2020-12-01T09:39:00Z</dcterms:modified>
</cp:coreProperties>
</file>