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2774" w:rsidRPr="0077722A" w:rsidRDefault="002A2774" w:rsidP="002A2774">
      <w:pPr>
        <w:spacing w:after="0" w:line="240" w:lineRule="auto"/>
        <w:jc w:val="center"/>
        <w:rPr>
          <w:rFonts w:ascii="Times New Roman" w:eastAsia="Calibri" w:hAnsi="Times New Roman" w:cs="Times New Roman"/>
          <w:b/>
          <w:sz w:val="28"/>
          <w:szCs w:val="28"/>
        </w:rPr>
      </w:pPr>
      <w:bookmarkStart w:id="0" w:name="_GoBack"/>
      <w:bookmarkEnd w:id="0"/>
      <w:r w:rsidRPr="0077722A">
        <w:rPr>
          <w:rFonts w:ascii="Times New Roman" w:eastAsia="Calibri" w:hAnsi="Times New Roman" w:cs="Times New Roman"/>
          <w:b/>
          <w:sz w:val="28"/>
          <w:szCs w:val="28"/>
        </w:rPr>
        <w:t>Порівняльна таблиця</w:t>
      </w:r>
    </w:p>
    <w:p w:rsidR="004D19C1" w:rsidRPr="004D19C1" w:rsidRDefault="004D19C1" w:rsidP="004D19C1">
      <w:pPr>
        <w:spacing w:after="0" w:line="240" w:lineRule="auto"/>
        <w:jc w:val="center"/>
        <w:rPr>
          <w:rFonts w:ascii="Times New Roman" w:eastAsia="Calibri" w:hAnsi="Times New Roman" w:cs="Times New Roman"/>
          <w:b/>
          <w:sz w:val="28"/>
          <w:szCs w:val="28"/>
        </w:rPr>
      </w:pPr>
      <w:r w:rsidRPr="004D19C1">
        <w:rPr>
          <w:rFonts w:ascii="Times New Roman" w:eastAsia="Calibri" w:hAnsi="Times New Roman" w:cs="Times New Roman"/>
          <w:b/>
          <w:sz w:val="28"/>
          <w:szCs w:val="28"/>
        </w:rPr>
        <w:t xml:space="preserve">до проекту Закону України </w:t>
      </w:r>
      <w:r>
        <w:rPr>
          <w:rFonts w:ascii="Times New Roman" w:eastAsia="Calibri" w:hAnsi="Times New Roman" w:cs="Times New Roman"/>
          <w:b/>
          <w:sz w:val="28"/>
          <w:szCs w:val="28"/>
        </w:rPr>
        <w:t>«</w:t>
      </w:r>
      <w:r w:rsidRPr="004D19C1">
        <w:rPr>
          <w:rFonts w:ascii="Times New Roman" w:eastAsia="Calibri" w:hAnsi="Times New Roman" w:cs="Times New Roman"/>
          <w:b/>
          <w:sz w:val="28"/>
          <w:szCs w:val="28"/>
        </w:rPr>
        <w:t xml:space="preserve">Про внесення змін до Податкового кодексу України щодо ставки податку на додану вартість </w:t>
      </w:r>
      <w:r w:rsidR="00DD5D9B">
        <w:rPr>
          <w:rFonts w:ascii="Times New Roman" w:eastAsia="Calibri" w:hAnsi="Times New Roman" w:cs="Times New Roman"/>
          <w:b/>
          <w:sz w:val="28"/>
          <w:szCs w:val="28"/>
        </w:rPr>
        <w:t>з</w:t>
      </w:r>
      <w:r w:rsidRPr="004D19C1">
        <w:rPr>
          <w:rFonts w:ascii="Times New Roman" w:eastAsia="Calibri" w:hAnsi="Times New Roman" w:cs="Times New Roman"/>
          <w:b/>
          <w:sz w:val="28"/>
          <w:szCs w:val="28"/>
        </w:rPr>
        <w:t xml:space="preserve"> окремих операці</w:t>
      </w:r>
      <w:r w:rsidR="00DD5D9B">
        <w:rPr>
          <w:rFonts w:ascii="Times New Roman" w:eastAsia="Calibri" w:hAnsi="Times New Roman" w:cs="Times New Roman"/>
          <w:b/>
          <w:sz w:val="28"/>
          <w:szCs w:val="28"/>
        </w:rPr>
        <w:t>й</w:t>
      </w:r>
      <w:r w:rsidRPr="004D19C1">
        <w:rPr>
          <w:rFonts w:ascii="Times New Roman" w:eastAsia="Calibri" w:hAnsi="Times New Roman" w:cs="Times New Roman"/>
          <w:b/>
          <w:sz w:val="28"/>
          <w:szCs w:val="28"/>
        </w:rPr>
        <w:t xml:space="preserve"> на період реалізації Договору між Урядом України та</w:t>
      </w:r>
    </w:p>
    <w:p w:rsidR="002A2774" w:rsidRDefault="004D19C1" w:rsidP="004D19C1">
      <w:pPr>
        <w:spacing w:after="0"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Урядом Республіки Польща</w:t>
      </w:r>
      <w:r w:rsidR="002C098E">
        <w:rPr>
          <w:rFonts w:ascii="Times New Roman" w:eastAsia="Calibri" w:hAnsi="Times New Roman" w:cs="Times New Roman"/>
          <w:b/>
          <w:sz w:val="28"/>
          <w:szCs w:val="28"/>
        </w:rPr>
        <w:t xml:space="preserve"> </w:t>
      </w:r>
      <w:r w:rsidR="00E5592C" w:rsidRPr="00E5592C">
        <w:rPr>
          <w:rFonts w:ascii="Times New Roman" w:eastAsia="Calibri" w:hAnsi="Times New Roman" w:cs="Times New Roman"/>
          <w:b/>
          <w:sz w:val="28"/>
          <w:szCs w:val="28"/>
        </w:rPr>
        <w:t xml:space="preserve">про надання кредиту на умовах пов’язаної допомоги </w:t>
      </w:r>
      <w:r w:rsidR="002C098E" w:rsidRPr="002C098E">
        <w:rPr>
          <w:rFonts w:ascii="Times New Roman" w:eastAsia="Calibri" w:hAnsi="Times New Roman" w:cs="Times New Roman"/>
          <w:b/>
          <w:sz w:val="28"/>
          <w:szCs w:val="28"/>
        </w:rPr>
        <w:t>та інших питань державного боргу</w:t>
      </w:r>
      <w:r>
        <w:rPr>
          <w:rFonts w:ascii="Times New Roman" w:eastAsia="Calibri" w:hAnsi="Times New Roman" w:cs="Times New Roman"/>
          <w:b/>
          <w:sz w:val="28"/>
          <w:szCs w:val="28"/>
        </w:rPr>
        <w:t>»</w:t>
      </w:r>
    </w:p>
    <w:p w:rsidR="00FB32D7" w:rsidRPr="001B6F3C" w:rsidRDefault="00FB32D7" w:rsidP="004D19C1">
      <w:pPr>
        <w:spacing w:after="0" w:line="240" w:lineRule="auto"/>
        <w:jc w:val="center"/>
        <w:rPr>
          <w:sz w:val="18"/>
        </w:rPr>
      </w:pPr>
    </w:p>
    <w:tbl>
      <w:tblPr>
        <w:tblStyle w:val="a3"/>
        <w:tblW w:w="15446" w:type="dxa"/>
        <w:tblInd w:w="-147" w:type="dxa"/>
        <w:tblLook w:val="04A0" w:firstRow="1" w:lastRow="0" w:firstColumn="1" w:lastColumn="0" w:noHBand="0" w:noVBand="1"/>
      </w:tblPr>
      <w:tblGrid>
        <w:gridCol w:w="562"/>
        <w:gridCol w:w="3827"/>
        <w:gridCol w:w="7083"/>
        <w:gridCol w:w="3974"/>
      </w:tblGrid>
      <w:tr w:rsidR="002A2774" w:rsidRPr="00C70868" w:rsidTr="00FB32D7">
        <w:tc>
          <w:tcPr>
            <w:tcW w:w="562" w:type="dxa"/>
          </w:tcPr>
          <w:p w:rsidR="002A2774" w:rsidRDefault="002A2774" w:rsidP="009E6A5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п/п</w:t>
            </w:r>
          </w:p>
        </w:tc>
        <w:tc>
          <w:tcPr>
            <w:tcW w:w="3827" w:type="dxa"/>
          </w:tcPr>
          <w:p w:rsidR="002A2774" w:rsidRPr="00C70868" w:rsidRDefault="002A2774" w:rsidP="009E6A5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Зміст положення Кодексу</w:t>
            </w:r>
          </w:p>
        </w:tc>
        <w:tc>
          <w:tcPr>
            <w:tcW w:w="7083" w:type="dxa"/>
          </w:tcPr>
          <w:p w:rsidR="002A2774" w:rsidRPr="00C70868" w:rsidRDefault="002A2774" w:rsidP="009E6A5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Зміст відповідного положення проекту Закону України</w:t>
            </w:r>
          </w:p>
        </w:tc>
        <w:tc>
          <w:tcPr>
            <w:tcW w:w="3974" w:type="dxa"/>
          </w:tcPr>
          <w:p w:rsidR="002A2774" w:rsidRDefault="002A2774" w:rsidP="009E6A5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Пояснення змін</w:t>
            </w:r>
          </w:p>
        </w:tc>
      </w:tr>
      <w:tr w:rsidR="002C098E" w:rsidTr="00FB32D7">
        <w:tc>
          <w:tcPr>
            <w:tcW w:w="562" w:type="dxa"/>
            <w:hideMark/>
          </w:tcPr>
          <w:p w:rsidR="002C098E" w:rsidRDefault="00FB32D7" w:rsidP="00AF1608">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827" w:type="dxa"/>
            <w:hideMark/>
          </w:tcPr>
          <w:p w:rsidR="002C098E" w:rsidRDefault="002C098E" w:rsidP="00AF1608">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Стаття 14. Визначення понять</w:t>
            </w:r>
          </w:p>
          <w:p w:rsidR="002C098E" w:rsidRDefault="002C098E" w:rsidP="00AF1608">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14.1.44-1. державні цінні папери - облігації внутрішніх і зовнішніх державних позик та казначейські зобов'язання України, розміщені центральним органом виконавчої влади, що забезпечує формування та реалізує державну фінансову політику;</w:t>
            </w:r>
          </w:p>
          <w:p w:rsidR="002C098E" w:rsidRDefault="002C098E" w:rsidP="00AF1608">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Стаття 141. Особливості оподаткування окремих видів діяльності та операцій</w:t>
            </w:r>
          </w:p>
          <w:p w:rsidR="002C098E" w:rsidRDefault="002C098E" w:rsidP="00AF1608">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141.4.10. Не підлягають оподаткуванню доходи, отримані нерезидентами у вигляді процентів або доходу (дисконту) на державні цінні папери або облігації місцевих позик, або боргові цінні папери, виконання зобов'язань за якими забезпечено державними або місцевими гарантіями, або у вигляді інших доходів за державними цінними паперами, що виплачуються центральним органом виконавчої влади, що забезпечує формування та реалізує </w:t>
            </w:r>
            <w:r>
              <w:rPr>
                <w:rFonts w:ascii="Times New Roman" w:eastAsia="Calibri" w:hAnsi="Times New Roman" w:cs="Times New Roman"/>
                <w:sz w:val="24"/>
                <w:szCs w:val="24"/>
              </w:rPr>
              <w:lastRenderedPageBreak/>
              <w:t>державну фінансову політику, або у вигляді процентів, сплачених нерезидентам за отримані державою або до бюджету Автономної Республіки Крим чи міського бюджету позики (кредити або зовнішні запозичення), які відображаються в Державному бюджеті України або місцевих бюджетах чи кошторисі Національного банку України, або за кредити (позики), які отримані суб'єктами господарювання та виконання яких забезпечено державними або місцевими гарантіями.</w:t>
            </w:r>
          </w:p>
          <w:p w:rsidR="002C098E" w:rsidRDefault="002C098E" w:rsidP="00AF1608">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Стаття 165. Доходи, які не включаються до розрахунку загального місячного (річного) оподатковуваного доходу</w:t>
            </w:r>
          </w:p>
          <w:p w:rsidR="002C098E" w:rsidRDefault="002C098E" w:rsidP="00AF1608">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165.1.2. сума доходів, отриманих платником податку у вигляді процентів, що нараховані на державні цінні папери, емітовані центральним органом виконавчої влади, що  забезпечує формування та реалізує державну фінансову політику, та на боргові зобов'язання Національного банку України, а також сума доходів, отриманих нерезидентами у вигляді процентів, нарахованих на державні цінні папери або облігації </w:t>
            </w:r>
            <w:r>
              <w:rPr>
                <w:rFonts w:ascii="Times New Roman" w:eastAsia="Calibri" w:hAnsi="Times New Roman" w:cs="Times New Roman"/>
                <w:sz w:val="24"/>
                <w:szCs w:val="24"/>
              </w:rPr>
              <w:lastRenderedPageBreak/>
              <w:t>місцевих позик, або боргові цінні папери, виконання зобов'язань за якими забезпечено державними або місцевими гарантіями, якщо такі цінні папери придбані нерезидентами за межами території України через уповноважених агентів - нерезидентів, або процентів, отриманих нерезидентами за надані державі або бюджету Автономної Республіки Крим чи міському бюджету позики (кредити або зовнішні запозичення), які відображаються в Державному бюджеті України або місцевих бюджетах чи кошторисі Національного банку України, або за надані суб'єктам господарювання кредити (позики), виконання яких забезпечено державними або місцевими гарантіями;</w:t>
            </w:r>
          </w:p>
          <w:p w:rsidR="002C098E" w:rsidRDefault="002C098E" w:rsidP="00AF1608">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165.1.52. інвестиційний прибуток від операцій з борговими зобов'язаннями Національного банку України та з державними цінними паперами, емітованими центральним органом виконавчої влади, що забезпечує формування та реалізує державну фінансову політику, з урахуванням курсових різниць;</w:t>
            </w:r>
          </w:p>
        </w:tc>
        <w:tc>
          <w:tcPr>
            <w:tcW w:w="7083" w:type="dxa"/>
            <w:hideMark/>
          </w:tcPr>
          <w:p w:rsidR="002C098E" w:rsidRDefault="002C098E" w:rsidP="00AF1608">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Стаття 14. Визначення понять</w:t>
            </w:r>
          </w:p>
          <w:p w:rsidR="002C098E" w:rsidRDefault="002C098E" w:rsidP="00AF1608">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14.1.44-1. державні цінні папери - облігації внутрішніх і зовнішніх державних позик та казначейські зобов'язання України, розміщені центральним органом виконавчої влади, що забезпечує формування та реалізує державну фінансову політику</w:t>
            </w:r>
            <w:r w:rsidRPr="00DD1936">
              <w:rPr>
                <w:rFonts w:ascii="Times New Roman" w:eastAsia="Calibri" w:hAnsi="Times New Roman" w:cs="Times New Roman"/>
                <w:b/>
                <w:sz w:val="24"/>
                <w:szCs w:val="24"/>
              </w:rPr>
              <w:t xml:space="preserve">, </w:t>
            </w:r>
            <w:r>
              <w:rPr>
                <w:rFonts w:ascii="Times New Roman" w:eastAsia="Calibri" w:hAnsi="Times New Roman" w:cs="Times New Roman"/>
                <w:b/>
                <w:sz w:val="24"/>
                <w:szCs w:val="24"/>
              </w:rPr>
              <w:t>та/або центральним органом виконавчої влади, що реалізує державну бюджетну політику у сфері управління державним боргом та гарантованим державою боргом</w:t>
            </w:r>
            <w:r>
              <w:rPr>
                <w:rFonts w:ascii="Times New Roman" w:eastAsia="Calibri" w:hAnsi="Times New Roman" w:cs="Times New Roman"/>
                <w:sz w:val="24"/>
                <w:szCs w:val="24"/>
              </w:rPr>
              <w:t>;</w:t>
            </w:r>
          </w:p>
          <w:p w:rsidR="002C098E" w:rsidRDefault="002C098E" w:rsidP="00AF1608">
            <w:pPr>
              <w:spacing w:after="0" w:line="240" w:lineRule="auto"/>
              <w:jc w:val="both"/>
              <w:rPr>
                <w:rFonts w:ascii="Times New Roman" w:eastAsia="Calibri" w:hAnsi="Times New Roman" w:cs="Times New Roman"/>
                <w:sz w:val="24"/>
                <w:szCs w:val="24"/>
              </w:rPr>
            </w:pPr>
          </w:p>
          <w:p w:rsidR="002C098E" w:rsidRDefault="002C098E" w:rsidP="00AF1608">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Стаття 141. Особливості оподаткування окремих видів діяльності та операцій</w:t>
            </w:r>
          </w:p>
          <w:p w:rsidR="002C098E" w:rsidRDefault="002C098E" w:rsidP="00AF1608">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141.4.10. Не підлягають оподаткуванню доходи, отримані нерезидентами у вигляді процентів або доходу (дисконту) на державні цінні папери або облігації місцевих позик, або боргові цінні папери, виконання зобов'язань за якими забезпечено державними або місцевими гарантіями, або у вигляді інших доходів за державними цінними паперами, що виплачуються центральним органом виконавчої влади, що забезпечує формування та реалізує державну фінансову політику</w:t>
            </w:r>
            <w:r w:rsidRPr="00DD1936">
              <w:rPr>
                <w:rFonts w:ascii="Times New Roman" w:eastAsia="Calibri" w:hAnsi="Times New Roman" w:cs="Times New Roman"/>
                <w:b/>
                <w:sz w:val="24"/>
                <w:szCs w:val="24"/>
              </w:rPr>
              <w:t xml:space="preserve">, </w:t>
            </w:r>
            <w:r>
              <w:rPr>
                <w:rFonts w:ascii="Times New Roman" w:eastAsia="Calibri" w:hAnsi="Times New Roman" w:cs="Times New Roman"/>
                <w:b/>
                <w:sz w:val="24"/>
                <w:szCs w:val="24"/>
              </w:rPr>
              <w:t>та/або центральним органом виконавчої влади, що реалізує державну бюджетну політику у сфері управління державним боргом та гарантованим державою боргом</w:t>
            </w:r>
            <w:r w:rsidRPr="00DD1936">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або у вигляді процентів, сплачених нерезидентам за отримані державою або до бюджету Автономної Республіки Крим чи міського бюджету позики (кредити або зовнішні запозичення), які відображаються в Державному бюджеті України або місцевих бюджетах чи </w:t>
            </w:r>
            <w:r>
              <w:rPr>
                <w:rFonts w:ascii="Times New Roman" w:eastAsia="Calibri" w:hAnsi="Times New Roman" w:cs="Times New Roman"/>
                <w:sz w:val="24"/>
                <w:szCs w:val="24"/>
              </w:rPr>
              <w:lastRenderedPageBreak/>
              <w:t>кошторисі Національного банку України, або за кредити (позики), які отримані суб'єктами господарювання та виконання яких забезпечено державними або місцевими гарантіями.</w:t>
            </w:r>
          </w:p>
          <w:p w:rsidR="002C098E" w:rsidRDefault="002C098E" w:rsidP="00AF1608">
            <w:pPr>
              <w:spacing w:after="0" w:line="240" w:lineRule="auto"/>
              <w:jc w:val="both"/>
              <w:rPr>
                <w:rFonts w:ascii="Times New Roman" w:eastAsia="Calibri" w:hAnsi="Times New Roman" w:cs="Times New Roman"/>
                <w:sz w:val="24"/>
                <w:szCs w:val="24"/>
              </w:rPr>
            </w:pPr>
          </w:p>
          <w:p w:rsidR="002C098E" w:rsidRDefault="002C098E" w:rsidP="00AF1608">
            <w:pPr>
              <w:spacing w:after="0" w:line="240" w:lineRule="auto"/>
              <w:jc w:val="both"/>
              <w:rPr>
                <w:rFonts w:ascii="Times New Roman" w:eastAsia="Calibri" w:hAnsi="Times New Roman" w:cs="Times New Roman"/>
                <w:sz w:val="24"/>
                <w:szCs w:val="24"/>
              </w:rPr>
            </w:pPr>
          </w:p>
          <w:p w:rsidR="002C098E" w:rsidRDefault="002C098E" w:rsidP="00AF1608">
            <w:pPr>
              <w:spacing w:after="0" w:line="240" w:lineRule="auto"/>
              <w:jc w:val="both"/>
              <w:rPr>
                <w:rFonts w:ascii="Times New Roman" w:eastAsia="Calibri" w:hAnsi="Times New Roman" w:cs="Times New Roman"/>
                <w:sz w:val="24"/>
                <w:szCs w:val="24"/>
              </w:rPr>
            </w:pPr>
          </w:p>
          <w:p w:rsidR="002C098E" w:rsidRDefault="002C098E" w:rsidP="00AF1608">
            <w:pPr>
              <w:spacing w:after="0" w:line="240" w:lineRule="auto"/>
              <w:jc w:val="both"/>
              <w:rPr>
                <w:rFonts w:ascii="Times New Roman" w:eastAsia="Calibri" w:hAnsi="Times New Roman" w:cs="Times New Roman"/>
                <w:sz w:val="24"/>
                <w:szCs w:val="24"/>
              </w:rPr>
            </w:pPr>
          </w:p>
          <w:p w:rsidR="002C098E" w:rsidRDefault="002C098E" w:rsidP="00AF1608">
            <w:pPr>
              <w:spacing w:after="0" w:line="240" w:lineRule="auto"/>
              <w:jc w:val="both"/>
              <w:rPr>
                <w:rFonts w:ascii="Times New Roman" w:eastAsia="Calibri" w:hAnsi="Times New Roman" w:cs="Times New Roman"/>
                <w:sz w:val="24"/>
                <w:szCs w:val="24"/>
              </w:rPr>
            </w:pPr>
          </w:p>
          <w:p w:rsidR="002C098E" w:rsidRDefault="002C098E" w:rsidP="00AF1608">
            <w:pPr>
              <w:spacing w:after="0" w:line="240" w:lineRule="auto"/>
              <w:jc w:val="both"/>
              <w:rPr>
                <w:rFonts w:ascii="Times New Roman" w:eastAsia="Calibri" w:hAnsi="Times New Roman" w:cs="Times New Roman"/>
                <w:sz w:val="24"/>
                <w:szCs w:val="24"/>
              </w:rPr>
            </w:pPr>
          </w:p>
          <w:p w:rsidR="002C098E" w:rsidRDefault="002C098E" w:rsidP="00AF1608">
            <w:pPr>
              <w:spacing w:after="0" w:line="240" w:lineRule="auto"/>
              <w:jc w:val="both"/>
              <w:rPr>
                <w:rFonts w:ascii="Times New Roman" w:eastAsia="Calibri" w:hAnsi="Times New Roman" w:cs="Times New Roman"/>
                <w:sz w:val="24"/>
                <w:szCs w:val="24"/>
              </w:rPr>
            </w:pPr>
          </w:p>
          <w:p w:rsidR="002C098E" w:rsidRDefault="002C098E" w:rsidP="00AF1608">
            <w:pPr>
              <w:spacing w:after="0" w:line="240" w:lineRule="auto"/>
              <w:jc w:val="both"/>
              <w:rPr>
                <w:rFonts w:ascii="Times New Roman" w:eastAsia="Calibri" w:hAnsi="Times New Roman" w:cs="Times New Roman"/>
                <w:sz w:val="24"/>
                <w:szCs w:val="24"/>
              </w:rPr>
            </w:pPr>
          </w:p>
          <w:p w:rsidR="002C098E" w:rsidRDefault="002C098E" w:rsidP="00AF1608">
            <w:pPr>
              <w:spacing w:after="0" w:line="240" w:lineRule="auto"/>
              <w:jc w:val="both"/>
              <w:rPr>
                <w:rFonts w:ascii="Times New Roman" w:eastAsia="Calibri" w:hAnsi="Times New Roman" w:cs="Times New Roman"/>
                <w:sz w:val="24"/>
                <w:szCs w:val="24"/>
              </w:rPr>
            </w:pPr>
          </w:p>
          <w:p w:rsidR="002C098E" w:rsidRDefault="002C098E" w:rsidP="00AF1608">
            <w:pPr>
              <w:spacing w:after="0" w:line="240" w:lineRule="auto"/>
              <w:jc w:val="both"/>
              <w:rPr>
                <w:rFonts w:ascii="Times New Roman" w:eastAsia="Calibri" w:hAnsi="Times New Roman" w:cs="Times New Roman"/>
                <w:sz w:val="24"/>
                <w:szCs w:val="24"/>
              </w:rPr>
            </w:pPr>
          </w:p>
          <w:p w:rsidR="002C098E" w:rsidRDefault="002C098E" w:rsidP="00AF1608">
            <w:pPr>
              <w:spacing w:after="0" w:line="240" w:lineRule="auto"/>
              <w:jc w:val="both"/>
              <w:rPr>
                <w:rFonts w:ascii="Times New Roman" w:eastAsia="Calibri" w:hAnsi="Times New Roman" w:cs="Times New Roman"/>
                <w:sz w:val="24"/>
                <w:szCs w:val="24"/>
              </w:rPr>
            </w:pPr>
          </w:p>
          <w:p w:rsidR="002C098E" w:rsidRDefault="002C098E" w:rsidP="00AF1608">
            <w:pPr>
              <w:spacing w:after="0" w:line="240" w:lineRule="auto"/>
              <w:jc w:val="both"/>
              <w:rPr>
                <w:rFonts w:ascii="Times New Roman" w:eastAsia="Calibri" w:hAnsi="Times New Roman" w:cs="Times New Roman"/>
                <w:sz w:val="24"/>
                <w:szCs w:val="24"/>
              </w:rPr>
            </w:pPr>
          </w:p>
          <w:p w:rsidR="002C098E" w:rsidRDefault="002C098E" w:rsidP="00AF1608">
            <w:pPr>
              <w:spacing w:after="0" w:line="240" w:lineRule="auto"/>
              <w:jc w:val="both"/>
              <w:rPr>
                <w:rFonts w:ascii="Times New Roman" w:eastAsia="Calibri" w:hAnsi="Times New Roman" w:cs="Times New Roman"/>
                <w:sz w:val="24"/>
                <w:szCs w:val="24"/>
              </w:rPr>
            </w:pPr>
          </w:p>
          <w:p w:rsidR="002C098E" w:rsidRDefault="002C098E" w:rsidP="00AF1608">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Стаття 165. Доходи, які не включаються до розрахунку загального місячного (річного) оподатковуваного доходу</w:t>
            </w:r>
          </w:p>
          <w:p w:rsidR="002C098E" w:rsidRDefault="002C098E" w:rsidP="00AF1608">
            <w:pPr>
              <w:spacing w:after="0" w:line="240" w:lineRule="auto"/>
              <w:jc w:val="both"/>
              <w:rPr>
                <w:rFonts w:ascii="Times New Roman" w:eastAsia="Calibri" w:hAnsi="Times New Roman" w:cs="Times New Roman"/>
                <w:sz w:val="24"/>
                <w:szCs w:val="24"/>
              </w:rPr>
            </w:pPr>
          </w:p>
          <w:p w:rsidR="002C098E" w:rsidRDefault="002C098E" w:rsidP="00AF1608">
            <w:pPr>
              <w:spacing w:after="0" w:line="240" w:lineRule="auto"/>
              <w:jc w:val="both"/>
              <w:rPr>
                <w:rFonts w:ascii="Times New Roman" w:eastAsia="Calibri" w:hAnsi="Times New Roman" w:cs="Times New Roman"/>
                <w:sz w:val="24"/>
                <w:szCs w:val="24"/>
              </w:rPr>
            </w:pPr>
          </w:p>
          <w:p w:rsidR="002C098E" w:rsidRDefault="002C098E" w:rsidP="00AF1608">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165.1.2. сума доходів, отриманих платником податку у вигляді процентів, що нараховані на державні цінні папери, емітовані центральним органом виконавчої влади, що  забезпечує формування та реалізує державну фінансову політику</w:t>
            </w:r>
            <w:r w:rsidRPr="000B748F">
              <w:rPr>
                <w:rFonts w:ascii="Times New Roman" w:eastAsia="Calibri" w:hAnsi="Times New Roman" w:cs="Times New Roman"/>
                <w:b/>
                <w:sz w:val="24"/>
                <w:szCs w:val="24"/>
              </w:rPr>
              <w:t>,</w:t>
            </w:r>
            <w:r>
              <w:rPr>
                <w:rFonts w:ascii="Times New Roman" w:eastAsia="Calibri" w:hAnsi="Times New Roman" w:cs="Times New Roman"/>
                <w:sz w:val="24"/>
                <w:szCs w:val="24"/>
              </w:rPr>
              <w:t xml:space="preserve"> </w:t>
            </w:r>
            <w:r>
              <w:rPr>
                <w:rFonts w:ascii="Times New Roman" w:eastAsia="Calibri" w:hAnsi="Times New Roman" w:cs="Times New Roman"/>
                <w:b/>
                <w:sz w:val="24"/>
                <w:szCs w:val="24"/>
              </w:rPr>
              <w:t>та/або центральним органом виконавчої влади, що реалізує державну бюджетну політику у сфері управління державним боргом та гарантованим державою боргом</w:t>
            </w:r>
            <w:r w:rsidRPr="000B748F">
              <w:rPr>
                <w:rFonts w:ascii="Times New Roman" w:eastAsia="Calibri" w:hAnsi="Times New Roman" w:cs="Times New Roman"/>
                <w:sz w:val="24"/>
                <w:szCs w:val="24"/>
              </w:rPr>
              <w:t>,</w:t>
            </w:r>
            <w:r>
              <w:rPr>
                <w:rFonts w:ascii="Times New Roman" w:eastAsia="Calibri" w:hAnsi="Times New Roman" w:cs="Times New Roman"/>
                <w:sz w:val="24"/>
                <w:szCs w:val="24"/>
              </w:rPr>
              <w:t xml:space="preserve"> та на боргові зобов'язання Національного банку України, а також сума доходів, отриманих нерезидентами у вигляді процентів, нарахованих на державні цінні папери або облігації місцевих позик, або боргові цінні папери, виконання зобов'язань за якими забезпечено державними або місцевими гарантіями, якщо такі цінні папери придбані нерезидентами за межами території України через уповноважених </w:t>
            </w:r>
            <w:r>
              <w:rPr>
                <w:rFonts w:ascii="Times New Roman" w:eastAsia="Calibri" w:hAnsi="Times New Roman" w:cs="Times New Roman"/>
                <w:sz w:val="24"/>
                <w:szCs w:val="24"/>
              </w:rPr>
              <w:lastRenderedPageBreak/>
              <w:t>агентів - нерезидентів, або процентів, отриманих нерезидентами за надані державі або бюджету Автономної Республіки Крим чи міському бюджету позики (кредити або зовнішні запозичення), які відображаються в Державному бюджеті України або місцевих бюджетах чи кошторисі Національного банку України, або за надані суб'єктам господарювання кредити (позики), виконання яких забезпечено державними або місцевими гарантіями;</w:t>
            </w:r>
          </w:p>
          <w:p w:rsidR="002C098E" w:rsidRDefault="002C098E" w:rsidP="00AF1608">
            <w:pPr>
              <w:spacing w:after="0" w:line="240" w:lineRule="auto"/>
              <w:jc w:val="both"/>
              <w:rPr>
                <w:rFonts w:ascii="Times New Roman" w:eastAsia="Calibri" w:hAnsi="Times New Roman" w:cs="Times New Roman"/>
                <w:sz w:val="24"/>
                <w:szCs w:val="24"/>
              </w:rPr>
            </w:pPr>
          </w:p>
          <w:p w:rsidR="002C098E" w:rsidRDefault="002C098E" w:rsidP="00AF1608">
            <w:pPr>
              <w:spacing w:after="0" w:line="240" w:lineRule="auto"/>
              <w:jc w:val="both"/>
              <w:rPr>
                <w:rFonts w:ascii="Times New Roman" w:eastAsia="Calibri" w:hAnsi="Times New Roman" w:cs="Times New Roman"/>
                <w:sz w:val="24"/>
                <w:szCs w:val="24"/>
              </w:rPr>
            </w:pPr>
          </w:p>
          <w:p w:rsidR="002C098E" w:rsidRDefault="002C098E" w:rsidP="00AF1608">
            <w:pPr>
              <w:spacing w:after="0" w:line="240" w:lineRule="auto"/>
              <w:jc w:val="both"/>
              <w:rPr>
                <w:rFonts w:ascii="Times New Roman" w:eastAsia="Calibri" w:hAnsi="Times New Roman" w:cs="Times New Roman"/>
                <w:sz w:val="24"/>
                <w:szCs w:val="24"/>
              </w:rPr>
            </w:pPr>
          </w:p>
          <w:p w:rsidR="002C098E" w:rsidRDefault="002C098E" w:rsidP="00AF1608">
            <w:pPr>
              <w:spacing w:after="0" w:line="240" w:lineRule="auto"/>
              <w:jc w:val="both"/>
              <w:rPr>
                <w:rFonts w:ascii="Times New Roman" w:eastAsia="Calibri" w:hAnsi="Times New Roman" w:cs="Times New Roman"/>
                <w:sz w:val="24"/>
                <w:szCs w:val="24"/>
              </w:rPr>
            </w:pPr>
          </w:p>
          <w:p w:rsidR="002C098E" w:rsidRDefault="002C098E" w:rsidP="00AF1608">
            <w:pPr>
              <w:spacing w:after="0" w:line="240" w:lineRule="auto"/>
              <w:jc w:val="both"/>
              <w:rPr>
                <w:rFonts w:ascii="Times New Roman" w:eastAsia="Calibri" w:hAnsi="Times New Roman" w:cs="Times New Roman"/>
                <w:sz w:val="24"/>
                <w:szCs w:val="24"/>
              </w:rPr>
            </w:pPr>
          </w:p>
          <w:p w:rsidR="002C098E" w:rsidRDefault="002C098E" w:rsidP="00AF1608">
            <w:pPr>
              <w:spacing w:after="0" w:line="240" w:lineRule="auto"/>
              <w:jc w:val="both"/>
              <w:rPr>
                <w:rFonts w:ascii="Times New Roman" w:eastAsia="Calibri" w:hAnsi="Times New Roman" w:cs="Times New Roman"/>
                <w:sz w:val="24"/>
                <w:szCs w:val="24"/>
              </w:rPr>
            </w:pPr>
          </w:p>
          <w:p w:rsidR="002C098E" w:rsidRDefault="002C098E" w:rsidP="00AF1608">
            <w:pPr>
              <w:spacing w:after="0" w:line="240" w:lineRule="auto"/>
              <w:jc w:val="both"/>
              <w:rPr>
                <w:rFonts w:ascii="Times New Roman" w:eastAsia="Calibri" w:hAnsi="Times New Roman" w:cs="Times New Roman"/>
                <w:sz w:val="24"/>
                <w:szCs w:val="24"/>
              </w:rPr>
            </w:pPr>
          </w:p>
          <w:p w:rsidR="002C098E" w:rsidRDefault="002C098E" w:rsidP="00AF1608">
            <w:pPr>
              <w:spacing w:after="0" w:line="240" w:lineRule="auto"/>
              <w:jc w:val="both"/>
              <w:rPr>
                <w:rFonts w:ascii="Times New Roman" w:eastAsia="Calibri" w:hAnsi="Times New Roman" w:cs="Times New Roman"/>
                <w:sz w:val="24"/>
                <w:szCs w:val="24"/>
              </w:rPr>
            </w:pPr>
          </w:p>
          <w:p w:rsidR="002C098E" w:rsidRDefault="002C098E" w:rsidP="00AF1608">
            <w:pPr>
              <w:spacing w:after="0" w:line="240" w:lineRule="auto"/>
              <w:jc w:val="both"/>
              <w:rPr>
                <w:rFonts w:ascii="Times New Roman" w:eastAsia="Calibri" w:hAnsi="Times New Roman" w:cs="Times New Roman"/>
                <w:sz w:val="24"/>
                <w:szCs w:val="24"/>
              </w:rPr>
            </w:pPr>
          </w:p>
          <w:p w:rsidR="002C098E" w:rsidRDefault="002C098E" w:rsidP="00AF1608">
            <w:pPr>
              <w:spacing w:after="0" w:line="240" w:lineRule="auto"/>
              <w:jc w:val="both"/>
              <w:rPr>
                <w:rFonts w:ascii="Times New Roman" w:eastAsia="Calibri" w:hAnsi="Times New Roman" w:cs="Times New Roman"/>
                <w:sz w:val="24"/>
                <w:szCs w:val="24"/>
              </w:rPr>
            </w:pPr>
          </w:p>
          <w:p w:rsidR="002C098E" w:rsidRDefault="002C098E" w:rsidP="00AF1608">
            <w:pPr>
              <w:spacing w:after="0" w:line="240" w:lineRule="auto"/>
              <w:jc w:val="both"/>
              <w:rPr>
                <w:rFonts w:ascii="Times New Roman" w:eastAsia="Calibri" w:hAnsi="Times New Roman" w:cs="Times New Roman"/>
                <w:sz w:val="24"/>
                <w:szCs w:val="24"/>
              </w:rPr>
            </w:pPr>
          </w:p>
          <w:p w:rsidR="002C098E" w:rsidRDefault="002C098E" w:rsidP="00AF1608">
            <w:pPr>
              <w:spacing w:after="0" w:line="240" w:lineRule="auto"/>
              <w:jc w:val="both"/>
              <w:rPr>
                <w:rFonts w:ascii="Times New Roman" w:eastAsia="Calibri" w:hAnsi="Times New Roman" w:cs="Times New Roman"/>
                <w:sz w:val="24"/>
                <w:szCs w:val="24"/>
              </w:rPr>
            </w:pPr>
          </w:p>
          <w:p w:rsidR="002C098E" w:rsidRDefault="002C098E" w:rsidP="00AF1608">
            <w:pPr>
              <w:spacing w:after="0" w:line="240" w:lineRule="auto"/>
              <w:jc w:val="both"/>
              <w:rPr>
                <w:rFonts w:ascii="Times New Roman" w:eastAsia="Calibri" w:hAnsi="Times New Roman" w:cs="Times New Roman"/>
                <w:sz w:val="24"/>
                <w:szCs w:val="24"/>
              </w:rPr>
            </w:pPr>
          </w:p>
          <w:p w:rsidR="002C098E" w:rsidRDefault="002C098E" w:rsidP="00AF1608">
            <w:pPr>
              <w:spacing w:after="0" w:line="240" w:lineRule="auto"/>
              <w:jc w:val="both"/>
              <w:rPr>
                <w:rFonts w:ascii="Times New Roman" w:eastAsia="Calibri" w:hAnsi="Times New Roman" w:cs="Times New Roman"/>
                <w:sz w:val="24"/>
                <w:szCs w:val="24"/>
              </w:rPr>
            </w:pPr>
          </w:p>
          <w:p w:rsidR="002C098E" w:rsidRDefault="002C098E" w:rsidP="00AF1608">
            <w:pPr>
              <w:spacing w:after="0" w:line="240" w:lineRule="auto"/>
              <w:jc w:val="both"/>
              <w:rPr>
                <w:rFonts w:ascii="Times New Roman" w:eastAsia="Calibri" w:hAnsi="Times New Roman" w:cs="Times New Roman"/>
                <w:sz w:val="24"/>
                <w:szCs w:val="24"/>
              </w:rPr>
            </w:pPr>
          </w:p>
          <w:p w:rsidR="002C098E" w:rsidRDefault="002C098E" w:rsidP="00AF1608">
            <w:pPr>
              <w:spacing w:after="0" w:line="240" w:lineRule="auto"/>
              <w:jc w:val="both"/>
              <w:rPr>
                <w:rFonts w:ascii="Times New Roman" w:eastAsia="Calibri" w:hAnsi="Times New Roman" w:cs="Times New Roman"/>
                <w:sz w:val="24"/>
                <w:szCs w:val="24"/>
              </w:rPr>
            </w:pPr>
          </w:p>
          <w:p w:rsidR="002C098E" w:rsidRDefault="002C098E" w:rsidP="00AF1608">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165.1.52. інвестиційний прибуток від операцій з борговими зобов'язаннями Національного банку України та з державними цінними паперами, емітованими центральним органом виконавчої влади, що забезпечує формування та реалізує державну фінансову політику</w:t>
            </w:r>
            <w:r w:rsidRPr="000B748F">
              <w:rPr>
                <w:rFonts w:ascii="Times New Roman" w:eastAsia="Calibri" w:hAnsi="Times New Roman" w:cs="Times New Roman"/>
                <w:b/>
                <w:sz w:val="24"/>
                <w:szCs w:val="24"/>
              </w:rPr>
              <w:t xml:space="preserve">, </w:t>
            </w:r>
            <w:r>
              <w:rPr>
                <w:rFonts w:ascii="Times New Roman" w:eastAsia="Calibri" w:hAnsi="Times New Roman" w:cs="Times New Roman"/>
                <w:b/>
                <w:sz w:val="24"/>
                <w:szCs w:val="24"/>
              </w:rPr>
              <w:t>та/або центральним органом виконавчої влади, що реалізує державну бюджетну політику у сфері управління державним боргом та гарантованим державою боргом</w:t>
            </w:r>
            <w:r w:rsidRPr="000B748F">
              <w:rPr>
                <w:rFonts w:ascii="Times New Roman" w:eastAsia="Calibri" w:hAnsi="Times New Roman" w:cs="Times New Roman"/>
                <w:sz w:val="24"/>
                <w:szCs w:val="24"/>
              </w:rPr>
              <w:t>,</w:t>
            </w:r>
            <w:r>
              <w:rPr>
                <w:rFonts w:ascii="Times New Roman" w:eastAsia="Calibri" w:hAnsi="Times New Roman" w:cs="Times New Roman"/>
                <w:sz w:val="24"/>
                <w:szCs w:val="24"/>
              </w:rPr>
              <w:t xml:space="preserve"> з урахуванням курсових різниць;</w:t>
            </w:r>
          </w:p>
        </w:tc>
        <w:tc>
          <w:tcPr>
            <w:tcW w:w="3974" w:type="dxa"/>
            <w:hideMark/>
          </w:tcPr>
          <w:p w:rsidR="002C098E" w:rsidRDefault="002C098E" w:rsidP="00AF1608">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У зв’язку з внесенням змін до Бюджетного кодексу України (Закон № 293-IX від 14.11.2019) функції щодо управління державним боргом та гарантованим державою боргом (в тому числі випуск державних цінних паперів, забезпечення здійснення платежів з погашення та обслуговування державного боргу) будуть виконуватись Борговим агентством. До початку функціонування Боргового агентства ці функції продовжує виконувати Мінфін.</w:t>
            </w:r>
          </w:p>
        </w:tc>
      </w:tr>
      <w:tr w:rsidR="00FB32D7" w:rsidRPr="000E26EC" w:rsidTr="00FB32D7">
        <w:tc>
          <w:tcPr>
            <w:tcW w:w="562" w:type="dxa"/>
          </w:tcPr>
          <w:p w:rsidR="00FB32D7" w:rsidRPr="000E26EC" w:rsidRDefault="00FB32D7" w:rsidP="002D7727">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lastRenderedPageBreak/>
              <w:t>2</w:t>
            </w:r>
          </w:p>
        </w:tc>
        <w:tc>
          <w:tcPr>
            <w:tcW w:w="3827" w:type="dxa"/>
          </w:tcPr>
          <w:p w:rsidR="00FB32D7" w:rsidRPr="000E26EC" w:rsidRDefault="00FB32D7" w:rsidP="002D7727">
            <w:pPr>
              <w:spacing w:after="0" w:line="240" w:lineRule="auto"/>
              <w:rPr>
                <w:rFonts w:ascii="Times New Roman" w:eastAsia="Calibri" w:hAnsi="Times New Roman" w:cs="Times New Roman"/>
                <w:sz w:val="24"/>
                <w:szCs w:val="24"/>
              </w:rPr>
            </w:pPr>
            <w:r w:rsidRPr="000E26EC">
              <w:rPr>
                <w:rFonts w:ascii="Times New Roman" w:eastAsia="Calibri" w:hAnsi="Times New Roman" w:cs="Times New Roman"/>
                <w:sz w:val="24"/>
                <w:szCs w:val="24"/>
              </w:rPr>
              <w:t>Розділ ХХ Перехідні положення</w:t>
            </w:r>
          </w:p>
          <w:p w:rsidR="00FB32D7" w:rsidRDefault="00FB32D7" w:rsidP="002D7727">
            <w:pPr>
              <w:spacing w:after="0" w:line="240" w:lineRule="auto"/>
              <w:jc w:val="both"/>
              <w:rPr>
                <w:rFonts w:ascii="Times New Roman" w:eastAsia="Calibri" w:hAnsi="Times New Roman" w:cs="Times New Roman"/>
                <w:sz w:val="24"/>
                <w:szCs w:val="24"/>
              </w:rPr>
            </w:pPr>
            <w:r w:rsidRPr="004D19C1">
              <w:rPr>
                <w:rFonts w:ascii="Times New Roman" w:eastAsia="Calibri" w:hAnsi="Times New Roman" w:cs="Times New Roman"/>
                <w:sz w:val="24"/>
                <w:szCs w:val="24"/>
              </w:rPr>
              <w:t xml:space="preserve">Підрозділ 2. Особливості справляння податку на додану вартість </w:t>
            </w:r>
          </w:p>
          <w:p w:rsidR="00FB32D7" w:rsidRDefault="00FB32D7" w:rsidP="002D7727">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Пункт 74.</w:t>
            </w:r>
          </w:p>
          <w:p w:rsidR="00FB32D7" w:rsidRPr="000E26EC" w:rsidRDefault="00FB32D7" w:rsidP="002D7727">
            <w:pPr>
              <w:spacing w:after="0" w:line="240" w:lineRule="auto"/>
              <w:jc w:val="both"/>
              <w:rPr>
                <w:rFonts w:ascii="Times New Roman" w:eastAsia="Calibri" w:hAnsi="Times New Roman" w:cs="Times New Roman"/>
                <w:sz w:val="24"/>
                <w:szCs w:val="24"/>
              </w:rPr>
            </w:pPr>
            <w:r w:rsidRPr="000E26EC">
              <w:rPr>
                <w:rFonts w:ascii="Times New Roman" w:eastAsia="Calibri" w:hAnsi="Times New Roman" w:cs="Times New Roman"/>
                <w:sz w:val="24"/>
                <w:szCs w:val="24"/>
              </w:rPr>
              <w:t xml:space="preserve">Відсутній </w:t>
            </w:r>
          </w:p>
        </w:tc>
        <w:tc>
          <w:tcPr>
            <w:tcW w:w="7083" w:type="dxa"/>
          </w:tcPr>
          <w:p w:rsidR="00FB32D7" w:rsidRPr="000E26EC" w:rsidRDefault="00FB32D7" w:rsidP="002D7727">
            <w:pPr>
              <w:spacing w:after="0" w:line="240" w:lineRule="auto"/>
              <w:rPr>
                <w:rFonts w:ascii="Times New Roman" w:eastAsia="Calibri" w:hAnsi="Times New Roman" w:cs="Times New Roman"/>
                <w:sz w:val="24"/>
                <w:szCs w:val="24"/>
              </w:rPr>
            </w:pPr>
            <w:r w:rsidRPr="000E26EC">
              <w:rPr>
                <w:rFonts w:ascii="Times New Roman" w:eastAsia="Calibri" w:hAnsi="Times New Roman" w:cs="Times New Roman"/>
                <w:sz w:val="24"/>
                <w:szCs w:val="24"/>
              </w:rPr>
              <w:t>Розділ ХХ Перехідні положення</w:t>
            </w:r>
          </w:p>
          <w:p w:rsidR="00FB32D7" w:rsidRDefault="00FB32D7" w:rsidP="002D7727">
            <w:pPr>
              <w:spacing w:after="0" w:line="240" w:lineRule="auto"/>
              <w:jc w:val="both"/>
              <w:rPr>
                <w:rFonts w:ascii="Times New Roman" w:eastAsia="Calibri" w:hAnsi="Times New Roman" w:cs="Times New Roman"/>
                <w:sz w:val="24"/>
                <w:szCs w:val="24"/>
              </w:rPr>
            </w:pPr>
            <w:r w:rsidRPr="000E26EC">
              <w:rPr>
                <w:rFonts w:ascii="Times New Roman" w:eastAsia="Calibri" w:hAnsi="Times New Roman" w:cs="Times New Roman"/>
                <w:sz w:val="24"/>
                <w:szCs w:val="24"/>
              </w:rPr>
              <w:t xml:space="preserve">Підрозділ </w:t>
            </w:r>
            <w:r>
              <w:rPr>
                <w:rFonts w:ascii="Times New Roman" w:eastAsia="Calibri" w:hAnsi="Times New Roman" w:cs="Times New Roman"/>
                <w:sz w:val="24"/>
                <w:szCs w:val="24"/>
              </w:rPr>
              <w:t>2</w:t>
            </w:r>
            <w:r w:rsidRPr="000E26EC">
              <w:rPr>
                <w:rFonts w:ascii="Times New Roman" w:eastAsia="Calibri" w:hAnsi="Times New Roman" w:cs="Times New Roman"/>
                <w:sz w:val="24"/>
                <w:szCs w:val="24"/>
              </w:rPr>
              <w:t xml:space="preserve">. </w:t>
            </w:r>
            <w:r w:rsidRPr="004D19C1">
              <w:rPr>
                <w:rFonts w:ascii="Times New Roman" w:eastAsia="Calibri" w:hAnsi="Times New Roman" w:cs="Times New Roman"/>
                <w:sz w:val="24"/>
                <w:szCs w:val="24"/>
              </w:rPr>
              <w:t>Особливості справляння податку на додану вартість</w:t>
            </w:r>
          </w:p>
          <w:p w:rsidR="00FB32D7" w:rsidRPr="000E26EC" w:rsidRDefault="00FB32D7" w:rsidP="002D7727">
            <w:pPr>
              <w:spacing w:after="0" w:line="240" w:lineRule="auto"/>
              <w:jc w:val="both"/>
              <w:rPr>
                <w:rFonts w:ascii="Times New Roman" w:eastAsia="Calibri" w:hAnsi="Times New Roman" w:cs="Times New Roman"/>
                <w:b/>
                <w:sz w:val="24"/>
                <w:szCs w:val="24"/>
              </w:rPr>
            </w:pPr>
            <w:r w:rsidRPr="004D19C1">
              <w:rPr>
                <w:rFonts w:ascii="Times New Roman" w:eastAsia="Calibri" w:hAnsi="Times New Roman" w:cs="Times New Roman"/>
                <w:b/>
                <w:sz w:val="24"/>
                <w:szCs w:val="24"/>
              </w:rPr>
              <w:t>7</w:t>
            </w:r>
            <w:r>
              <w:rPr>
                <w:rFonts w:ascii="Times New Roman" w:eastAsia="Calibri" w:hAnsi="Times New Roman" w:cs="Times New Roman"/>
                <w:b/>
                <w:sz w:val="24"/>
                <w:szCs w:val="24"/>
              </w:rPr>
              <w:t>4</w:t>
            </w:r>
            <w:r w:rsidRPr="004D19C1">
              <w:rPr>
                <w:rFonts w:ascii="Times New Roman" w:eastAsia="Calibri" w:hAnsi="Times New Roman" w:cs="Times New Roman"/>
                <w:b/>
                <w:sz w:val="24"/>
                <w:szCs w:val="24"/>
              </w:rPr>
              <w:t>. Тимчасово, на період реалізації Договору між Урядом України та Урядом Республіки Польща про надання кредиту на умовах пов’язаної допомоги від 09</w:t>
            </w:r>
            <w:r>
              <w:rPr>
                <w:rFonts w:ascii="Times New Roman" w:eastAsia="Calibri" w:hAnsi="Times New Roman" w:cs="Times New Roman"/>
                <w:b/>
                <w:sz w:val="24"/>
                <w:szCs w:val="24"/>
              </w:rPr>
              <w:t xml:space="preserve"> вересня </w:t>
            </w:r>
            <w:r w:rsidRPr="004D19C1">
              <w:rPr>
                <w:rFonts w:ascii="Times New Roman" w:eastAsia="Calibri" w:hAnsi="Times New Roman" w:cs="Times New Roman"/>
                <w:b/>
                <w:sz w:val="24"/>
                <w:szCs w:val="24"/>
              </w:rPr>
              <w:t xml:space="preserve">2015 року, ратифікованого Законом України “Про ратифікацію Договору між Урядом України та Урядом Республіки Польща про надання кредиту на умовах пов’язаної допомоги”, за нульовою ставкою податку на додану вартість оподатковуються операції з постачання товарів/послуг на митній території України, які здійснюються безпосередньо виконавцями, що зареєстровані в Республіці Польща, та їх представництвами, зареєстрованими на митній території України, відповідно до Контрактів, укладених на виконання </w:t>
            </w:r>
            <w:r>
              <w:rPr>
                <w:rFonts w:ascii="Times New Roman" w:eastAsia="Calibri" w:hAnsi="Times New Roman" w:cs="Times New Roman"/>
                <w:b/>
                <w:sz w:val="24"/>
                <w:szCs w:val="24"/>
              </w:rPr>
              <w:t>зазначе</w:t>
            </w:r>
            <w:r w:rsidRPr="004D19C1">
              <w:rPr>
                <w:rFonts w:ascii="Times New Roman" w:eastAsia="Calibri" w:hAnsi="Times New Roman" w:cs="Times New Roman"/>
                <w:b/>
                <w:sz w:val="24"/>
                <w:szCs w:val="24"/>
              </w:rPr>
              <w:t>ного Договору із Замовниками проектів з розбудови та облаштування підрозділів охорони державного кордону, міжнародних автомобільних пунктів пропуску, проектів з будівництва, реконструкції та капітального ремонту автомобільних доріг західного регіону.</w:t>
            </w:r>
          </w:p>
        </w:tc>
        <w:tc>
          <w:tcPr>
            <w:tcW w:w="3974" w:type="dxa"/>
          </w:tcPr>
          <w:p w:rsidR="00FB32D7" w:rsidRDefault="00FB32D7" w:rsidP="002D7727">
            <w:pPr>
              <w:spacing w:after="0" w:line="240" w:lineRule="auto"/>
              <w:rPr>
                <w:rFonts w:ascii="Times New Roman" w:eastAsia="Calibri" w:hAnsi="Times New Roman" w:cs="Times New Roman"/>
                <w:sz w:val="24"/>
                <w:szCs w:val="24"/>
              </w:rPr>
            </w:pPr>
            <w:r w:rsidRPr="00800D93">
              <w:rPr>
                <w:rFonts w:ascii="Times New Roman" w:eastAsia="Calibri" w:hAnsi="Times New Roman" w:cs="Times New Roman"/>
                <w:sz w:val="24"/>
                <w:szCs w:val="24"/>
              </w:rPr>
              <w:t>Договор</w:t>
            </w:r>
            <w:r>
              <w:rPr>
                <w:rFonts w:ascii="Times New Roman" w:eastAsia="Calibri" w:hAnsi="Times New Roman" w:cs="Times New Roman"/>
                <w:sz w:val="24"/>
                <w:szCs w:val="24"/>
              </w:rPr>
              <w:t>ом</w:t>
            </w:r>
            <w:r w:rsidRPr="00800D93">
              <w:rPr>
                <w:rFonts w:ascii="Times New Roman" w:eastAsia="Calibri" w:hAnsi="Times New Roman" w:cs="Times New Roman"/>
                <w:sz w:val="24"/>
                <w:szCs w:val="24"/>
              </w:rPr>
              <w:t xml:space="preserve"> між Урядом України та Урядом Республіки Польща про надання кредиту на умовах пов’язаної допомоги</w:t>
            </w:r>
            <w:r>
              <w:rPr>
                <w:rFonts w:ascii="Times New Roman" w:eastAsia="Calibri" w:hAnsi="Times New Roman" w:cs="Times New Roman"/>
                <w:sz w:val="24"/>
                <w:szCs w:val="24"/>
              </w:rPr>
              <w:t xml:space="preserve"> від 09.09.2015 не чітко визначено коло податків, від сплати яких звільняються польські підприємства, та механізм звільнення.</w:t>
            </w:r>
          </w:p>
          <w:p w:rsidR="00FB32D7" w:rsidRPr="00800D93" w:rsidRDefault="00FB32D7" w:rsidP="002D7727">
            <w:pPr>
              <w:spacing w:after="0" w:line="240" w:lineRule="auto"/>
              <w:rPr>
                <w:rFonts w:ascii="Times New Roman" w:eastAsia="Calibri" w:hAnsi="Times New Roman" w:cs="Times New Roman"/>
                <w:sz w:val="24"/>
                <w:szCs w:val="24"/>
              </w:rPr>
            </w:pPr>
            <w:r w:rsidRPr="00800D93">
              <w:rPr>
                <w:rFonts w:ascii="Times New Roman" w:eastAsia="Calibri" w:hAnsi="Times New Roman" w:cs="Times New Roman"/>
                <w:sz w:val="24"/>
                <w:szCs w:val="24"/>
              </w:rPr>
              <w:t>Змінами до</w:t>
            </w:r>
            <w:r>
              <w:rPr>
                <w:rFonts w:ascii="Times New Roman" w:eastAsia="Calibri" w:hAnsi="Times New Roman" w:cs="Times New Roman"/>
                <w:sz w:val="24"/>
                <w:szCs w:val="24"/>
              </w:rPr>
              <w:t xml:space="preserve"> Податкового кодексу України </w:t>
            </w:r>
            <w:r w:rsidRPr="00800D93">
              <w:rPr>
                <w:rFonts w:ascii="Times New Roman" w:eastAsia="Calibri" w:hAnsi="Times New Roman" w:cs="Times New Roman"/>
                <w:sz w:val="24"/>
                <w:szCs w:val="24"/>
              </w:rPr>
              <w:t>уточняється,</w:t>
            </w:r>
          </w:p>
          <w:p w:rsidR="00FB32D7" w:rsidRPr="00800D93" w:rsidRDefault="00FB32D7" w:rsidP="002D7727">
            <w:pPr>
              <w:spacing w:after="0" w:line="240" w:lineRule="auto"/>
              <w:rPr>
                <w:rFonts w:ascii="Times New Roman" w:eastAsia="Calibri" w:hAnsi="Times New Roman" w:cs="Times New Roman"/>
                <w:sz w:val="24"/>
                <w:szCs w:val="24"/>
              </w:rPr>
            </w:pPr>
            <w:r w:rsidRPr="00800D93">
              <w:rPr>
                <w:rFonts w:ascii="Times New Roman" w:eastAsia="Calibri" w:hAnsi="Times New Roman" w:cs="Times New Roman"/>
                <w:sz w:val="24"/>
                <w:szCs w:val="24"/>
              </w:rPr>
              <w:t>що в сфері впливу Договору</w:t>
            </w:r>
            <w:r>
              <w:rPr>
                <w:rFonts w:ascii="Times New Roman" w:eastAsia="Calibri" w:hAnsi="Times New Roman" w:cs="Times New Roman"/>
                <w:sz w:val="24"/>
                <w:szCs w:val="24"/>
              </w:rPr>
              <w:t xml:space="preserve"> </w:t>
            </w:r>
          </w:p>
          <w:p w:rsidR="00FB32D7" w:rsidRPr="00800D93" w:rsidRDefault="00FB32D7" w:rsidP="002D7727">
            <w:pPr>
              <w:spacing w:after="0" w:line="240" w:lineRule="auto"/>
              <w:rPr>
                <w:rFonts w:ascii="Times New Roman" w:eastAsia="Calibri" w:hAnsi="Times New Roman" w:cs="Times New Roman"/>
                <w:sz w:val="24"/>
                <w:szCs w:val="24"/>
              </w:rPr>
            </w:pPr>
            <w:r w:rsidRPr="00800D93">
              <w:rPr>
                <w:rFonts w:ascii="Times New Roman" w:eastAsia="Calibri" w:hAnsi="Times New Roman" w:cs="Times New Roman"/>
                <w:sz w:val="24"/>
                <w:szCs w:val="24"/>
              </w:rPr>
              <w:t>знаходиться тільки податок на</w:t>
            </w:r>
            <w:r>
              <w:rPr>
                <w:rFonts w:ascii="Times New Roman" w:eastAsia="Calibri" w:hAnsi="Times New Roman" w:cs="Times New Roman"/>
                <w:sz w:val="24"/>
                <w:szCs w:val="24"/>
              </w:rPr>
              <w:t xml:space="preserve"> </w:t>
            </w:r>
          </w:p>
          <w:p w:rsidR="00FB32D7" w:rsidRPr="00800D93" w:rsidRDefault="00FB32D7" w:rsidP="002D7727">
            <w:pPr>
              <w:spacing w:after="0" w:line="240" w:lineRule="auto"/>
              <w:rPr>
                <w:rFonts w:ascii="Times New Roman" w:eastAsia="Calibri" w:hAnsi="Times New Roman" w:cs="Times New Roman"/>
                <w:sz w:val="24"/>
                <w:szCs w:val="24"/>
              </w:rPr>
            </w:pPr>
            <w:r w:rsidRPr="00800D93">
              <w:rPr>
                <w:rFonts w:ascii="Times New Roman" w:eastAsia="Calibri" w:hAnsi="Times New Roman" w:cs="Times New Roman"/>
                <w:sz w:val="24"/>
                <w:szCs w:val="24"/>
              </w:rPr>
              <w:t>додану вартість, що нараховується</w:t>
            </w:r>
          </w:p>
          <w:p w:rsidR="00FB32D7" w:rsidRDefault="00FB32D7" w:rsidP="002D7727">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на </w:t>
            </w:r>
            <w:r w:rsidRPr="00800D93">
              <w:rPr>
                <w:rFonts w:ascii="Times New Roman" w:eastAsia="Calibri" w:hAnsi="Times New Roman" w:cs="Times New Roman"/>
                <w:sz w:val="24"/>
                <w:szCs w:val="24"/>
              </w:rPr>
              <w:t>операції з постачання товарів/послуг на митній території України.</w:t>
            </w:r>
            <w:r>
              <w:rPr>
                <w:rFonts w:ascii="Times New Roman" w:eastAsia="Calibri" w:hAnsi="Times New Roman" w:cs="Times New Roman"/>
                <w:sz w:val="24"/>
                <w:szCs w:val="24"/>
              </w:rPr>
              <w:t xml:space="preserve"> З</w:t>
            </w:r>
            <w:r w:rsidRPr="00A801A1">
              <w:rPr>
                <w:rFonts w:ascii="Times New Roman" w:eastAsia="Calibri" w:hAnsi="Times New Roman" w:cs="Times New Roman"/>
                <w:sz w:val="24"/>
                <w:szCs w:val="24"/>
              </w:rPr>
              <w:t xml:space="preserve">аконопроектом пропонується для </w:t>
            </w:r>
            <w:r>
              <w:rPr>
                <w:rFonts w:ascii="Times New Roman" w:eastAsia="Calibri" w:hAnsi="Times New Roman" w:cs="Times New Roman"/>
                <w:sz w:val="24"/>
                <w:szCs w:val="24"/>
              </w:rPr>
              <w:t xml:space="preserve">визначених контрактом </w:t>
            </w:r>
            <w:r w:rsidRPr="00A801A1">
              <w:rPr>
                <w:rFonts w:ascii="Times New Roman" w:eastAsia="Calibri" w:hAnsi="Times New Roman" w:cs="Times New Roman"/>
                <w:sz w:val="24"/>
                <w:szCs w:val="24"/>
              </w:rPr>
              <w:t>операцій передбачити механізм застосування виконавцями контракту нульової ставки ПДВ</w:t>
            </w:r>
            <w:r>
              <w:rPr>
                <w:rFonts w:ascii="Times New Roman" w:eastAsia="Calibri" w:hAnsi="Times New Roman" w:cs="Times New Roman"/>
                <w:sz w:val="24"/>
                <w:szCs w:val="24"/>
              </w:rPr>
              <w:t>.</w:t>
            </w:r>
          </w:p>
          <w:p w:rsidR="00FB32D7" w:rsidRDefault="00FB32D7" w:rsidP="002D7727">
            <w:pPr>
              <w:spacing w:after="0" w:line="240" w:lineRule="auto"/>
              <w:rPr>
                <w:rFonts w:ascii="Times New Roman" w:eastAsia="Calibri" w:hAnsi="Times New Roman" w:cs="Times New Roman"/>
                <w:sz w:val="24"/>
                <w:szCs w:val="24"/>
              </w:rPr>
            </w:pPr>
          </w:p>
          <w:p w:rsidR="00FB32D7" w:rsidRDefault="00FB32D7" w:rsidP="002D7727">
            <w:pPr>
              <w:spacing w:after="0" w:line="240" w:lineRule="auto"/>
              <w:rPr>
                <w:rFonts w:ascii="Times New Roman" w:eastAsia="Calibri" w:hAnsi="Times New Roman" w:cs="Times New Roman"/>
                <w:sz w:val="24"/>
                <w:szCs w:val="24"/>
              </w:rPr>
            </w:pPr>
          </w:p>
          <w:p w:rsidR="00FB32D7" w:rsidRPr="000E26EC" w:rsidRDefault="00FB32D7" w:rsidP="002D7727">
            <w:pPr>
              <w:spacing w:after="0" w:line="240" w:lineRule="auto"/>
              <w:rPr>
                <w:rFonts w:ascii="Times New Roman" w:eastAsia="Calibri" w:hAnsi="Times New Roman" w:cs="Times New Roman"/>
                <w:b/>
                <w:sz w:val="24"/>
                <w:szCs w:val="24"/>
              </w:rPr>
            </w:pPr>
          </w:p>
        </w:tc>
      </w:tr>
    </w:tbl>
    <w:p w:rsidR="002A2774" w:rsidRDefault="002A2774" w:rsidP="002A2774">
      <w:pPr>
        <w:spacing w:after="0" w:line="240" w:lineRule="auto"/>
      </w:pPr>
    </w:p>
    <w:p w:rsidR="002A2774" w:rsidRPr="009C6E3E" w:rsidRDefault="000A3E80" w:rsidP="002A2774">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Д</w:t>
      </w:r>
      <w:r w:rsidR="006C4349">
        <w:rPr>
          <w:rFonts w:ascii="Times New Roman" w:hAnsi="Times New Roman" w:cs="Times New Roman"/>
          <w:b/>
          <w:sz w:val="28"/>
          <w:szCs w:val="28"/>
        </w:rPr>
        <w:t xml:space="preserve">иректор Департаменту боргової політики                    </w:t>
      </w:r>
      <w:r>
        <w:rPr>
          <w:rFonts w:ascii="Times New Roman" w:hAnsi="Times New Roman" w:cs="Times New Roman"/>
          <w:b/>
          <w:sz w:val="28"/>
          <w:szCs w:val="28"/>
        </w:rPr>
        <w:t xml:space="preserve">   </w:t>
      </w:r>
      <w:r w:rsidR="006C4349">
        <w:rPr>
          <w:rFonts w:ascii="Times New Roman" w:hAnsi="Times New Roman" w:cs="Times New Roman"/>
          <w:b/>
          <w:sz w:val="28"/>
          <w:szCs w:val="28"/>
        </w:rPr>
        <w:t xml:space="preserve">                                                                             </w:t>
      </w:r>
      <w:r>
        <w:rPr>
          <w:rFonts w:ascii="Times New Roman" w:hAnsi="Times New Roman" w:cs="Times New Roman"/>
          <w:b/>
          <w:sz w:val="28"/>
          <w:szCs w:val="28"/>
        </w:rPr>
        <w:t>Поліна ЯРОВА</w:t>
      </w:r>
    </w:p>
    <w:p w:rsidR="002A2774" w:rsidRDefault="002A2774" w:rsidP="002A2774">
      <w:pPr>
        <w:spacing w:after="0" w:line="240" w:lineRule="auto"/>
      </w:pPr>
    </w:p>
    <w:p w:rsidR="002A2774" w:rsidRPr="007351FF" w:rsidRDefault="002A2774" w:rsidP="002A2774"/>
    <w:p w:rsidR="009C6E3E" w:rsidRPr="002A2774" w:rsidRDefault="009C6E3E" w:rsidP="002A2774"/>
    <w:sectPr w:rsidR="009C6E3E" w:rsidRPr="002A2774" w:rsidSect="00FB32D7">
      <w:headerReference w:type="default" r:id="rId6"/>
      <w:pgSz w:w="16838" w:h="11906" w:orient="landscape"/>
      <w:pgMar w:top="1134" w:right="850" w:bottom="1418" w:left="850" w:header="567"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47C7" w:rsidRDefault="00DA47C7" w:rsidP="00462988">
      <w:pPr>
        <w:spacing w:after="0" w:line="240" w:lineRule="auto"/>
      </w:pPr>
      <w:r>
        <w:separator/>
      </w:r>
    </w:p>
  </w:endnote>
  <w:endnote w:type="continuationSeparator" w:id="0">
    <w:p w:rsidR="00DA47C7" w:rsidRDefault="00DA47C7" w:rsidP="00462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47C7" w:rsidRDefault="00DA47C7" w:rsidP="00462988">
      <w:pPr>
        <w:spacing w:after="0" w:line="240" w:lineRule="auto"/>
      </w:pPr>
      <w:r>
        <w:separator/>
      </w:r>
    </w:p>
  </w:footnote>
  <w:footnote w:type="continuationSeparator" w:id="0">
    <w:p w:rsidR="00DA47C7" w:rsidRDefault="00DA47C7" w:rsidP="004629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2878091"/>
      <w:docPartObj>
        <w:docPartGallery w:val="Page Numbers (Top of Page)"/>
        <w:docPartUnique/>
      </w:docPartObj>
    </w:sdtPr>
    <w:sdtEndPr/>
    <w:sdtContent>
      <w:p w:rsidR="00462988" w:rsidRDefault="00462988">
        <w:pPr>
          <w:pStyle w:val="a4"/>
          <w:jc w:val="center"/>
        </w:pPr>
        <w:r>
          <w:fldChar w:fldCharType="begin"/>
        </w:r>
        <w:r>
          <w:instrText>PAGE   \* MERGEFORMAT</w:instrText>
        </w:r>
        <w:r>
          <w:fldChar w:fldCharType="separate"/>
        </w:r>
        <w:r w:rsidR="00391AEA">
          <w:rPr>
            <w:noProof/>
          </w:rPr>
          <w:t>2</w:t>
        </w:r>
        <w:r>
          <w:fldChar w:fldCharType="end"/>
        </w:r>
      </w:p>
    </w:sdtContent>
  </w:sdt>
  <w:p w:rsidR="00462988" w:rsidRDefault="00462988">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3C81"/>
    <w:rsid w:val="00083C81"/>
    <w:rsid w:val="000A3E80"/>
    <w:rsid w:val="000B748F"/>
    <w:rsid w:val="000C3B1D"/>
    <w:rsid w:val="000E26EC"/>
    <w:rsid w:val="001442A1"/>
    <w:rsid w:val="001B6F3C"/>
    <w:rsid w:val="001E6E55"/>
    <w:rsid w:val="00203A04"/>
    <w:rsid w:val="00222526"/>
    <w:rsid w:val="00244409"/>
    <w:rsid w:val="00273D66"/>
    <w:rsid w:val="002815FC"/>
    <w:rsid w:val="002A2774"/>
    <w:rsid w:val="002C098E"/>
    <w:rsid w:val="00303F9F"/>
    <w:rsid w:val="0033376E"/>
    <w:rsid w:val="0035007F"/>
    <w:rsid w:val="00365951"/>
    <w:rsid w:val="00381017"/>
    <w:rsid w:val="0038370A"/>
    <w:rsid w:val="00391AEA"/>
    <w:rsid w:val="003E56E5"/>
    <w:rsid w:val="004322B8"/>
    <w:rsid w:val="0044479A"/>
    <w:rsid w:val="00462988"/>
    <w:rsid w:val="004D19C1"/>
    <w:rsid w:val="004F2ED8"/>
    <w:rsid w:val="005320D7"/>
    <w:rsid w:val="005A2828"/>
    <w:rsid w:val="005B7CC7"/>
    <w:rsid w:val="006B1A80"/>
    <w:rsid w:val="006C1738"/>
    <w:rsid w:val="006C4349"/>
    <w:rsid w:val="006D77E1"/>
    <w:rsid w:val="007363AE"/>
    <w:rsid w:val="00742008"/>
    <w:rsid w:val="0077722A"/>
    <w:rsid w:val="007945E0"/>
    <w:rsid w:val="007B5932"/>
    <w:rsid w:val="007E063C"/>
    <w:rsid w:val="007E6991"/>
    <w:rsid w:val="00800D93"/>
    <w:rsid w:val="00845BD2"/>
    <w:rsid w:val="00882483"/>
    <w:rsid w:val="00915B52"/>
    <w:rsid w:val="00916605"/>
    <w:rsid w:val="0092203F"/>
    <w:rsid w:val="00997CC7"/>
    <w:rsid w:val="009C3AAB"/>
    <w:rsid w:val="009C6E3E"/>
    <w:rsid w:val="00A704A2"/>
    <w:rsid w:val="00A70912"/>
    <w:rsid w:val="00A801A1"/>
    <w:rsid w:val="00A80B2A"/>
    <w:rsid w:val="00A83FE0"/>
    <w:rsid w:val="00AE0DEE"/>
    <w:rsid w:val="00B4556A"/>
    <w:rsid w:val="00B62C76"/>
    <w:rsid w:val="00BA7BD1"/>
    <w:rsid w:val="00BD2BDE"/>
    <w:rsid w:val="00BD7319"/>
    <w:rsid w:val="00BF203D"/>
    <w:rsid w:val="00C125CB"/>
    <w:rsid w:val="00C408BA"/>
    <w:rsid w:val="00CB4A5A"/>
    <w:rsid w:val="00D1072C"/>
    <w:rsid w:val="00D613F4"/>
    <w:rsid w:val="00DA47C7"/>
    <w:rsid w:val="00DA6033"/>
    <w:rsid w:val="00DB0CB2"/>
    <w:rsid w:val="00DB18F5"/>
    <w:rsid w:val="00DD1936"/>
    <w:rsid w:val="00DD5D9B"/>
    <w:rsid w:val="00DE5877"/>
    <w:rsid w:val="00E42D5C"/>
    <w:rsid w:val="00E5592C"/>
    <w:rsid w:val="00EA7052"/>
    <w:rsid w:val="00ED0F76"/>
    <w:rsid w:val="00ED4E3A"/>
    <w:rsid w:val="00EF412D"/>
    <w:rsid w:val="00F52D83"/>
    <w:rsid w:val="00FB32D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4495F26-5A09-4CBB-B6A2-0F6BF7302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2774"/>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A7B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462988"/>
    <w:pPr>
      <w:tabs>
        <w:tab w:val="center" w:pos="4819"/>
        <w:tab w:val="right" w:pos="9639"/>
      </w:tabs>
      <w:spacing w:after="0" w:line="240" w:lineRule="auto"/>
    </w:pPr>
  </w:style>
  <w:style w:type="character" w:customStyle="1" w:styleId="a5">
    <w:name w:val="Верхний колонтитул Знак"/>
    <w:basedOn w:val="a0"/>
    <w:link w:val="a4"/>
    <w:uiPriority w:val="99"/>
    <w:rsid w:val="00462988"/>
  </w:style>
  <w:style w:type="paragraph" w:styleId="a6">
    <w:name w:val="footer"/>
    <w:basedOn w:val="a"/>
    <w:link w:val="a7"/>
    <w:uiPriority w:val="99"/>
    <w:unhideWhenUsed/>
    <w:rsid w:val="00462988"/>
    <w:pPr>
      <w:tabs>
        <w:tab w:val="center" w:pos="4819"/>
        <w:tab w:val="right" w:pos="9639"/>
      </w:tabs>
      <w:spacing w:after="0" w:line="240" w:lineRule="auto"/>
    </w:pPr>
  </w:style>
  <w:style w:type="character" w:customStyle="1" w:styleId="a7">
    <w:name w:val="Нижний колонтитул Знак"/>
    <w:basedOn w:val="a0"/>
    <w:link w:val="a6"/>
    <w:uiPriority w:val="99"/>
    <w:rsid w:val="00462988"/>
  </w:style>
  <w:style w:type="paragraph" w:styleId="a8">
    <w:name w:val="Balloon Text"/>
    <w:basedOn w:val="a"/>
    <w:link w:val="a9"/>
    <w:uiPriority w:val="99"/>
    <w:semiHidden/>
    <w:unhideWhenUsed/>
    <w:rsid w:val="00244409"/>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24440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4579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1285</Words>
  <Characters>7326</Characters>
  <Application>Microsoft Office Word</Application>
  <DocSecurity>0</DocSecurity>
  <Lines>61</Lines>
  <Paragraphs>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ТИМОШЕНКО СЕРГІЙ ПЕТРОВИЧ</dc:creator>
  <cp:lastModifiedBy>ГУТНИК Валентина Василівна</cp:lastModifiedBy>
  <cp:revision>2</cp:revision>
  <cp:lastPrinted>2020-08-28T07:21:00Z</cp:lastPrinted>
  <dcterms:created xsi:type="dcterms:W3CDTF">2020-08-28T09:43:00Z</dcterms:created>
  <dcterms:modified xsi:type="dcterms:W3CDTF">2020-08-28T09:43:00Z</dcterms:modified>
</cp:coreProperties>
</file>