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B9A" w:rsidRDefault="00E17B9A" w:rsidP="00E17B9A">
      <w:pPr>
        <w:pStyle w:val="a3"/>
        <w:spacing w:before="0" w:beforeAutospacing="0" w:after="0" w:afterAutospacing="0"/>
        <w:jc w:val="center"/>
      </w:pPr>
      <w:bookmarkStart w:id="0" w:name="_GoBack"/>
      <w:bookmarkEnd w:id="0"/>
      <w:r>
        <w:rPr>
          <w:b/>
          <w:bCs/>
          <w:sz w:val="28"/>
          <w:szCs w:val="28"/>
        </w:rPr>
        <w:t>ПОРІВНЯЛЬНА ТАБЛИЦЯ</w:t>
      </w:r>
    </w:p>
    <w:p w:rsidR="00E17B9A" w:rsidRDefault="00E17B9A" w:rsidP="00465B2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до </w:t>
      </w:r>
      <w:proofErr w:type="spellStart"/>
      <w:r>
        <w:rPr>
          <w:b/>
          <w:bCs/>
          <w:sz w:val="28"/>
          <w:szCs w:val="28"/>
        </w:rPr>
        <w:t>проєкту</w:t>
      </w:r>
      <w:proofErr w:type="spellEnd"/>
      <w:r>
        <w:rPr>
          <w:b/>
          <w:bCs/>
          <w:sz w:val="28"/>
          <w:szCs w:val="28"/>
        </w:rPr>
        <w:t xml:space="preserve"> Закону України </w:t>
      </w:r>
    </w:p>
    <w:p w:rsidR="00465B24" w:rsidRPr="00465B24" w:rsidRDefault="00E17B9A" w:rsidP="00465B24">
      <w:pPr>
        <w:jc w:val="center"/>
        <w:rPr>
          <w:rStyle w:val="a5"/>
          <w:b/>
          <w:color w:val="auto"/>
          <w:sz w:val="28"/>
          <w:szCs w:val="28"/>
        </w:rPr>
      </w:pPr>
      <w:r>
        <w:rPr>
          <w:b/>
          <w:sz w:val="28"/>
          <w:szCs w:val="28"/>
        </w:rPr>
        <w:t>«</w:t>
      </w:r>
      <w:r w:rsidR="00465B24">
        <w:rPr>
          <w:b/>
          <w:bCs/>
          <w:sz w:val="28"/>
          <w:szCs w:val="28"/>
        </w:rPr>
        <w:t xml:space="preserve">Про внесення змін до </w:t>
      </w:r>
      <w:r w:rsidR="00465B24" w:rsidRPr="00465B24">
        <w:rPr>
          <w:b/>
          <w:sz w:val="28"/>
          <w:szCs w:val="28"/>
        </w:rPr>
        <w:t xml:space="preserve">Кодексу України про </w:t>
      </w:r>
      <w:r w:rsidR="00465B24" w:rsidRPr="00465B24">
        <w:rPr>
          <w:b/>
          <w:sz w:val="28"/>
          <w:szCs w:val="28"/>
        </w:rPr>
        <w:br/>
        <w:t xml:space="preserve">адміністративні правопорушення та </w:t>
      </w:r>
      <w:r w:rsidR="00465B24" w:rsidRPr="00465B24">
        <w:rPr>
          <w:rStyle w:val="a5"/>
          <w:b/>
          <w:i w:val="0"/>
          <w:color w:val="auto"/>
          <w:sz w:val="28"/>
          <w:szCs w:val="28"/>
        </w:rPr>
        <w:t>Закону України "Про дорожній рух"</w:t>
      </w:r>
      <w:r w:rsidR="00465B24" w:rsidRPr="00465B24">
        <w:rPr>
          <w:rStyle w:val="a5"/>
          <w:b/>
          <w:color w:val="auto"/>
          <w:sz w:val="28"/>
          <w:szCs w:val="28"/>
        </w:rPr>
        <w:t xml:space="preserve"> </w:t>
      </w:r>
    </w:p>
    <w:p w:rsidR="00E17B9A" w:rsidRPr="00465B24" w:rsidRDefault="00465B24" w:rsidP="00465B24">
      <w:pPr>
        <w:jc w:val="center"/>
        <w:rPr>
          <w:b/>
          <w:bCs/>
        </w:rPr>
      </w:pPr>
      <w:r w:rsidRPr="00465B24">
        <w:rPr>
          <w:b/>
          <w:bCs/>
          <w:sz w:val="28"/>
          <w:szCs w:val="28"/>
        </w:rPr>
        <w:t>щодо запобігання шахрайству з показниками одометрів транспортних засобів</w:t>
      </w:r>
      <w:r w:rsidR="00E17B9A" w:rsidRPr="00465B24">
        <w:rPr>
          <w:b/>
          <w:sz w:val="28"/>
          <w:szCs w:val="28"/>
        </w:rPr>
        <w:t>»</w:t>
      </w:r>
    </w:p>
    <w:p w:rsidR="00E17B9A" w:rsidRDefault="00E17B9A" w:rsidP="00E17B9A">
      <w:pPr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05"/>
        <w:gridCol w:w="7246"/>
      </w:tblGrid>
      <w:tr w:rsidR="00E17B9A" w:rsidTr="00E17B9A">
        <w:trPr>
          <w:trHeight w:val="366"/>
        </w:trPr>
        <w:tc>
          <w:tcPr>
            <w:tcW w:w="73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hideMark/>
          </w:tcPr>
          <w:p w:rsidR="00E17B9A" w:rsidRDefault="00E17B9A">
            <w:pPr>
              <w:ind w:firstLine="459"/>
              <w:jc w:val="center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28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17B9A" w:rsidRDefault="00E17B9A">
            <w:pPr>
              <w:ind w:firstLine="459"/>
              <w:jc w:val="center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Редакція, що пропонується</w:t>
            </w:r>
          </w:p>
        </w:tc>
      </w:tr>
      <w:tr w:rsidR="00E17B9A" w:rsidTr="00E17B9A">
        <w:trPr>
          <w:trHeight w:val="176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E17B9A" w:rsidRDefault="00E17B9A">
            <w:pPr>
              <w:ind w:firstLine="45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Кодекс України про адміністративні правопорушення</w:t>
            </w:r>
          </w:p>
        </w:tc>
      </w:tr>
      <w:tr w:rsidR="00E17B9A" w:rsidTr="00E17B9A">
        <w:trPr>
          <w:trHeight w:val="2132"/>
        </w:trPr>
        <w:tc>
          <w:tcPr>
            <w:tcW w:w="73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E17B9A" w:rsidRDefault="00E17B9A">
            <w:pPr>
              <w:shd w:val="clear" w:color="auto" w:fill="FFFFFF"/>
              <w:ind w:firstLine="6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E17B9A" w:rsidRDefault="00E17B9A">
            <w:pPr>
              <w:shd w:val="clear" w:color="auto" w:fill="FFFFFF"/>
              <w:ind w:firstLine="600"/>
              <w:jc w:val="both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Відсутня</w:t>
            </w:r>
            <w:r>
              <w:rPr>
                <w:sz w:val="24"/>
                <w:szCs w:val="24"/>
              </w:rPr>
              <w:t> </w:t>
            </w:r>
          </w:p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E17B9A" w:rsidRDefault="00E17B9A">
            <w:pPr>
              <w:shd w:val="clear" w:color="auto" w:fill="FFFFFF"/>
              <w:ind w:firstLine="60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  <w:shd w:val="clear" w:color="auto" w:fill="FFFFFF"/>
              </w:rPr>
              <w:t> </w:t>
            </w:r>
          </w:p>
          <w:p w:rsidR="00E17B9A" w:rsidRDefault="00E17B9A">
            <w:pPr>
              <w:shd w:val="clear" w:color="auto" w:fill="FFFFFF"/>
              <w:ind w:firstLine="6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2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17B9A" w:rsidRDefault="00E17B9A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</w:t>
            </w:r>
            <w:r>
              <w:rPr>
                <w:b/>
                <w:bCs/>
                <w:sz w:val="28"/>
                <w:szCs w:val="28"/>
              </w:rPr>
              <w:t xml:space="preserve"> 121</w:t>
            </w:r>
            <w:r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-3</w:t>
            </w:r>
            <w:r>
              <w:rPr>
                <w:b/>
                <w:bCs/>
                <w:sz w:val="28"/>
                <w:szCs w:val="28"/>
              </w:rPr>
              <w:t xml:space="preserve">. Експлуатація транспортного засобу з непрацюючим одометром або незаконне зменшення його показників.  </w:t>
            </w:r>
            <w:r>
              <w:rPr>
                <w:sz w:val="28"/>
                <w:szCs w:val="28"/>
              </w:rPr>
              <w:t> </w:t>
            </w:r>
          </w:p>
          <w:p w:rsidR="00E17B9A" w:rsidRDefault="00E17B9A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Експлуатація транспортного засобу з непрацюючим одометром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>, -</w:t>
            </w:r>
          </w:p>
          <w:p w:rsidR="00E17B9A" w:rsidRDefault="00E17B9A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тягне за собою накладення штрафу у розмірі 200 неоподатковуваних мінімумів доходів громадян.</w:t>
            </w:r>
          </w:p>
          <w:p w:rsidR="00E17B9A" w:rsidRDefault="00E17B9A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Експлуатація транспортного засобу з показниками одометра меншими ніж останні зафіксовані в Єдиному державному реєстрі транспортних засобів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>, -</w:t>
            </w:r>
            <w:r>
              <w:rPr>
                <w:b/>
                <w:bCs/>
                <w:sz w:val="28"/>
                <w:szCs w:val="28"/>
              </w:rPr>
              <w:t> </w:t>
            </w:r>
          </w:p>
          <w:p w:rsidR="00E17B9A" w:rsidRDefault="00E17B9A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тягне за собою накладення штрафу у розмірі 500 неоподатковуваних мінімумів доходів громадян.</w:t>
            </w:r>
          </w:p>
          <w:p w:rsidR="00E17B9A" w:rsidRDefault="00E17B9A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Експлуатація транспортного засобу, що підлягає першій державній реєстрації, з показниками одометра меншими ніж ті що зазначені у митній декларації 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>для вільного обігу транспортного засобу на митній території України, -</w:t>
            </w:r>
            <w:r>
              <w:rPr>
                <w:b/>
                <w:bCs/>
                <w:sz w:val="28"/>
                <w:szCs w:val="28"/>
              </w:rPr>
              <w:t> </w:t>
            </w:r>
          </w:p>
          <w:p w:rsidR="00E17B9A" w:rsidRDefault="00E17B9A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тягне за собою накладення штрафу у розмірі 1000 неоподатковуваних мінімумів доходів громадян.</w:t>
            </w:r>
          </w:p>
          <w:p w:rsidR="00E17B9A" w:rsidRDefault="00E17B9A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Незаконне зменшення показників одометра транспортного засобу, а також 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 xml:space="preserve">повторне протягом року вчинення порушення, передбаченого частиною другою 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lastRenderedPageBreak/>
              <w:t>або третьою цієї статті, за яке особу вже було піддано адміністративному стягненню, -</w:t>
            </w:r>
          </w:p>
          <w:p w:rsidR="00E17B9A" w:rsidRDefault="00E17B9A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тягне за собою накладення штрафу у розмірі 2000 неоподатковуваних мінімумів доходів громадян.</w:t>
            </w:r>
          </w:p>
          <w:p w:rsidR="00E17B9A" w:rsidRDefault="00E17B9A">
            <w:pPr>
              <w:shd w:val="clear" w:color="auto" w:fill="FFFFFF"/>
              <w:ind w:firstLine="567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b/>
                <w:bCs/>
                <w:sz w:val="28"/>
                <w:szCs w:val="28"/>
                <w:shd w:val="clear" w:color="auto" w:fill="FFFFFF"/>
              </w:rPr>
              <w:t xml:space="preserve">Примітка. Суб’єктом правопорушення, передбаченого  частинами першою та другою цієї статті, є </w:t>
            </w:r>
            <w:r>
              <w:rPr>
                <w:sz w:val="24"/>
                <w:szCs w:val="24"/>
              </w:rPr>
              <w:t> 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 xml:space="preserve">фізична особа або керівник юридичної особи, за якою зареєстровано транспортний засіб, а в разі якщо до Єдиного державного реєстру транспортних засобів </w:t>
            </w:r>
            <w:proofErr w:type="spellStart"/>
            <w:r>
              <w:rPr>
                <w:b/>
                <w:bCs/>
                <w:sz w:val="28"/>
                <w:szCs w:val="28"/>
                <w:shd w:val="clear" w:color="auto" w:fill="FFFFFF"/>
              </w:rPr>
              <w:t>внесено</w:t>
            </w:r>
            <w:proofErr w:type="spellEnd"/>
            <w:r>
              <w:rPr>
                <w:b/>
                <w:bCs/>
                <w:sz w:val="28"/>
                <w:szCs w:val="28"/>
                <w:shd w:val="clear" w:color="auto" w:fill="FFFFFF"/>
              </w:rPr>
              <w:t xml:space="preserve"> відомості про належного користувача відповідного транспортного засобу - належний користувач транспортного засобу; суб’єктом правопорушення, передбаченого у частині третій цієї статті, </w:t>
            </w:r>
            <w:r>
              <w:rPr>
                <w:b/>
                <w:bCs/>
                <w:sz w:val="28"/>
                <w:szCs w:val="28"/>
              </w:rPr>
              <w:t>є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 xml:space="preserve"> фізична особа або керівник юридичної особи, яка є власником транспортного засобу; у разі </w:t>
            </w:r>
            <w:r>
              <w:rPr>
                <w:b/>
                <w:bCs/>
                <w:sz w:val="28"/>
                <w:szCs w:val="28"/>
              </w:rPr>
              <w:t xml:space="preserve">незаконного зменшення показників одометра транспортного засобу 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 xml:space="preserve">передбаченого  частиною четвертою </w:t>
            </w:r>
            <w:r>
              <w:rPr>
                <w:b/>
                <w:bCs/>
                <w:sz w:val="28"/>
                <w:szCs w:val="28"/>
              </w:rPr>
              <w:t xml:space="preserve"> - особа, яка вчинила втручання в роботу одометра, що призвело до зменшення його показників. 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>Я</w:t>
            </w:r>
            <w:r>
              <w:rPr>
                <w:b/>
                <w:sz w:val="28"/>
                <w:szCs w:val="28"/>
                <w:shd w:val="clear" w:color="auto" w:fill="FFFFFF"/>
              </w:rPr>
              <w:t>кщо в Єдиному державному реєстрі юридичних осіб, фізичних осіб - підприємців та громадських формувань відсутні на момент запиту відомості про керівника юридичної особи, - відповідальна</w:t>
            </w:r>
            <w:r>
              <w:rPr>
                <w:shd w:val="clear" w:color="auto" w:fill="FFFFFF"/>
              </w:rPr>
              <w:t xml:space="preserve"> </w:t>
            </w:r>
            <w:r>
              <w:rPr>
                <w:b/>
                <w:sz w:val="28"/>
                <w:szCs w:val="28"/>
                <w:shd w:val="clear" w:color="auto" w:fill="FFFFFF"/>
              </w:rPr>
              <w:t>особа, яка виконує повноваження керівника такої юридичної особи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>.</w:t>
            </w:r>
          </w:p>
          <w:p w:rsidR="00E17B9A" w:rsidRDefault="00E17B9A">
            <w:pPr>
              <w:spacing w:after="240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Не вважається порушенням, зазначеним у цій статті, заміна одометра (окремо або у складі панелі приладів) на інший, а також переповнення лічильника пробігу, за умови повідомлення  територіального </w:t>
            </w:r>
            <w:r>
              <w:rPr>
                <w:b/>
                <w:bCs/>
                <w:sz w:val="28"/>
                <w:szCs w:val="28"/>
              </w:rPr>
              <w:lastRenderedPageBreak/>
              <w:t>органу Міністерства внутрішніх справ України у порядку визначеному Кабінетом Міністрів України.</w:t>
            </w:r>
          </w:p>
          <w:p w:rsidR="00E17B9A" w:rsidRDefault="00E17B9A">
            <w:pPr>
              <w:spacing w:after="24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E17B9A" w:rsidTr="00E17B9A">
        <w:trPr>
          <w:trHeight w:val="404"/>
        </w:trPr>
        <w:tc>
          <w:tcPr>
            <w:tcW w:w="73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B9A" w:rsidRDefault="00E17B9A">
            <w:pPr>
              <w:shd w:val="clear" w:color="auto" w:fill="FFFFFF"/>
              <w:ind w:left="450" w:right="45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Стаття 222. Органи Національної поліції</w:t>
            </w:r>
          </w:p>
          <w:p w:rsidR="00E17B9A" w:rsidRDefault="00E17B9A">
            <w:pPr>
              <w:shd w:val="clear" w:color="auto" w:fill="FFFFFF"/>
              <w:ind w:right="23" w:firstLine="45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забруднюючих речовин у відпрацьованих газах транспортних засобів), частина перша статті 44, стаття 89, частина друга статті 106-1, частини перша, друга, третя, четверта і шоста статті 109, стаття 110, частина третя статті 114, частина перша статті 115, стаття 116-2, частина друга статті 117, частини перша і друга статті 119, частини перша, друга, третя, п’ята, шоста, восьма, десята і одинадцята статті 121, статті 121-1, 121-2, частини перша, друга, третя, п’ята і шоста статті 122, частина перша статті 123, 124-1, 125, частини перша, друга і четверта статті 126, частини перша, друга і третя статті 127, статті 128-129, частина перша статті 132-1, частини перша, друга та п’ята статті 133, частини третя, шоста, восьма, дев’ята, десята і </w:t>
            </w:r>
            <w:r>
              <w:rPr>
                <w:sz w:val="28"/>
                <w:szCs w:val="28"/>
              </w:rPr>
              <w:lastRenderedPageBreak/>
              <w:t>одинадцята статті 133-1, частина друга статті 135, стаття 136 (за винятком порушень на автомобільному транспорті), стаття 137, частини перша, друга і третя статті 140, статті 148, 151, частини шоста, сьома і восьма статті 152-1, статті 161, 164-4, статтею 175-1 (за винятком порушень, вчинених у місцях, заборонених рішенням відповідної сільської, селищної, міської ради), статтями 176, 177, частини перша і друга статті 178, статті 180, 181-1, частина перша статті 182, статті 183, 192, 194, 195).</w:t>
            </w:r>
          </w:p>
          <w:p w:rsidR="00E17B9A" w:rsidRDefault="00E17B9A">
            <w:pPr>
              <w:shd w:val="clear" w:color="auto" w:fill="FFFFFF"/>
              <w:ind w:right="23" w:firstLine="45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поліції, які мають спеціальні звання, відповідно до покладених на них повноважень.</w:t>
            </w:r>
          </w:p>
          <w:p w:rsidR="00E17B9A" w:rsidRDefault="00E17B9A">
            <w:pPr>
              <w:shd w:val="clear" w:color="auto" w:fill="FFFFFF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Уповноваженими працівниками підрозділів Національної поліції штраф може стягуватися на місці вчинення адміністративного правопорушення незалежно від розміру виключно за допомогою безготівкових платіжних пристроїв.</w:t>
            </w:r>
          </w:p>
        </w:tc>
        <w:tc>
          <w:tcPr>
            <w:tcW w:w="7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17B9A" w:rsidRDefault="00E17B9A">
            <w:pPr>
              <w:shd w:val="clear" w:color="auto" w:fill="FFFFFF"/>
              <w:ind w:left="450" w:right="45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Стаття 222. Органи Національної поліції</w:t>
            </w:r>
          </w:p>
          <w:p w:rsidR="00E17B9A" w:rsidRDefault="00E17B9A">
            <w:pPr>
              <w:shd w:val="clear" w:color="auto" w:fill="FFFFFF"/>
              <w:ind w:right="23" w:firstLine="45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забруднюючих речовин у відпрацьованих газах транспортних засобів), частина перша статті 44, стаття 89, частина друга статті 106-1, частини перша, друга, третя, четверта і шоста статті 109, стаття 110, частина третя статті 114, частина перша статті 115, стаття 116-2, частина друга статті 117, частини перша і друга статті 119, частини перша, друга, третя, п’ята, шоста, восьма, десята і одинадцята статті 121, статті 121-1, 121-2, </w:t>
            </w:r>
            <w:r>
              <w:rPr>
                <w:b/>
                <w:bCs/>
                <w:sz w:val="28"/>
                <w:szCs w:val="28"/>
              </w:rPr>
              <w:t xml:space="preserve">121-3, </w:t>
            </w:r>
            <w:r>
              <w:rPr>
                <w:sz w:val="28"/>
                <w:szCs w:val="28"/>
              </w:rPr>
              <w:t xml:space="preserve">частини перша, друга, третя, п’ята і шоста статті 122, частина перша статті 123, 124-1, 125, частини перша, друга і четверта статті 126, частини перша, друга і третя статті 127, статті 128-129, частина перша статті 132-1, частини перша, друга та п’ята статті 133, частини третя, шоста, </w:t>
            </w:r>
            <w:r>
              <w:rPr>
                <w:sz w:val="28"/>
                <w:szCs w:val="28"/>
              </w:rPr>
              <w:lastRenderedPageBreak/>
              <w:t>восьма, дев’ята, десята і одинадцята статті 133-1, частина друга статті 135, стаття 136 (за винятком порушень на автомобільному транспорті), стаття 137, частини перша, друга і третя статті 140, статті 148, 151, частини шоста, сьома і восьма статті 152-1, статті 161, 164-4, статтею 175-1 (за винятком порушень, вчинених у місцях, заборонених рішенням відповідної сільської, селищної, міської ради), статтями 176, 177, частини перша і друга статті 178, статті 180, 181-1, частина перша статті 182, статті 183, 192, 194, 195).</w:t>
            </w:r>
          </w:p>
          <w:p w:rsidR="00E17B9A" w:rsidRDefault="00E17B9A">
            <w:pPr>
              <w:shd w:val="clear" w:color="auto" w:fill="FFFFFF"/>
              <w:ind w:right="23" w:firstLine="45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поліції, які мають спеціальні звання, відповідно до покладених на них повноважень.</w:t>
            </w:r>
          </w:p>
          <w:p w:rsidR="00E17B9A" w:rsidRDefault="00E17B9A">
            <w:pPr>
              <w:shd w:val="clear" w:color="auto" w:fill="FFFFFF"/>
              <w:ind w:right="2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Уповноваженими працівниками підрозділів Національної поліції штраф може стягуватися на місці вчинення адміністративного правопорушення незалежно від розміру виключно за допомогою безготівкових платіжних пристроїв.</w:t>
            </w:r>
          </w:p>
        </w:tc>
      </w:tr>
      <w:tr w:rsidR="00E17B9A" w:rsidTr="00E17B9A">
        <w:trPr>
          <w:trHeight w:val="404"/>
        </w:trPr>
        <w:tc>
          <w:tcPr>
            <w:tcW w:w="73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B9A" w:rsidRDefault="00E17B9A">
            <w:pPr>
              <w:shd w:val="clear" w:color="auto" w:fill="FFFFFF"/>
              <w:ind w:right="23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:rsidR="00E17B9A" w:rsidRDefault="00E17B9A">
            <w:pPr>
              <w:shd w:val="clear" w:color="auto" w:fill="FFFFFF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:rsidR="00E17B9A" w:rsidRDefault="00E17B9A">
            <w:pPr>
              <w:shd w:val="clear" w:color="auto" w:fill="FFFFFF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1) уповноважені на те посадові особи:</w:t>
            </w:r>
          </w:p>
          <w:p w:rsidR="00E17B9A" w:rsidRDefault="00E17B9A">
            <w:pPr>
              <w:shd w:val="clear" w:color="auto" w:fill="FFFFFF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органів внутрішніх справ (Національної поліції) (частина перша статті 44, статті 44-1, 46-1, 46-2, 51, 51-2, 88-1, 89, 92, частина перша статті 106-1, стаття 106-2, частини </w:t>
            </w:r>
            <w:r>
              <w:rPr>
                <w:sz w:val="28"/>
                <w:szCs w:val="28"/>
              </w:rPr>
              <w:lastRenderedPageBreak/>
              <w:t>четверта, сьома - дев’ята статті 121, частина четверта і шоста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частина четверта статті 140, статті 148, 151, 152, частина восьма статті 152-1, статті 154, 155, 155-2-156, частини перша - четверта статті 156-1, статті 156-2, 159, 160, 162, 162-3, частина перша статті 163-17, статті 164 - 164-11, 164-15, 164-16, 165-1, 165-2, 166-14 - 166-18,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212-20);</w:t>
            </w:r>
            <w:r>
              <w:rPr>
                <w:sz w:val="24"/>
                <w:szCs w:val="24"/>
              </w:rPr>
              <w:t> </w:t>
            </w:r>
          </w:p>
        </w:tc>
        <w:tc>
          <w:tcPr>
            <w:tcW w:w="7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17B9A" w:rsidRDefault="00E17B9A">
            <w:pPr>
              <w:shd w:val="clear" w:color="auto" w:fill="FFFFFF"/>
              <w:ind w:right="23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:rsidR="00E17B9A" w:rsidRDefault="00E17B9A">
            <w:pPr>
              <w:shd w:val="clear" w:color="auto" w:fill="FFFFFF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:rsidR="00E17B9A" w:rsidRDefault="00E17B9A">
            <w:pPr>
              <w:shd w:val="clear" w:color="auto" w:fill="FFFFFF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1) уповноважені на те посадові особи:</w:t>
            </w:r>
          </w:p>
          <w:p w:rsidR="00E17B9A" w:rsidRDefault="00E17B9A">
            <w:pPr>
              <w:shd w:val="clear" w:color="auto" w:fill="FFFFFF"/>
              <w:ind w:right="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органів внутрішніх справ (Національної поліції) (частина перша статті 44, статті 44-1, 46-1, 46-2, 51, 51-2, 88-1, 89, 92, частина перша статті 106-1, стаття 106-2, частини </w:t>
            </w:r>
            <w:r>
              <w:rPr>
                <w:sz w:val="28"/>
                <w:szCs w:val="28"/>
              </w:rPr>
              <w:lastRenderedPageBreak/>
              <w:t xml:space="preserve">четверта, сьома - дев’ята статті 121, </w:t>
            </w:r>
            <w:r>
              <w:rPr>
                <w:b/>
                <w:bCs/>
                <w:sz w:val="28"/>
                <w:szCs w:val="28"/>
              </w:rPr>
              <w:t>статті 121-3,</w:t>
            </w:r>
            <w:r>
              <w:rPr>
                <w:sz w:val="28"/>
                <w:szCs w:val="28"/>
              </w:rPr>
              <w:t xml:space="preserve"> частина четверта і шоста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частина четверта статті 140, статті 148, 151, 152, частина восьма статті 152-1, статті 154, 155, 155-2-156, частини перша - четверта статті 156-1, статті 156-2, 159, 160, 162, 162-3, частина перша статті 163-17, статті 164 - 164-11, 164-15, 164-16, 165-1, 165-2, 166-14 - 166-18,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212-20);</w:t>
            </w:r>
          </w:p>
          <w:p w:rsidR="00E17B9A" w:rsidRDefault="00E17B9A">
            <w:pPr>
              <w:shd w:val="clear" w:color="auto" w:fill="FFFFFF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E17B9A" w:rsidTr="00E17B9A">
        <w:trPr>
          <w:trHeight w:val="404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E17B9A" w:rsidRDefault="00E17B9A">
            <w:pPr>
              <w:shd w:val="clear" w:color="auto" w:fill="FFFFFF"/>
              <w:ind w:right="23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Закон України “Про дорожній рух”</w:t>
            </w:r>
          </w:p>
        </w:tc>
      </w:tr>
      <w:tr w:rsidR="00E17B9A" w:rsidTr="00E17B9A">
        <w:trPr>
          <w:trHeight w:val="404"/>
        </w:trPr>
        <w:tc>
          <w:tcPr>
            <w:tcW w:w="73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Стаття 34. Реєстрація та облік транспортних засобів</w:t>
            </w:r>
          </w:p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Державна реєстрація транспортного засобу полягає у здійсненні комплексу заходів, пов'язаних із перевіркою </w:t>
            </w:r>
            <w:r>
              <w:rPr>
                <w:b/>
                <w:bCs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 xml:space="preserve">документів, які є підставою для здійснення реєстрації, а також відсутності будь-яких обтяжень, у тому числі за даними Державного реєстру обтяжень рухомого майна, </w:t>
            </w:r>
            <w:r>
              <w:rPr>
                <w:b/>
                <w:bCs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 xml:space="preserve">звіркою, і, за необхідності, дослідженням ідентифікаційних номерів складових частин та оглядом </w:t>
            </w:r>
            <w:r>
              <w:rPr>
                <w:sz w:val="28"/>
                <w:szCs w:val="28"/>
              </w:rPr>
              <w:lastRenderedPageBreak/>
              <w:t xml:space="preserve">транспортного засобу, оформленням і </w:t>
            </w:r>
            <w:proofErr w:type="spellStart"/>
            <w:r>
              <w:rPr>
                <w:sz w:val="28"/>
                <w:szCs w:val="28"/>
              </w:rPr>
              <w:t>видачею</w:t>
            </w:r>
            <w:proofErr w:type="spellEnd"/>
            <w:r>
              <w:rPr>
                <w:sz w:val="28"/>
                <w:szCs w:val="28"/>
              </w:rPr>
              <w:t xml:space="preserve"> реєстраційних документів та номерних знаків.</w:t>
            </w:r>
          </w:p>
        </w:tc>
        <w:tc>
          <w:tcPr>
            <w:tcW w:w="7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Стаття 34. Реєстрація та облік транспортних засобів</w:t>
            </w:r>
          </w:p>
          <w:p w:rsidR="00E17B9A" w:rsidRDefault="00E17B9A">
            <w:pPr>
              <w:shd w:val="clear" w:color="auto" w:fill="FFFFFF"/>
              <w:ind w:firstLine="4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Державна реєстрація транспортного засобу полягає у здійсненні комплексу заходів, пов'язаних із перевіркою </w:t>
            </w:r>
            <w:r>
              <w:rPr>
                <w:b/>
                <w:bCs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 xml:space="preserve">документів, які є підставою для здійснення реєстрації, а також відсутності будь-яких обтяжень, у тому числі за даними Державного реєстру обтяжень рухомого майна, </w:t>
            </w:r>
            <w:r>
              <w:rPr>
                <w:b/>
                <w:bCs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 xml:space="preserve">звіркою, </w:t>
            </w:r>
            <w:r>
              <w:rPr>
                <w:b/>
                <w:bCs/>
                <w:sz w:val="28"/>
                <w:szCs w:val="28"/>
              </w:rPr>
              <w:t xml:space="preserve">фіксацією </w:t>
            </w:r>
            <w:r>
              <w:rPr>
                <w:sz w:val="28"/>
                <w:szCs w:val="28"/>
              </w:rPr>
              <w:t xml:space="preserve">і, за необхідності, дослідженням </w:t>
            </w:r>
            <w:r>
              <w:rPr>
                <w:b/>
                <w:bCs/>
                <w:sz w:val="28"/>
                <w:szCs w:val="28"/>
              </w:rPr>
              <w:t xml:space="preserve">показників одометра, </w:t>
            </w:r>
            <w:r>
              <w:rPr>
                <w:sz w:val="28"/>
                <w:szCs w:val="28"/>
              </w:rPr>
              <w:t xml:space="preserve">ідентифікаційних </w:t>
            </w:r>
            <w:r>
              <w:rPr>
                <w:sz w:val="28"/>
                <w:szCs w:val="28"/>
              </w:rPr>
              <w:lastRenderedPageBreak/>
              <w:t xml:space="preserve">номерів складових частин та оглядом транспортного засобу, оформленням і </w:t>
            </w:r>
            <w:proofErr w:type="spellStart"/>
            <w:r>
              <w:rPr>
                <w:sz w:val="28"/>
                <w:szCs w:val="28"/>
              </w:rPr>
              <w:t>видачею</w:t>
            </w:r>
            <w:proofErr w:type="spellEnd"/>
            <w:r>
              <w:rPr>
                <w:sz w:val="28"/>
                <w:szCs w:val="28"/>
              </w:rPr>
              <w:t xml:space="preserve"> реєстраційних документів та номерних знаків.</w:t>
            </w:r>
          </w:p>
        </w:tc>
      </w:tr>
      <w:tr w:rsidR="00E17B9A" w:rsidTr="00E17B9A">
        <w:trPr>
          <w:trHeight w:val="404"/>
        </w:trPr>
        <w:tc>
          <w:tcPr>
            <w:tcW w:w="73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Стаття 35. Обов'язковий технічний контроль транспортних засобів</w:t>
            </w:r>
          </w:p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Транспортні засоби, що беруть участь у дорожньому русі та зареєстровані територіальними органами Міністерства внутрішніх справ України, підлягають обов'язковому технічному контролю відповідно до цієї статті.</w:t>
            </w:r>
          </w:p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...</w:t>
            </w:r>
          </w:p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Обов'язковий технічний контроль транспортного засобу передбачає перевірку технічного стану транспортного засобу, а саме: системи гальмового і рульового керування, зовнішніх світлових приладів, пневматичних шин та коліс, 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світлопропускання</w:t>
            </w:r>
            <w:proofErr w:type="spellEnd"/>
            <w:r>
              <w:rPr>
                <w:sz w:val="28"/>
                <w:szCs w:val="28"/>
                <w:shd w:val="clear" w:color="auto" w:fill="FFFFFF"/>
              </w:rPr>
              <w:t xml:space="preserve"> скла, газобалонного обладнання (за наявності), інших елементів у частині, що безпосередньо стосується безпеки дорожнього руху та охорони навколишнього природного середовища.</w:t>
            </w:r>
          </w:p>
          <w:p w:rsidR="00E17B9A" w:rsidRDefault="006C1FE5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hyperlink r:id="rId7" w:anchor="n8" w:history="1">
              <w:r w:rsidR="00E17B9A">
                <w:rPr>
                  <w:rStyle w:val="a4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Порядок</w:t>
              </w:r>
            </w:hyperlink>
            <w:r w:rsidR="00E17B9A">
              <w:rPr>
                <w:sz w:val="28"/>
                <w:szCs w:val="28"/>
                <w:shd w:val="clear" w:color="auto" w:fill="FFFFFF"/>
              </w:rPr>
              <w:t xml:space="preserve"> проведення обов'язкового технічного контролю та обсяги перевірки технічного стану транспортних засобів визначає Кабінет Міністрів України.</w:t>
            </w:r>
          </w:p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Стаття 35. Обов'язковий технічний контроль транспортних засобів</w:t>
            </w:r>
          </w:p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Транспортні засоби, що беруть участь у дорожньому русі та зареєстровані територіальними органами Міністерства внутрішніх справ України, підлягають обов'язковому технічному контролю відповідно до цієї статті.</w:t>
            </w:r>
          </w:p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... </w:t>
            </w:r>
          </w:p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Обов'язковий технічний контроль транспортного засобу передбачає </w:t>
            </w:r>
            <w:r>
              <w:rPr>
                <w:b/>
                <w:bCs/>
                <w:sz w:val="28"/>
                <w:szCs w:val="28"/>
              </w:rPr>
              <w:t>звірку та фіксацію показників одометра в Єдиному державному реєстрі транспортних засобів,</w:t>
            </w:r>
            <w:r>
              <w:rPr>
                <w:sz w:val="28"/>
                <w:szCs w:val="28"/>
              </w:rPr>
              <w:t xml:space="preserve"> перевірку технічного стану транспортного засобу, а саме: системи гальмового і рульового керування, зовнішніх світлових приладів, пневматичних шин та коліс, </w:t>
            </w:r>
            <w:proofErr w:type="spellStart"/>
            <w:r>
              <w:rPr>
                <w:sz w:val="28"/>
                <w:szCs w:val="28"/>
              </w:rPr>
              <w:t>світлопропускання</w:t>
            </w:r>
            <w:proofErr w:type="spellEnd"/>
            <w:r>
              <w:rPr>
                <w:sz w:val="28"/>
                <w:szCs w:val="28"/>
              </w:rPr>
              <w:t xml:space="preserve"> скла, газобалонного обладнання (за наявності), інших елементів у частині, що безпосередньо стосується безпеки дорожнього руху та охорони навколишнього природного середовища.</w:t>
            </w:r>
          </w:p>
          <w:p w:rsidR="00E17B9A" w:rsidRDefault="00E17B9A">
            <w:pPr>
              <w:shd w:val="clear" w:color="auto" w:fill="FFFFFF"/>
              <w:ind w:firstLine="460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  <w:shd w:val="clear" w:color="auto" w:fill="FFFFFF"/>
              </w:rPr>
              <w:t>Порядок проведення обов'язкового технічного контролю та обсяги перевірки технічного стану транспортних засобів визначає Кабінет Міністрів України.</w:t>
            </w:r>
          </w:p>
        </w:tc>
      </w:tr>
    </w:tbl>
    <w:p w:rsidR="00E17B9A" w:rsidRDefault="00E17B9A" w:rsidP="00E17B9A">
      <w:pPr>
        <w:spacing w:after="200" w:line="276" w:lineRule="auto"/>
        <w:rPr>
          <w:sz w:val="28"/>
          <w:szCs w:val="28"/>
        </w:rPr>
      </w:pPr>
    </w:p>
    <w:p w:rsidR="009E36B5" w:rsidRPr="00E17B9A" w:rsidRDefault="00E17B9A" w:rsidP="00E17B9A">
      <w:pPr>
        <w:ind w:firstLine="72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Народний депутат України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ru-RU"/>
        </w:rPr>
        <w:t xml:space="preserve">  </w:t>
      </w:r>
      <w:r>
        <w:rPr>
          <w:b/>
          <w:bCs/>
          <w:sz w:val="28"/>
          <w:szCs w:val="28"/>
        </w:rPr>
        <w:t>Горват Р.І.</w:t>
      </w:r>
    </w:p>
    <w:sectPr w:rsidR="009E36B5" w:rsidRPr="00E17B9A" w:rsidSect="00E17B9A">
      <w:pgSz w:w="16838" w:h="11906" w:orient="landscape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98E"/>
    <w:rsid w:val="00465B24"/>
    <w:rsid w:val="006C1FE5"/>
    <w:rsid w:val="007E198E"/>
    <w:rsid w:val="009E36B5"/>
    <w:rsid w:val="00E1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3E6AFB-A7CA-4C80-B0E2-CB2FD2C0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B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7B9A"/>
    <w:pPr>
      <w:spacing w:before="100" w:beforeAutospacing="1" w:after="100" w:afterAutospacing="1"/>
    </w:pPr>
    <w:rPr>
      <w:sz w:val="24"/>
      <w:szCs w:val="24"/>
    </w:rPr>
  </w:style>
  <w:style w:type="character" w:customStyle="1" w:styleId="rvts37">
    <w:name w:val="rvts37"/>
    <w:rsid w:val="00E17B9A"/>
  </w:style>
  <w:style w:type="character" w:styleId="a4">
    <w:name w:val="Hyperlink"/>
    <w:basedOn w:val="a0"/>
    <w:uiPriority w:val="99"/>
    <w:semiHidden/>
    <w:unhideWhenUsed/>
    <w:rsid w:val="00E17B9A"/>
    <w:rPr>
      <w:color w:val="0000FF"/>
      <w:u w:val="single"/>
    </w:rPr>
  </w:style>
  <w:style w:type="character" w:styleId="a5">
    <w:name w:val="Intense Emphasis"/>
    <w:basedOn w:val="a0"/>
    <w:uiPriority w:val="21"/>
    <w:qFormat/>
    <w:rsid w:val="00465B24"/>
    <w:rPr>
      <w:rFonts w:ascii="Times New Roman" w:hAnsi="Times New Roman" w:cs="Times New Roman" w:hint="default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rada/show/581-2015-%D0%B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235017-3E55-46F2-821A-8133DAB4EC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B87965-A48D-4520-823D-4D47BAEB8D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A7D81B-5F89-472E-8BC9-FB5022888D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8670</Words>
  <Characters>4943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2020-09-07T08:32:00Z</dcterms:created>
  <dcterms:modified xsi:type="dcterms:W3CDTF">2020-09-07T08:32:00Z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