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92D" w:rsidRPr="00B23F4C" w:rsidRDefault="00D7692D" w:rsidP="00D7692D">
      <w:pPr>
        <w:widowControl w:val="0"/>
        <w:suppressAutoHyphens/>
        <w:spacing w:after="0" w:line="240" w:lineRule="auto"/>
        <w:jc w:val="center"/>
        <w:rPr>
          <w:rFonts w:ascii="Times New Roman" w:eastAsia="Times New Roman" w:hAnsi="Times New Roman" w:cs="Times New Roman"/>
          <w:b/>
          <w:bCs/>
          <w:kern w:val="1"/>
          <w:sz w:val="28"/>
          <w:szCs w:val="28"/>
        </w:rPr>
      </w:pPr>
      <w:bookmarkStart w:id="0" w:name="_GoBack"/>
      <w:bookmarkEnd w:id="0"/>
      <w:r w:rsidRPr="00B23F4C">
        <w:rPr>
          <w:rFonts w:ascii="Times New Roman" w:hAnsi="Times New Roman" w:cs="Times New Roman"/>
          <w:b/>
          <w:bCs/>
          <w:kern w:val="1"/>
          <w:sz w:val="28"/>
          <w:szCs w:val="28"/>
        </w:rPr>
        <w:t>ПОЯСНЮВАЛЬНА ЗАПИСКА</w:t>
      </w:r>
    </w:p>
    <w:p w:rsidR="00D7692D" w:rsidRPr="00B23F4C" w:rsidRDefault="00D7692D" w:rsidP="00D7692D">
      <w:pPr>
        <w:widowControl w:val="0"/>
        <w:suppressAutoHyphens/>
        <w:spacing w:after="0" w:line="240" w:lineRule="auto"/>
        <w:jc w:val="center"/>
        <w:rPr>
          <w:rFonts w:ascii="Times New Roman" w:eastAsia="Times New Roman" w:hAnsi="Times New Roman" w:cs="Times New Roman"/>
          <w:b/>
          <w:bCs/>
          <w:sz w:val="28"/>
          <w:szCs w:val="28"/>
        </w:rPr>
      </w:pPr>
      <w:r w:rsidRPr="00B23F4C">
        <w:rPr>
          <w:rFonts w:ascii="Times New Roman" w:hAnsi="Times New Roman" w:cs="Times New Roman"/>
          <w:b/>
          <w:bCs/>
          <w:sz w:val="28"/>
          <w:szCs w:val="28"/>
        </w:rPr>
        <w:t xml:space="preserve">до проєкту Закону України «Про внесення змін до </w:t>
      </w:r>
      <w:r w:rsidR="004F615E" w:rsidRPr="004F615E">
        <w:rPr>
          <w:rFonts w:ascii="Times New Roman" w:hAnsi="Times New Roman" w:cs="Times New Roman"/>
          <w:b/>
          <w:sz w:val="28"/>
          <w:szCs w:val="28"/>
        </w:rPr>
        <w:t>Кодексу України про адміністративні правопорушення, Кримінального кодексу України</w:t>
      </w:r>
      <w:r w:rsidR="004F615E" w:rsidRPr="004F615E">
        <w:rPr>
          <w:rFonts w:ascii="Times New Roman" w:hAnsi="Times New Roman" w:cs="Times New Roman"/>
          <w:b/>
          <w:bCs/>
          <w:sz w:val="28"/>
          <w:szCs w:val="28"/>
        </w:rPr>
        <w:t xml:space="preserve"> та </w:t>
      </w:r>
      <w:r w:rsidR="004F615E" w:rsidRPr="004F615E">
        <w:rPr>
          <w:rFonts w:ascii="Times New Roman" w:hAnsi="Times New Roman" w:cs="Times New Roman"/>
          <w:b/>
          <w:sz w:val="28"/>
          <w:szCs w:val="28"/>
        </w:rPr>
        <w:t>Кримінального процесуального кодексу України щ</w:t>
      </w:r>
      <w:r w:rsidRPr="00B23F4C">
        <w:rPr>
          <w:rFonts w:ascii="Times New Roman" w:hAnsi="Times New Roman" w:cs="Times New Roman"/>
          <w:b/>
          <w:bCs/>
          <w:sz w:val="28"/>
          <w:szCs w:val="28"/>
        </w:rPr>
        <w:t>одо виконання рішень Європейського суду з прав людини»</w:t>
      </w:r>
    </w:p>
    <w:p w:rsidR="00D7692D" w:rsidRPr="00B23F4C" w:rsidRDefault="00D7692D" w:rsidP="00D7692D">
      <w:pPr>
        <w:widowControl w:val="0"/>
        <w:suppressAutoHyphens/>
        <w:spacing w:after="0" w:line="240" w:lineRule="auto"/>
        <w:jc w:val="both"/>
        <w:rPr>
          <w:rFonts w:ascii="Times New Roman" w:eastAsia="Times New Roman" w:hAnsi="Times New Roman" w:cs="Times New Roman"/>
          <w:kern w:val="1"/>
          <w:sz w:val="28"/>
          <w:szCs w:val="28"/>
        </w:rPr>
      </w:pP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b/>
          <w:bCs/>
          <w:sz w:val="28"/>
          <w:szCs w:val="28"/>
        </w:rPr>
        <w:t>1. Резюме</w:t>
      </w:r>
      <w:r w:rsidRPr="00B23F4C">
        <w:rPr>
          <w:rFonts w:ascii="Times New Roman" w:hAnsi="Times New Roman" w:cs="Times New Roman"/>
          <w:sz w:val="28"/>
          <w:szCs w:val="28"/>
        </w:rPr>
        <w:t xml:space="preserve"> </w:t>
      </w:r>
    </w:p>
    <w:p w:rsidR="00D7692D" w:rsidRPr="003B52DB" w:rsidRDefault="00D7692D" w:rsidP="00D7692D">
      <w:pPr>
        <w:widowControl w:val="0"/>
        <w:suppressAutoHyphens/>
        <w:spacing w:after="0" w:line="240" w:lineRule="auto"/>
        <w:ind w:firstLine="567"/>
        <w:jc w:val="both"/>
        <w:rPr>
          <w:rFonts w:ascii="Times New Roman" w:hAnsi="Times New Roman" w:cs="Times New Roman"/>
          <w:sz w:val="28"/>
          <w:szCs w:val="28"/>
        </w:rPr>
      </w:pPr>
      <w:r w:rsidRPr="00B23F4C">
        <w:rPr>
          <w:rFonts w:ascii="Times New Roman" w:hAnsi="Times New Roman" w:cs="Times New Roman"/>
          <w:sz w:val="28"/>
          <w:szCs w:val="28"/>
        </w:rPr>
        <w:t xml:space="preserve">Врегулювання питань, які суперечать </w:t>
      </w:r>
      <w:r w:rsidRPr="00B23F4C">
        <w:rPr>
          <w:rFonts w:ascii="Times New Roman" w:hAnsi="Times New Roman" w:cs="Times New Roman"/>
          <w:kern w:val="1"/>
          <w:sz w:val="28"/>
          <w:szCs w:val="28"/>
        </w:rPr>
        <w:t>практиці Європейського суду з прав людини</w:t>
      </w:r>
      <w:r w:rsidRPr="00B23F4C">
        <w:rPr>
          <w:rFonts w:ascii="Times New Roman" w:hAnsi="Times New Roman" w:cs="Times New Roman"/>
          <w:sz w:val="28"/>
          <w:szCs w:val="28"/>
        </w:rPr>
        <w:t xml:space="preserve"> </w:t>
      </w:r>
      <w:r w:rsidRPr="00B23F4C">
        <w:rPr>
          <w:rFonts w:ascii="Times New Roman" w:hAnsi="Times New Roman" w:cs="Times New Roman"/>
          <w:sz w:val="28"/>
          <w:szCs w:val="28"/>
          <w:shd w:val="clear" w:color="auto" w:fill="FFFFFF"/>
        </w:rPr>
        <w:t xml:space="preserve">(далі – </w:t>
      </w:r>
      <w:r w:rsidRPr="00B23F4C">
        <w:rPr>
          <w:rFonts w:ascii="Times New Roman" w:hAnsi="Times New Roman" w:cs="Times New Roman"/>
          <w:sz w:val="28"/>
          <w:szCs w:val="28"/>
        </w:rPr>
        <w:t>Європейський суд) щодо застосування положень Кодексу України про адміністративні правопорушення (далі – КУпАП), Кримінального процесуального кодексу України (далі – КПК), Кримінального кодексу України (далі – КК).</w:t>
      </w:r>
    </w:p>
    <w:p w:rsidR="003B52DB" w:rsidRPr="007718C3" w:rsidRDefault="003B52DB" w:rsidP="003B52DB">
      <w:pPr>
        <w:widowControl w:val="0"/>
        <w:spacing w:after="0" w:line="240" w:lineRule="auto"/>
        <w:ind w:firstLine="567"/>
        <w:jc w:val="both"/>
        <w:rPr>
          <w:rFonts w:ascii="Times New Roman" w:eastAsia="Times New Roman" w:hAnsi="Times New Roman" w:cs="Times New Roman"/>
          <w:sz w:val="28"/>
          <w:szCs w:val="28"/>
        </w:rPr>
      </w:pPr>
      <w:r w:rsidRPr="00BE50CF">
        <w:rPr>
          <w:rFonts w:ascii="Times New Roman" w:eastAsia="Times New Roman" w:hAnsi="Times New Roman" w:cs="Times New Roman"/>
          <w:sz w:val="28"/>
          <w:szCs w:val="28"/>
        </w:rPr>
        <w:t xml:space="preserve">Проєкт </w:t>
      </w:r>
      <w:r w:rsidRPr="00BE50CF">
        <w:rPr>
          <w:rFonts w:ascii="Times New Roman" w:eastAsia="Times New Roman" w:hAnsi="Times New Roman" w:cs="Times New Roman"/>
          <w:bCs/>
          <w:sz w:val="28"/>
          <w:szCs w:val="28"/>
          <w:shd w:val="clear" w:color="auto" w:fill="FFFFFF"/>
        </w:rPr>
        <w:t>Закону України «</w:t>
      </w:r>
      <w:r w:rsidRPr="003B52DB">
        <w:rPr>
          <w:rFonts w:ascii="Times New Roman" w:hAnsi="Times New Roman" w:cs="Times New Roman"/>
          <w:bCs/>
          <w:sz w:val="28"/>
          <w:szCs w:val="28"/>
        </w:rPr>
        <w:t xml:space="preserve">Про внесення змін до </w:t>
      </w:r>
      <w:r w:rsidRPr="003B52DB">
        <w:rPr>
          <w:rFonts w:ascii="Times New Roman" w:hAnsi="Times New Roman" w:cs="Times New Roman"/>
          <w:sz w:val="28"/>
          <w:szCs w:val="28"/>
        </w:rPr>
        <w:t>Кодексу України про адміністративні правопорушення, Кримінального кодексу України</w:t>
      </w:r>
      <w:r w:rsidRPr="003B52DB">
        <w:rPr>
          <w:rFonts w:ascii="Times New Roman" w:hAnsi="Times New Roman" w:cs="Times New Roman"/>
          <w:bCs/>
          <w:sz w:val="28"/>
          <w:szCs w:val="28"/>
        </w:rPr>
        <w:t xml:space="preserve"> та </w:t>
      </w:r>
      <w:r w:rsidRPr="003B52DB">
        <w:rPr>
          <w:rFonts w:ascii="Times New Roman" w:hAnsi="Times New Roman" w:cs="Times New Roman"/>
          <w:sz w:val="28"/>
          <w:szCs w:val="28"/>
        </w:rPr>
        <w:t>Кримінального процесуального кодексу України щ</w:t>
      </w:r>
      <w:r w:rsidRPr="003B52DB">
        <w:rPr>
          <w:rFonts w:ascii="Times New Roman" w:hAnsi="Times New Roman" w:cs="Times New Roman"/>
          <w:bCs/>
          <w:sz w:val="28"/>
          <w:szCs w:val="28"/>
        </w:rPr>
        <w:t>одо виконання рішень Європейського суду з прав людини</w:t>
      </w:r>
      <w:r w:rsidRPr="00BE50CF">
        <w:rPr>
          <w:rFonts w:ascii="Times New Roman" w:eastAsia="Times New Roman" w:hAnsi="Times New Roman" w:cs="Times New Roman"/>
          <w:sz w:val="28"/>
          <w:szCs w:val="28"/>
        </w:rPr>
        <w:t xml:space="preserve">» (далі – проєкт Закону) розроблено </w:t>
      </w:r>
      <w:r>
        <w:rPr>
          <w:rFonts w:ascii="Times New Roman" w:eastAsia="Times New Roman" w:hAnsi="Times New Roman" w:cs="Times New Roman"/>
          <w:sz w:val="28"/>
          <w:szCs w:val="28"/>
        </w:rPr>
        <w:t xml:space="preserve">Міністерством юстиції України </w:t>
      </w:r>
      <w:bookmarkStart w:id="1" w:name="_Toc20719679"/>
      <w:r w:rsidRPr="007718C3">
        <w:rPr>
          <w:rFonts w:ascii="Times New Roman" w:eastAsia="Times New Roman" w:hAnsi="Times New Roman" w:cs="Times New Roman"/>
          <w:sz w:val="28"/>
          <w:szCs w:val="28"/>
        </w:rPr>
        <w:t>на виконання підпункту 19.</w:t>
      </w:r>
      <w:r>
        <w:rPr>
          <w:rFonts w:ascii="Times New Roman" w:eastAsia="Times New Roman" w:hAnsi="Times New Roman" w:cs="Times New Roman"/>
          <w:sz w:val="28"/>
          <w:szCs w:val="28"/>
        </w:rPr>
        <w:t>1</w:t>
      </w:r>
      <w:r w:rsidRPr="007718C3">
        <w:rPr>
          <w:rFonts w:ascii="Times New Roman" w:eastAsia="Times New Roman" w:hAnsi="Times New Roman" w:cs="Times New Roman"/>
          <w:sz w:val="28"/>
          <w:szCs w:val="28"/>
        </w:rPr>
        <w:t>. «</w:t>
      </w:r>
      <w:r w:rsidRPr="00E40F3C">
        <w:rPr>
          <w:rFonts w:ascii="Times New Roman" w:eastAsia="Times New Roman" w:hAnsi="Times New Roman" w:cs="Times New Roman"/>
          <w:sz w:val="28"/>
          <w:szCs w:val="28"/>
        </w:rPr>
        <w:t>Права людини та доступ до правосуддя</w:t>
      </w:r>
      <w:r w:rsidRPr="007718C3">
        <w:rPr>
          <w:rFonts w:ascii="Times New Roman" w:eastAsia="Times New Roman" w:hAnsi="Times New Roman" w:cs="Times New Roman"/>
          <w:sz w:val="28"/>
          <w:szCs w:val="28"/>
        </w:rPr>
        <w:t xml:space="preserve">» </w:t>
      </w:r>
      <w:bookmarkEnd w:id="1"/>
      <w:r w:rsidRPr="007718C3">
        <w:rPr>
          <w:rFonts w:ascii="Times New Roman" w:eastAsia="Times New Roman" w:hAnsi="Times New Roman" w:cs="Times New Roman"/>
          <w:sz w:val="28"/>
          <w:szCs w:val="28"/>
        </w:rPr>
        <w:t xml:space="preserve">пункту 19 Програми діяльності Кабінету Міністрів України, затвердженої постановою Кабінету Міністрів </w:t>
      </w:r>
      <w:r>
        <w:rPr>
          <w:rFonts w:ascii="Times New Roman" w:eastAsia="Times New Roman" w:hAnsi="Times New Roman" w:cs="Times New Roman"/>
          <w:sz w:val="28"/>
          <w:szCs w:val="28"/>
        </w:rPr>
        <w:t xml:space="preserve">України </w:t>
      </w:r>
      <w:r>
        <w:rPr>
          <w:rFonts w:ascii="Times New Roman" w:hAnsi="Times New Roman"/>
          <w:sz w:val="28"/>
          <w:szCs w:val="28"/>
        </w:rPr>
        <w:t>від 12.06.</w:t>
      </w:r>
      <w:r w:rsidRPr="007718C3">
        <w:rPr>
          <w:rFonts w:ascii="Times New Roman" w:eastAsia="Times New Roman" w:hAnsi="Times New Roman" w:cs="Times New Roman"/>
          <w:sz w:val="28"/>
          <w:szCs w:val="28"/>
        </w:rPr>
        <w:t>2020 № 471.</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kern w:val="1"/>
          <w:sz w:val="28"/>
          <w:szCs w:val="28"/>
        </w:rPr>
      </w:pP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b/>
          <w:bCs/>
          <w:kern w:val="1"/>
          <w:sz w:val="28"/>
          <w:szCs w:val="28"/>
        </w:rPr>
      </w:pPr>
      <w:r w:rsidRPr="00B23F4C">
        <w:rPr>
          <w:rFonts w:ascii="Times New Roman" w:hAnsi="Times New Roman" w:cs="Times New Roman"/>
          <w:b/>
          <w:bCs/>
          <w:sz w:val="28"/>
          <w:szCs w:val="28"/>
        </w:rPr>
        <w:t>2. </w:t>
      </w:r>
      <w:r w:rsidRPr="00B23F4C">
        <w:rPr>
          <w:rFonts w:ascii="Times New Roman" w:hAnsi="Times New Roman" w:cs="Times New Roman"/>
          <w:b/>
          <w:bCs/>
          <w:kern w:val="1"/>
          <w:sz w:val="28"/>
          <w:szCs w:val="28"/>
        </w:rPr>
        <w:t>Проблема, яка потребує розв’язання</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kern w:val="1"/>
          <w:sz w:val="28"/>
          <w:szCs w:val="28"/>
        </w:rPr>
        <w:t>Проєкт Закону України «</w:t>
      </w:r>
      <w:r w:rsidR="00E56187" w:rsidRPr="003B52DB">
        <w:rPr>
          <w:rFonts w:ascii="Times New Roman" w:hAnsi="Times New Roman" w:cs="Times New Roman"/>
          <w:bCs/>
          <w:sz w:val="28"/>
          <w:szCs w:val="28"/>
        </w:rPr>
        <w:t xml:space="preserve">Про внесення змін до </w:t>
      </w:r>
      <w:r w:rsidR="00E56187" w:rsidRPr="003B52DB">
        <w:rPr>
          <w:rFonts w:ascii="Times New Roman" w:hAnsi="Times New Roman" w:cs="Times New Roman"/>
          <w:sz w:val="28"/>
          <w:szCs w:val="28"/>
        </w:rPr>
        <w:t>Кодексу України про адміністративні правопорушення, Кримінального кодексу України</w:t>
      </w:r>
      <w:r w:rsidR="00E56187" w:rsidRPr="003B52DB">
        <w:rPr>
          <w:rFonts w:ascii="Times New Roman" w:hAnsi="Times New Roman" w:cs="Times New Roman"/>
          <w:bCs/>
          <w:sz w:val="28"/>
          <w:szCs w:val="28"/>
        </w:rPr>
        <w:t xml:space="preserve"> та </w:t>
      </w:r>
      <w:r w:rsidR="00E56187" w:rsidRPr="003B52DB">
        <w:rPr>
          <w:rFonts w:ascii="Times New Roman" w:hAnsi="Times New Roman" w:cs="Times New Roman"/>
          <w:sz w:val="28"/>
          <w:szCs w:val="28"/>
        </w:rPr>
        <w:t>Кримінального процесуального кодексу України щ</w:t>
      </w:r>
      <w:r w:rsidR="00E56187" w:rsidRPr="003B52DB">
        <w:rPr>
          <w:rFonts w:ascii="Times New Roman" w:hAnsi="Times New Roman" w:cs="Times New Roman"/>
          <w:bCs/>
          <w:sz w:val="28"/>
          <w:szCs w:val="28"/>
        </w:rPr>
        <w:t>одо виконання рішень Європейського суду з прав людини</w:t>
      </w:r>
      <w:r w:rsidRPr="00B23F4C">
        <w:rPr>
          <w:rFonts w:ascii="Times New Roman" w:hAnsi="Times New Roman" w:cs="Times New Roman"/>
          <w:kern w:val="1"/>
          <w:sz w:val="28"/>
          <w:szCs w:val="28"/>
        </w:rPr>
        <w:t xml:space="preserve">» (далі – проєкт Закону) </w:t>
      </w:r>
      <w:r w:rsidRPr="00B23F4C">
        <w:rPr>
          <w:rFonts w:ascii="Times New Roman" w:hAnsi="Times New Roman" w:cs="Times New Roman"/>
          <w:sz w:val="28"/>
          <w:szCs w:val="28"/>
        </w:rPr>
        <w:t xml:space="preserve">розроблено з метою приведення положень КУпАП, </w:t>
      </w:r>
      <w:r w:rsidR="004F615E" w:rsidRPr="00B23F4C">
        <w:rPr>
          <w:rFonts w:ascii="Times New Roman" w:hAnsi="Times New Roman" w:cs="Times New Roman"/>
          <w:sz w:val="28"/>
          <w:szCs w:val="28"/>
        </w:rPr>
        <w:t xml:space="preserve">КК </w:t>
      </w:r>
      <w:r w:rsidR="004F615E">
        <w:rPr>
          <w:rFonts w:ascii="Times New Roman" w:hAnsi="Times New Roman" w:cs="Times New Roman"/>
          <w:sz w:val="28"/>
          <w:szCs w:val="28"/>
        </w:rPr>
        <w:t xml:space="preserve">та </w:t>
      </w:r>
      <w:r w:rsidRPr="00B23F4C">
        <w:rPr>
          <w:rFonts w:ascii="Times New Roman" w:hAnsi="Times New Roman" w:cs="Times New Roman"/>
          <w:sz w:val="28"/>
          <w:szCs w:val="28"/>
        </w:rPr>
        <w:t>КПК</w:t>
      </w:r>
      <w:r w:rsidR="004F615E">
        <w:rPr>
          <w:rFonts w:ascii="Times New Roman" w:hAnsi="Times New Roman" w:cs="Times New Roman"/>
          <w:sz w:val="28"/>
          <w:szCs w:val="28"/>
        </w:rPr>
        <w:t xml:space="preserve"> </w:t>
      </w:r>
      <w:r w:rsidRPr="00B23F4C">
        <w:rPr>
          <w:rFonts w:ascii="Times New Roman" w:hAnsi="Times New Roman" w:cs="Times New Roman"/>
          <w:sz w:val="28"/>
          <w:szCs w:val="28"/>
        </w:rPr>
        <w:t>у відповідність до практики Європейського суду</w:t>
      </w:r>
      <w:r w:rsidR="0050488F">
        <w:rPr>
          <w:rFonts w:ascii="Times New Roman" w:hAnsi="Times New Roman" w:cs="Times New Roman"/>
          <w:sz w:val="28"/>
          <w:szCs w:val="28"/>
        </w:rPr>
        <w:t xml:space="preserve"> та на виконання вимог </w:t>
      </w:r>
      <w:r w:rsidR="0050488F" w:rsidRPr="008969EF">
        <w:rPr>
          <w:rFonts w:ascii="Times New Roman" w:hAnsi="Times New Roman"/>
          <w:sz w:val="28"/>
          <w:szCs w:val="28"/>
          <w:lang w:eastAsia="ru-RU"/>
        </w:rPr>
        <w:t>Закону України від 19</w:t>
      </w:r>
      <w:r w:rsidR="0050488F">
        <w:rPr>
          <w:rFonts w:ascii="Times New Roman" w:hAnsi="Times New Roman"/>
          <w:sz w:val="28"/>
          <w:szCs w:val="28"/>
          <w:lang w:eastAsia="ru-RU"/>
        </w:rPr>
        <w:t xml:space="preserve"> травня </w:t>
      </w:r>
      <w:r w:rsidR="0050488F" w:rsidRPr="008969EF">
        <w:rPr>
          <w:rFonts w:ascii="Times New Roman" w:hAnsi="Times New Roman"/>
          <w:sz w:val="28"/>
          <w:szCs w:val="28"/>
          <w:lang w:eastAsia="ru-RU"/>
        </w:rPr>
        <w:t xml:space="preserve">2020 </w:t>
      </w:r>
      <w:r w:rsidR="0050488F">
        <w:rPr>
          <w:rFonts w:ascii="Times New Roman" w:hAnsi="Times New Roman"/>
          <w:sz w:val="28"/>
          <w:szCs w:val="28"/>
          <w:lang w:eastAsia="ru-RU"/>
        </w:rPr>
        <w:t xml:space="preserve">року </w:t>
      </w:r>
      <w:r w:rsidR="0050488F" w:rsidRPr="008969EF">
        <w:rPr>
          <w:rFonts w:ascii="Times New Roman" w:hAnsi="Times New Roman"/>
          <w:sz w:val="28"/>
          <w:szCs w:val="28"/>
          <w:lang w:eastAsia="ru-RU"/>
        </w:rPr>
        <w:t>№ 619-ІХ «</w:t>
      </w:r>
      <w:r w:rsidR="0050488F" w:rsidRPr="008969EF">
        <w:rPr>
          <w:rFonts w:ascii="Times New Roman" w:hAnsi="Times New Roman"/>
          <w:bCs/>
          <w:sz w:val="28"/>
          <w:szCs w:val="28"/>
          <w:shd w:val="clear" w:color="auto" w:fill="FFFFFF"/>
        </w:rPr>
        <w:t>Про внесення змін до деяких законодавчих</w:t>
      </w:r>
      <w:r w:rsidR="0050488F" w:rsidRPr="0097365A">
        <w:rPr>
          <w:rFonts w:ascii="Times New Roman" w:hAnsi="Times New Roman"/>
          <w:bCs/>
          <w:sz w:val="28"/>
          <w:szCs w:val="28"/>
          <w:shd w:val="clear" w:color="auto" w:fill="FFFFFF"/>
        </w:rPr>
        <w:t xml:space="preserve"> актів України щодо удосконалення процедури внесення </w:t>
      </w:r>
      <w:r w:rsidR="0050488F" w:rsidRPr="00484D2C">
        <w:rPr>
          <w:rFonts w:ascii="Times New Roman" w:hAnsi="Times New Roman"/>
          <w:bCs/>
          <w:sz w:val="28"/>
          <w:szCs w:val="28"/>
          <w:shd w:val="clear" w:color="auto" w:fill="FFFFFF"/>
        </w:rPr>
        <w:t>змін»</w:t>
      </w:r>
      <w:r w:rsidRPr="00B23F4C">
        <w:rPr>
          <w:rFonts w:ascii="Times New Roman" w:hAnsi="Times New Roman" w:cs="Times New Roman"/>
          <w:sz w:val="28"/>
          <w:szCs w:val="28"/>
        </w:rPr>
        <w:t xml:space="preserve">. </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Положеннями проєкту Закону передбачається врегулювання питань щодо:</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sz w:val="28"/>
          <w:szCs w:val="28"/>
        </w:rPr>
      </w:pP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b/>
          <w:bCs/>
          <w:kern w:val="1"/>
          <w:sz w:val="28"/>
          <w:szCs w:val="28"/>
        </w:rPr>
      </w:pPr>
      <w:r w:rsidRPr="00B23F4C">
        <w:rPr>
          <w:rFonts w:ascii="Times New Roman" w:hAnsi="Times New Roman" w:cs="Times New Roman"/>
          <w:b/>
          <w:bCs/>
          <w:sz w:val="28"/>
          <w:szCs w:val="28"/>
        </w:rPr>
        <w:t>2.1. З</w:t>
      </w:r>
      <w:r w:rsidRPr="00B23F4C">
        <w:rPr>
          <w:rFonts w:ascii="Times New Roman" w:hAnsi="Times New Roman" w:cs="Times New Roman"/>
          <w:b/>
          <w:bCs/>
          <w:kern w:val="1"/>
          <w:sz w:val="28"/>
          <w:szCs w:val="28"/>
        </w:rPr>
        <w:t xml:space="preserve">астосування адміністративного стягнення у вигляді адміністративного арешту та порядок його перегляду в апеляційній інстанції </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kern w:val="1"/>
          <w:sz w:val="28"/>
          <w:szCs w:val="28"/>
        </w:rPr>
      </w:pPr>
      <w:r w:rsidRPr="00B23F4C">
        <w:rPr>
          <w:rFonts w:ascii="Times New Roman" w:hAnsi="Times New Roman" w:cs="Times New Roman"/>
          <w:kern w:val="1"/>
          <w:sz w:val="28"/>
          <w:szCs w:val="28"/>
        </w:rPr>
        <w:t xml:space="preserve">Європейський суд з прав людини при розгляді справ з питань застосування адміністративного стягнення у вигляді арешту наголошує на важливості дотримання судами принципу юридичної визначеності, тобто наявності у національному законодавстві чітко сформульованих умов, за яких здійснюється позбавлення свободи. Європейський суд повинен особливо ретельно розглядати справи, у яких стягнення, застосовані за ненасильницьку поведінку, включають покарання у вигляді позбавлення волі. </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kern w:val="1"/>
          <w:sz w:val="28"/>
          <w:szCs w:val="28"/>
        </w:rPr>
      </w:pPr>
      <w:r w:rsidRPr="00B23F4C">
        <w:rPr>
          <w:rFonts w:ascii="Times New Roman" w:hAnsi="Times New Roman" w:cs="Times New Roman"/>
          <w:kern w:val="1"/>
          <w:sz w:val="28"/>
          <w:szCs w:val="28"/>
        </w:rPr>
        <w:t xml:space="preserve">Разом з тим Європейський суд звертає увагу на забезпечення ефективного  апеляційного перегляду постанов про накладення адміністративного стягнення у вигляді адміністративного арешту. На думку Європейського суду, є неприпустимим, коли перегляд судом апеляційної інстанції рішення суду </w:t>
      </w:r>
      <w:r w:rsidRPr="00B23F4C">
        <w:rPr>
          <w:rFonts w:ascii="Times New Roman" w:hAnsi="Times New Roman" w:cs="Times New Roman"/>
          <w:kern w:val="1"/>
          <w:sz w:val="28"/>
          <w:szCs w:val="28"/>
        </w:rPr>
        <w:lastRenderedPageBreak/>
        <w:t>першої інстанції відбувається після відбуття покарання у повному обсязі. Європейський суд вважає незрозумілим, як такий перегляд на цій стадії може ефективно виправити недоліки рішення суду нижчої інстанції.</w:t>
      </w:r>
    </w:p>
    <w:p w:rsidR="00D7692D" w:rsidRDefault="00D7692D" w:rsidP="00D7692D">
      <w:pPr>
        <w:pStyle w:val="a7"/>
        <w:ind w:firstLine="567"/>
        <w:jc w:val="both"/>
        <w:rPr>
          <w:rFonts w:ascii="Times New Roman" w:hAnsi="Times New Roman" w:cs="Times New Roman"/>
          <w:lang w:val="uk-UA"/>
        </w:rPr>
      </w:pPr>
      <w:r w:rsidRPr="00B23F4C">
        <w:rPr>
          <w:rFonts w:ascii="Times New Roman" w:hAnsi="Times New Roman" w:cs="Times New Roman"/>
          <w:lang w:val="uk-UA"/>
        </w:rPr>
        <w:t>У своєму рішенні Європейський суд у справі «Швидка проти України»           (заява № </w:t>
      </w:r>
      <w:r w:rsidRPr="00B23F4C">
        <w:rPr>
          <w:rFonts w:ascii="Times New Roman" w:hAnsi="Times New Roman" w:cs="Times New Roman"/>
          <w:shd w:val="clear" w:color="auto" w:fill="FFFFFF"/>
          <w:lang w:val="uk-UA"/>
        </w:rPr>
        <w:t>17888/12), яке набуло статусу остаточного 30 січня 2015 року, зазначив, що основна п</w:t>
      </w:r>
      <w:r w:rsidRPr="00B23F4C">
        <w:rPr>
          <w:rFonts w:ascii="Times New Roman" w:hAnsi="Times New Roman" w:cs="Times New Roman"/>
          <w:lang w:val="uk-UA"/>
        </w:rPr>
        <w:t>роблема застосування адміністративного стягнення у найбільш суворій формі, є непропорційним переслідуваній меті.</w:t>
      </w:r>
    </w:p>
    <w:p w:rsidR="00CC7CB6" w:rsidRPr="00B23F4C" w:rsidRDefault="00CC7CB6" w:rsidP="00D7692D">
      <w:pPr>
        <w:pStyle w:val="a7"/>
        <w:ind w:firstLine="567"/>
        <w:jc w:val="both"/>
        <w:rPr>
          <w:rFonts w:ascii="Times New Roman" w:hAnsi="Times New Roman" w:cs="Times New Roman"/>
          <w:shd w:val="clear" w:color="auto" w:fill="FFFFFF"/>
          <w:lang w:val="uk-UA"/>
        </w:rPr>
      </w:pPr>
    </w:p>
    <w:p w:rsidR="00D7692D" w:rsidRPr="00B23F4C" w:rsidRDefault="00D7692D" w:rsidP="00D7692D">
      <w:pPr>
        <w:spacing w:after="0" w:line="240" w:lineRule="auto"/>
        <w:ind w:firstLine="567"/>
        <w:jc w:val="both"/>
        <w:rPr>
          <w:rFonts w:ascii="Times New Roman" w:eastAsia="Times New Roman" w:hAnsi="Times New Roman" w:cs="Times New Roman"/>
          <w:b/>
          <w:bCs/>
          <w:sz w:val="28"/>
          <w:szCs w:val="28"/>
        </w:rPr>
      </w:pPr>
      <w:r w:rsidRPr="00B23F4C">
        <w:rPr>
          <w:rFonts w:ascii="Times New Roman" w:hAnsi="Times New Roman" w:cs="Times New Roman"/>
          <w:b/>
          <w:bCs/>
          <w:sz w:val="28"/>
          <w:szCs w:val="28"/>
        </w:rPr>
        <w:t xml:space="preserve">2.2. Гуманізації окремих норм кримінального законодавства стосовно застосування покарання у виді довічного позбавлення волі   </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 xml:space="preserve">На сьогодні нормами КК не передбачено застосування умовно-дострокового звільнення до осіб, засуджених до довічного позбавлення волі. </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Відповідно до пункту «б» частини першої статті 4 Закону України «Про застосування амністії в Україні» амністія не може бути застосована до осіб, яким смертну кару в порядку помилування замінено на позбавлення волі, і до осіб, яких засуджено до довічного позбавлення волі.</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Актом про помилування може бути здійснена заміна засудженому призначеного судом покарання у виді довічного позбавлення волі на позбавлення волі на строк не менше двадцяти п’яти років ( частина друга статті 87 КК).</w:t>
      </w:r>
    </w:p>
    <w:p w:rsidR="00D7692D" w:rsidRPr="00B23F4C" w:rsidRDefault="00D7692D" w:rsidP="00D7692D">
      <w:pPr>
        <w:pStyle w:val="JuPara"/>
        <w:ind w:firstLine="567"/>
        <w:rPr>
          <w:rFonts w:ascii="Times New Roman" w:eastAsia="Times New Roman" w:hAnsi="Times New Roman" w:cs="Times New Roman"/>
          <w:spacing w:val="-3"/>
          <w:sz w:val="28"/>
          <w:szCs w:val="28"/>
          <w:lang w:val="uk-UA"/>
        </w:rPr>
      </w:pPr>
      <w:r w:rsidRPr="00B23F4C">
        <w:rPr>
          <w:rFonts w:ascii="Times New Roman" w:hAnsi="Times New Roman" w:cs="Times New Roman"/>
          <w:spacing w:val="-3"/>
          <w:sz w:val="28"/>
          <w:szCs w:val="28"/>
          <w:lang w:val="uk-UA"/>
        </w:rPr>
        <w:t>Наведені вище норми свідчать про відсутність дієвого механізму пом’якшення покарання у виді довічного позбавлення волі.</w:t>
      </w:r>
    </w:p>
    <w:p w:rsidR="00D7692D" w:rsidRPr="00B23F4C" w:rsidRDefault="00D7692D" w:rsidP="00D7692D">
      <w:pPr>
        <w:pStyle w:val="JuPara"/>
        <w:ind w:firstLine="567"/>
        <w:rPr>
          <w:rFonts w:ascii="Times New Roman" w:eastAsia="Times New Roman" w:hAnsi="Times New Roman" w:cs="Times New Roman"/>
          <w:spacing w:val="-3"/>
          <w:sz w:val="28"/>
          <w:szCs w:val="28"/>
          <w:lang w:val="uk-UA"/>
        </w:rPr>
      </w:pPr>
      <w:r w:rsidRPr="00B23F4C">
        <w:rPr>
          <w:rFonts w:ascii="Times New Roman" w:hAnsi="Times New Roman" w:cs="Times New Roman"/>
          <w:spacing w:val="-3"/>
          <w:sz w:val="28"/>
          <w:szCs w:val="28"/>
          <w:lang w:val="uk-UA"/>
        </w:rPr>
        <w:t xml:space="preserve">Зазначене було  констатовано Європейським судом у рішенні </w:t>
      </w:r>
      <w:r w:rsidRPr="00B23F4C">
        <w:rPr>
          <w:rFonts w:ascii="Times New Roman" w:hAnsi="Times New Roman" w:cs="Times New Roman"/>
          <w:sz w:val="28"/>
          <w:szCs w:val="28"/>
          <w:lang w:val="uk-UA"/>
        </w:rPr>
        <w:t>«Петухов проти України (№ 2)» (заява № 41216/13), яке набуло статусу остаточного              09 вересня 2019 року</w:t>
      </w:r>
      <w:r w:rsidRPr="00B23F4C">
        <w:rPr>
          <w:rFonts w:ascii="Times New Roman" w:hAnsi="Times New Roman" w:cs="Times New Roman"/>
          <w:spacing w:val="-3"/>
          <w:sz w:val="28"/>
          <w:szCs w:val="28"/>
          <w:lang w:val="uk-UA"/>
        </w:rPr>
        <w:t xml:space="preserve">, як порушення статті 3 </w:t>
      </w:r>
      <w:r w:rsidRPr="00B23F4C">
        <w:rPr>
          <w:rFonts w:ascii="Times New Roman" w:hAnsi="Times New Roman" w:cs="Times New Roman"/>
          <w:sz w:val="28"/>
          <w:szCs w:val="28"/>
          <w:shd w:val="clear" w:color="auto" w:fill="FFFFFF"/>
          <w:lang w:val="uk-UA"/>
        </w:rPr>
        <w:t xml:space="preserve">Конвенції про захист прав людини і основоположних свобод  (далі – Конвенція) </w:t>
      </w:r>
      <w:r w:rsidRPr="00B23F4C">
        <w:rPr>
          <w:rFonts w:ascii="Times New Roman" w:hAnsi="Times New Roman" w:cs="Times New Roman"/>
          <w:sz w:val="28"/>
          <w:szCs w:val="28"/>
          <w:lang w:val="uk-UA"/>
        </w:rPr>
        <w:t>у зв’язку з ненаданням заявнику належної медичної допомоги під час тримання його під вартою, а також у зв’язку з тим, що покарання заявника у виді довічного позбавлення волі не підлягало скороченню.</w:t>
      </w:r>
    </w:p>
    <w:p w:rsidR="00D7692D" w:rsidRPr="00B23F4C" w:rsidRDefault="00D7692D" w:rsidP="00D7692D">
      <w:pPr>
        <w:pStyle w:val="JuPara"/>
        <w:ind w:firstLine="567"/>
        <w:rPr>
          <w:rFonts w:ascii="Times New Roman" w:eastAsia="Times New Roman" w:hAnsi="Times New Roman" w:cs="Times New Roman"/>
          <w:spacing w:val="-3"/>
          <w:sz w:val="28"/>
          <w:szCs w:val="28"/>
          <w:lang w:val="uk-UA"/>
        </w:rPr>
      </w:pPr>
      <w:r w:rsidRPr="00B23F4C">
        <w:rPr>
          <w:rFonts w:ascii="Times New Roman" w:hAnsi="Times New Roman" w:cs="Times New Roman"/>
          <w:spacing w:val="-3"/>
          <w:sz w:val="28"/>
          <w:szCs w:val="28"/>
          <w:lang w:val="uk-UA"/>
        </w:rPr>
        <w:t>Обґрунтовуючи</w:t>
      </w:r>
      <w:r w:rsidRPr="00B23F4C">
        <w:rPr>
          <w:rFonts w:ascii="Times New Roman" w:hAnsi="Times New Roman" w:cs="Times New Roman"/>
          <w:sz w:val="28"/>
          <w:szCs w:val="28"/>
          <w:lang w:val="uk-UA"/>
        </w:rPr>
        <w:t xml:space="preserve"> відсутність в Україні дієвого механізму пом’якшення покарання у виді довічного позбавлення волі та </w:t>
      </w:r>
      <w:r w:rsidRPr="00B23F4C">
        <w:rPr>
          <w:rFonts w:ascii="Times New Roman" w:hAnsi="Times New Roman" w:cs="Times New Roman"/>
          <w:spacing w:val="-3"/>
          <w:sz w:val="28"/>
          <w:szCs w:val="28"/>
          <w:lang w:val="uk-UA"/>
        </w:rPr>
        <w:t>посилаючись на свою практику, Європейський суд зазначив, що звільнення від відбування покарання у виді довічного позбавлення волі за хворобою, означає лише те, що засудженому дозволяється померти вдома або у лікарні, а не в установі виконання покарань, не може вважатися «перспективою звільнення».</w:t>
      </w:r>
    </w:p>
    <w:p w:rsidR="00D7692D" w:rsidRPr="00B23F4C" w:rsidRDefault="00D7692D" w:rsidP="00D7692D">
      <w:pPr>
        <w:pStyle w:val="JuPara"/>
        <w:ind w:firstLine="567"/>
        <w:rPr>
          <w:rFonts w:ascii="Times New Roman" w:eastAsia="Times New Roman" w:hAnsi="Times New Roman" w:cs="Times New Roman"/>
          <w:spacing w:val="-3"/>
          <w:sz w:val="28"/>
          <w:szCs w:val="28"/>
          <w:lang w:val="uk-UA"/>
        </w:rPr>
      </w:pPr>
      <w:r w:rsidRPr="00B23F4C">
        <w:rPr>
          <w:rFonts w:ascii="Times New Roman" w:hAnsi="Times New Roman" w:cs="Times New Roman"/>
          <w:spacing w:val="-3"/>
          <w:sz w:val="28"/>
          <w:szCs w:val="28"/>
          <w:lang w:val="uk-UA"/>
        </w:rPr>
        <w:t>Помилування Президентом України, яке, на думку Європейського суду, залишається єдиною можливістю для довічно позбавлених волі осіб пом’якшити їх покарання, є «сучасним еквівалентом королівської прерогативи помилування»                (п. 180 рішення), а не дієвим механізмом. Європейський суд вказав на необхідність впровадження в Україні реформи системи перегляду покарань у виді довічного позбавлення волі. Механізм такого перегляду повинен гарантувати перевірку в кожному конкретному випадку, чи обґрунтовано триваюче тримання під вартою законними підставами, а також має надавати засудженим до довічного позбавлення волі можливість передбачити з певним ступенем точності, що їм треба зробити аби було розглянуто питання щодо їх звільнення та за яких умов це можливо.</w:t>
      </w:r>
    </w:p>
    <w:p w:rsidR="00D7692D" w:rsidRPr="00B23F4C" w:rsidRDefault="00D7692D" w:rsidP="00D7692D">
      <w:pPr>
        <w:pStyle w:val="JuPara"/>
        <w:ind w:firstLine="567"/>
        <w:rPr>
          <w:rFonts w:ascii="Times New Roman" w:eastAsia="Times New Roman" w:hAnsi="Times New Roman" w:cs="Times New Roman"/>
          <w:sz w:val="28"/>
          <w:szCs w:val="28"/>
          <w:lang w:val="uk-UA"/>
        </w:rPr>
      </w:pPr>
      <w:r w:rsidRPr="00B23F4C">
        <w:rPr>
          <w:rFonts w:ascii="Times New Roman" w:hAnsi="Times New Roman" w:cs="Times New Roman"/>
          <w:sz w:val="28"/>
          <w:szCs w:val="28"/>
          <w:lang w:val="uk-UA"/>
        </w:rPr>
        <w:lastRenderedPageBreak/>
        <w:t xml:space="preserve">Загальна сума відшкодування, яку Україна повинна сплатити на виконання зазначеного рішення Європейського суду, становить </w:t>
      </w:r>
      <w:r w:rsidRPr="00B23F4C">
        <w:rPr>
          <w:rFonts w:ascii="Times New Roman" w:hAnsi="Times New Roman" w:cs="Times New Roman"/>
          <w:b/>
          <w:bCs/>
          <w:sz w:val="28"/>
          <w:szCs w:val="28"/>
          <w:lang w:val="uk-UA"/>
        </w:rPr>
        <w:t xml:space="preserve">22 770 </w:t>
      </w:r>
      <w:r w:rsidRPr="00B23F4C">
        <w:rPr>
          <w:rFonts w:ascii="Times New Roman" w:hAnsi="Times New Roman" w:cs="Times New Roman"/>
          <w:sz w:val="28"/>
          <w:szCs w:val="28"/>
          <w:lang w:val="uk-UA"/>
        </w:rPr>
        <w:t>(двадцять дві тисячі сімсот сімдесят)</w:t>
      </w:r>
      <w:r w:rsidRPr="00B23F4C">
        <w:rPr>
          <w:rFonts w:ascii="Times New Roman" w:hAnsi="Times New Roman" w:cs="Times New Roman"/>
          <w:b/>
          <w:bCs/>
          <w:sz w:val="28"/>
          <w:szCs w:val="28"/>
          <w:lang w:val="uk-UA"/>
        </w:rPr>
        <w:t xml:space="preserve"> </w:t>
      </w:r>
      <w:r w:rsidRPr="00B23F4C">
        <w:rPr>
          <w:rFonts w:ascii="Times New Roman" w:hAnsi="Times New Roman" w:cs="Times New Roman"/>
          <w:sz w:val="28"/>
          <w:szCs w:val="28"/>
          <w:lang w:val="uk-UA"/>
        </w:rPr>
        <w:t>євро.</w:t>
      </w:r>
    </w:p>
    <w:p w:rsidR="00D7692D" w:rsidRPr="00B23F4C" w:rsidRDefault="00D7692D" w:rsidP="00D7692D">
      <w:pPr>
        <w:pStyle w:val="JuPara"/>
        <w:ind w:firstLine="567"/>
        <w:rPr>
          <w:rFonts w:ascii="Times New Roman" w:eastAsia="Times New Roman" w:hAnsi="Times New Roman" w:cs="Times New Roman"/>
          <w:sz w:val="28"/>
          <w:szCs w:val="28"/>
          <w:lang w:val="uk-UA"/>
        </w:rPr>
      </w:pPr>
      <w:r w:rsidRPr="00B23F4C">
        <w:rPr>
          <w:rFonts w:ascii="Times New Roman" w:hAnsi="Times New Roman" w:cs="Times New Roman"/>
          <w:sz w:val="28"/>
          <w:szCs w:val="28"/>
          <w:lang w:val="uk-UA"/>
        </w:rPr>
        <w:t>Відповідно до пункту 1 статті 46 Конвенції та статті 2 Закону України «Про виконання рішень та застосування практики Європейського суду з прав людини» рішення Європейського суду є обов’язковими для виконання.</w:t>
      </w:r>
    </w:p>
    <w:p w:rsidR="00D7692D" w:rsidRPr="00B23F4C" w:rsidRDefault="00D7692D" w:rsidP="00D7692D">
      <w:pPr>
        <w:pStyle w:val="JuPara"/>
        <w:ind w:firstLine="567"/>
        <w:rPr>
          <w:rFonts w:ascii="Times New Roman" w:eastAsia="Times New Roman" w:hAnsi="Times New Roman" w:cs="Times New Roman"/>
          <w:sz w:val="28"/>
          <w:szCs w:val="28"/>
          <w:lang w:val="uk-UA"/>
        </w:rPr>
      </w:pPr>
      <w:r w:rsidRPr="00B23F4C">
        <w:rPr>
          <w:rFonts w:ascii="Times New Roman" w:hAnsi="Times New Roman" w:cs="Times New Roman"/>
          <w:sz w:val="28"/>
          <w:szCs w:val="28"/>
          <w:lang w:val="uk-UA"/>
        </w:rPr>
        <w:t xml:space="preserve">Під виконанням рішення Європейського суду слід розуміти виплату відшкодування, а також вжиття державою додаткових заходів індивідуального характеру, спрямованих на усунення конкретного порушення, визначеного в рішенні Європейського суду, та заходів загального характеру, спрямованих на усунення підстави для надходження до Європейського суду аналогічних заяв проти України у майбутньому. </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 xml:space="preserve">Засуджені довічно – це єдина категорія засуджених в Україні, які не можуть бути звільнені умовно-достроково, незважаючи, що таке звільнення давно та успішно застосовується в інших країнах. </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 xml:space="preserve">Згідно із статистичними даними, опублікованими експертами Ради Європи, засуджені до довічного позбавлення волі, до яких застосовано умовно-дострокове звільнення, найрідше потрапляють знову за грати, оскільки добре усвідомлюють наслідки у разі повторного засудження. Крім того, вони старіють, і треба враховувати, що вік теж утримує від вчинення злочинів. </w:t>
      </w:r>
    </w:p>
    <w:p w:rsidR="00D7692D" w:rsidRPr="00B23F4C" w:rsidRDefault="00D7692D" w:rsidP="00D7692D">
      <w:pPr>
        <w:spacing w:after="0" w:line="240" w:lineRule="auto"/>
        <w:ind w:firstLine="567"/>
        <w:jc w:val="both"/>
        <w:rPr>
          <w:rFonts w:ascii="Times New Roman" w:eastAsia="Times New Roman" w:hAnsi="Times New Roman" w:cs="Times New Roman"/>
          <w:b/>
          <w:bCs/>
          <w:sz w:val="28"/>
          <w:szCs w:val="28"/>
        </w:rPr>
      </w:pPr>
      <w:r w:rsidRPr="00B23F4C">
        <w:rPr>
          <w:rFonts w:ascii="Times New Roman" w:hAnsi="Times New Roman" w:cs="Times New Roman"/>
          <w:sz w:val="28"/>
          <w:szCs w:val="28"/>
        </w:rPr>
        <w:t>У більшості країн, де покарання у вигляді довічного позбавлення волі може бути призначено, існують механізми перегляду вироку після відбування певного мінімального строку покарання, встановленого законом. Такий механізм, інтегрований у межах закону та практиці винесення вироків, передбачено в законодавстві тридцяти двох країн: Албанії – 25 років,              Вірменії – 20 років, Австрії – 15, Азербайджані – 25, Бельгії – 15,  з розширенням до 19 або 23 років для рецидивістів, Болгарії – 20, Кіпру – 12 , Чехії – 20 , Данії – 12, Естонії – 30, Фінляндії – 12, Франції – зазвичай 18, 30 років за певні вбивства, Грузії – 25, Німеччині – 15, Греції – 20, Угорщини – 20, якщо суд не розпорядиться про інше, Ірландії - попередній огляд Комісією з умовно-дострокового звільнення після 7 років, за винятком деяких видів вбивства, Італії – 26, Латвії – 25, Ліхтенштейну – 15, Люксембургу – 15, Молдові – 30, Монако – 15, Польщі – 25, Румунії – 20, Росії – 25, Словаччини – 25, Словенії – 25, Швеції – 10,  Швейцарії – 15 років, що зводяться до 10 років, колишній югославській Республіці Македонії – 15 і Туреччині – 24 роки,            30 – для обтяжуючого довічного ув’язнення і 36 для сукупного покарання при обтяжуючих обставинах довічного ув’язнення. У Шотландії при присудженні довічного ув’язнення суддя зобов’язаний встановити мінімальний термін, незважаючи на ймовірність того, що такий період буде перевищувати залишок природного життя ув’язненого.</w:t>
      </w:r>
    </w:p>
    <w:p w:rsidR="00D7692D" w:rsidRPr="00B23F4C" w:rsidRDefault="00D7692D" w:rsidP="00D7692D">
      <w:pPr>
        <w:pStyle w:val="rvps2"/>
        <w:shd w:val="clear" w:color="auto" w:fill="FFFFFF"/>
        <w:spacing w:before="0" w:after="0"/>
        <w:ind w:firstLine="567"/>
        <w:jc w:val="both"/>
        <w:rPr>
          <w:rFonts w:ascii="Times New Roman" w:eastAsia="Times New Roman" w:hAnsi="Times New Roman" w:cs="Times New Roman"/>
          <w:b/>
          <w:bCs/>
          <w:sz w:val="28"/>
          <w:szCs w:val="28"/>
        </w:rPr>
      </w:pPr>
    </w:p>
    <w:p w:rsidR="00D7692D" w:rsidRPr="00B23F4C" w:rsidRDefault="00D7692D" w:rsidP="00D7692D">
      <w:pPr>
        <w:pStyle w:val="rvps2"/>
        <w:shd w:val="clear" w:color="auto" w:fill="FFFFFF"/>
        <w:spacing w:before="0" w:after="0"/>
        <w:ind w:firstLine="567"/>
        <w:jc w:val="both"/>
        <w:rPr>
          <w:rFonts w:ascii="Times New Roman" w:eastAsia="Times New Roman" w:hAnsi="Times New Roman" w:cs="Times New Roman"/>
          <w:b/>
          <w:bCs/>
          <w:sz w:val="28"/>
          <w:szCs w:val="28"/>
        </w:rPr>
      </w:pPr>
      <w:r w:rsidRPr="00B23F4C">
        <w:rPr>
          <w:rFonts w:ascii="Times New Roman" w:hAnsi="Times New Roman" w:cs="Times New Roman"/>
          <w:b/>
          <w:bCs/>
          <w:sz w:val="28"/>
          <w:szCs w:val="28"/>
        </w:rPr>
        <w:t>2.3. Застосування запобіжних заходів</w:t>
      </w:r>
    </w:p>
    <w:p w:rsidR="00D7692D" w:rsidRPr="00B23F4C" w:rsidRDefault="00D7692D" w:rsidP="00D7692D">
      <w:pPr>
        <w:pStyle w:val="rvps2"/>
        <w:shd w:val="clear" w:color="auto" w:fill="FFFFFF"/>
        <w:spacing w:before="0" w:after="0"/>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shd w:val="clear" w:color="auto" w:fill="FFFFFF"/>
        </w:rPr>
        <w:t xml:space="preserve">У рішеннях Європейського суду у справах «Харченко проти України»             (заява № 40107/02), </w:t>
      </w:r>
      <w:r w:rsidRPr="00B23F4C">
        <w:rPr>
          <w:rFonts w:ascii="Times New Roman" w:hAnsi="Times New Roman" w:cs="Times New Roman"/>
          <w:sz w:val="28"/>
          <w:szCs w:val="28"/>
        </w:rPr>
        <w:t>яке набуло статусу остаточного 10 травня 2011 року,</w:t>
      </w:r>
      <w:r w:rsidRPr="00B23F4C">
        <w:rPr>
          <w:rFonts w:ascii="Times New Roman" w:hAnsi="Times New Roman" w:cs="Times New Roman"/>
          <w:sz w:val="28"/>
          <w:szCs w:val="28"/>
          <w:shd w:val="clear" w:color="auto" w:fill="FFFFFF"/>
        </w:rPr>
        <w:t xml:space="preserve"> «Чанєв проти України»</w:t>
      </w:r>
      <w:r w:rsidRPr="00B23F4C">
        <w:rPr>
          <w:rFonts w:ascii="Times New Roman" w:hAnsi="Times New Roman" w:cs="Times New Roman"/>
          <w:sz w:val="28"/>
          <w:szCs w:val="28"/>
        </w:rPr>
        <w:t xml:space="preserve"> </w:t>
      </w:r>
      <w:r w:rsidRPr="00B23F4C">
        <w:rPr>
          <w:rFonts w:ascii="Times New Roman" w:hAnsi="Times New Roman" w:cs="Times New Roman"/>
          <w:sz w:val="28"/>
          <w:szCs w:val="28"/>
          <w:shd w:val="clear" w:color="auto" w:fill="FFFFFF"/>
        </w:rPr>
        <w:t>(заява № 46193/13)</w:t>
      </w:r>
      <w:r w:rsidRPr="00B23F4C">
        <w:rPr>
          <w:rFonts w:ascii="Times New Roman" w:hAnsi="Times New Roman" w:cs="Times New Roman"/>
          <w:sz w:val="28"/>
          <w:szCs w:val="28"/>
        </w:rPr>
        <w:t>, яке набуло статусу остаточного            09 січня 2015 року, «Кущ проти України» </w:t>
      </w:r>
      <w:r w:rsidRPr="00B23F4C">
        <w:rPr>
          <w:rFonts w:ascii="Times New Roman" w:hAnsi="Times New Roman" w:cs="Times New Roman"/>
          <w:sz w:val="28"/>
          <w:szCs w:val="28"/>
          <w:shd w:val="clear" w:color="auto" w:fill="FFFFFF"/>
        </w:rPr>
        <w:t>(заява № 53865/11)</w:t>
      </w:r>
      <w:r w:rsidRPr="00B23F4C">
        <w:rPr>
          <w:rFonts w:ascii="Times New Roman" w:hAnsi="Times New Roman" w:cs="Times New Roman"/>
          <w:sz w:val="28"/>
          <w:szCs w:val="28"/>
        </w:rPr>
        <w:t xml:space="preserve">, яке набуло </w:t>
      </w:r>
      <w:r w:rsidRPr="00B23F4C">
        <w:rPr>
          <w:rFonts w:ascii="Times New Roman" w:hAnsi="Times New Roman" w:cs="Times New Roman"/>
          <w:sz w:val="28"/>
          <w:szCs w:val="28"/>
        </w:rPr>
        <w:lastRenderedPageBreak/>
        <w:t>статусу остаточного 03 березня 2016 року, констатовано порушення прав на свободу та особисту недоторканність. Зокрема, вказаними рішеннями встановлено порушення положень статті 5 Конвенції, а саме: законний арешт або затримання особи, здійснене з метою допровадження її до компетентного судового органу за наявності обґрунтованої підозри у вчиненні нею правопорушення, або якщо обґрунтовано вважається необхідним запобігти вчиненню нею правопорушення чи її втечі після його вчинення (підпункт «с» пункту 1); особа, яку заарештовано або затримано згідно з положеннями підпункту «c» пункту 1 цієї статті, має негайно постати перед суддею чи іншою посадовою особою, якій закон надає право здійснювати судову владу, і їй має бути забезпечено розгляд справи судом упродовж розумного строку або звільнення під час провадження (пункт 3); особа, яку позбавлено свободи внаслідок арешту або тримання під вартою, має право ініціювати провадження, під час якого суд без зволікання встановлює законність затримання і приймає рішення про звільнення, якщо затримання є незаконним (пункт 4).</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Водночас листом Департаменту виконання рішень Європейського суду Генерального директорату з прав людини та верховенства права Ради Європи було зазначено, що вирішення судом, за відсутності клопотання, питань щодо обрання, зміни, продовження або скасування запобіжних заходів не зобов’язує суд постановляти вмотивоване рішення, обґрунтовувати необхідність та доцільність подальшого тримання особи під вартою, що може протирічити положенням самого КПК. Адже відповідно до частини шостої статті 194 КПК строк дії обов’язків, покладених на підозрюваного/обвинуваченого, і передбачених частиною п’ятою цієї статті, може бути продовжений за клопотанням прокурора.</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Також пункт 4 статті 5 Конвенції вимагає від суду, що розглядає питання про тримання під вартою, забезпечення гарантій процедури судового розгляду, що є близькими до вимог статті 6 Конвенції (пункт 4 статті 5 Конвенції є lex specialis по відношенню до пункту 1 статті 6 Конвенції саме стосовно вимог щодо тримання під вартою). Судочинство має бути змагальним та завжди забезпечувати «рівність сторін», стороною обвинувачення (прокурором) та підозрюваним/обвинуваченим (затриманим). Проте, якщо суддя, за відсутності клопотань сторін, ініціює питання доцільності продовження тримання обвинуваченого під вартою, він де факто виступає у процесі як сторона обвинувачення (прокурор), таким чином деформуючи роль суду та судді у процесі нагляду за дотриманням права на свободу та особисту недоторканість та виходячи за рамки судової функції. Крім того без ініціювання розгляду такого питання судом, термін дії ухвали про тримання особи під вартою закінчується, а особу має бути негайно звільнено з-під варти.</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p>
    <w:p w:rsidR="00D7692D" w:rsidRPr="00B23F4C" w:rsidRDefault="00D7692D" w:rsidP="00D7692D">
      <w:pPr>
        <w:spacing w:after="0" w:line="240" w:lineRule="auto"/>
        <w:ind w:firstLine="567"/>
        <w:jc w:val="both"/>
        <w:rPr>
          <w:rFonts w:ascii="Times New Roman" w:eastAsia="Times New Roman" w:hAnsi="Times New Roman" w:cs="Times New Roman"/>
          <w:b/>
          <w:bCs/>
          <w:kern w:val="1"/>
          <w:sz w:val="28"/>
          <w:szCs w:val="28"/>
        </w:rPr>
      </w:pPr>
      <w:r w:rsidRPr="00B23F4C">
        <w:rPr>
          <w:rFonts w:ascii="Times New Roman" w:hAnsi="Times New Roman" w:cs="Times New Roman"/>
          <w:b/>
          <w:bCs/>
          <w:kern w:val="1"/>
          <w:sz w:val="28"/>
          <w:szCs w:val="28"/>
        </w:rPr>
        <w:t xml:space="preserve">2.4. Ознайомлення </w:t>
      </w:r>
      <w:r w:rsidRPr="00B23F4C">
        <w:rPr>
          <w:rFonts w:ascii="Times New Roman" w:hAnsi="Times New Roman" w:cs="Times New Roman"/>
          <w:b/>
          <w:bCs/>
          <w:sz w:val="28"/>
          <w:szCs w:val="28"/>
        </w:rPr>
        <w:t>з матеріалами кримінального провадження</w:t>
      </w:r>
      <w:r w:rsidRPr="00B23F4C">
        <w:rPr>
          <w:rFonts w:ascii="Times New Roman" w:hAnsi="Times New Roman" w:cs="Times New Roman"/>
          <w:b/>
          <w:bCs/>
          <w:kern w:val="1"/>
          <w:sz w:val="28"/>
          <w:szCs w:val="28"/>
        </w:rPr>
        <w:t xml:space="preserve"> після набрання рішенням суду законної сили</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kern w:val="1"/>
          <w:sz w:val="28"/>
          <w:szCs w:val="28"/>
        </w:rPr>
        <w:t xml:space="preserve">У </w:t>
      </w:r>
      <w:r w:rsidRPr="00B23F4C">
        <w:rPr>
          <w:rFonts w:ascii="Times New Roman" w:hAnsi="Times New Roman" w:cs="Times New Roman"/>
          <w:sz w:val="28"/>
          <w:szCs w:val="28"/>
        </w:rPr>
        <w:t>справах Європейського суду «Василь Іващенко проти України»                    (заява № 760/03), яке набуло статусу остаточного 26 жовтня 2012 року, та</w:t>
      </w:r>
      <w:r w:rsidRPr="00B23F4C">
        <w:rPr>
          <w:rFonts w:ascii="Times New Roman" w:hAnsi="Times New Roman" w:cs="Times New Roman"/>
          <w:i/>
          <w:iCs/>
          <w:sz w:val="28"/>
          <w:szCs w:val="28"/>
        </w:rPr>
        <w:t xml:space="preserve"> </w:t>
      </w:r>
      <w:r w:rsidRPr="00B23F4C">
        <w:rPr>
          <w:rFonts w:ascii="Times New Roman" w:hAnsi="Times New Roman" w:cs="Times New Roman"/>
          <w:sz w:val="28"/>
          <w:szCs w:val="28"/>
        </w:rPr>
        <w:t xml:space="preserve">«Найдьон проти України» (заява № 16474/03), яке набуло статусу остаточного             14 січня 2011 року, заявники, засуджені за вчинення злочинів, звернулися до </w:t>
      </w:r>
      <w:r w:rsidRPr="00B23F4C">
        <w:rPr>
          <w:rFonts w:ascii="Times New Roman" w:hAnsi="Times New Roman" w:cs="Times New Roman"/>
          <w:sz w:val="28"/>
          <w:szCs w:val="28"/>
        </w:rPr>
        <w:lastRenderedPageBreak/>
        <w:t>Європейського суду із заявами проти України про порушення їх прав, гарантованих Конвенцією. Після отримання таких заяв Європейський суд письмово попросив їх надати низку копій процесуальних документів з матеріалів кримінальних справ, що зберігалися у відповідних національних судах. У цих справах заявники звернулися до національних судів із проханням надати можливість виготовити необхідні копії документів за власний рахунок (справа «Василь Іващенко проти України»)</w:t>
      </w:r>
      <w:r w:rsidRPr="00B23F4C">
        <w:rPr>
          <w:rFonts w:ascii="Times New Roman" w:hAnsi="Times New Roman" w:cs="Times New Roman"/>
          <w:i/>
          <w:iCs/>
          <w:sz w:val="28"/>
          <w:szCs w:val="28"/>
        </w:rPr>
        <w:t xml:space="preserve"> </w:t>
      </w:r>
      <w:r w:rsidRPr="00B23F4C">
        <w:rPr>
          <w:rFonts w:ascii="Times New Roman" w:hAnsi="Times New Roman" w:cs="Times New Roman"/>
          <w:sz w:val="28"/>
          <w:szCs w:val="28"/>
        </w:rPr>
        <w:t>та про надання таких копій судом (справа</w:t>
      </w:r>
      <w:r w:rsidRPr="00B23F4C">
        <w:rPr>
          <w:rFonts w:ascii="Times New Roman" w:hAnsi="Times New Roman" w:cs="Times New Roman"/>
          <w:i/>
          <w:iCs/>
          <w:sz w:val="28"/>
          <w:szCs w:val="28"/>
        </w:rPr>
        <w:t xml:space="preserve"> </w:t>
      </w:r>
      <w:r w:rsidRPr="00B23F4C">
        <w:rPr>
          <w:rFonts w:ascii="Times New Roman" w:hAnsi="Times New Roman" w:cs="Times New Roman"/>
          <w:sz w:val="28"/>
          <w:szCs w:val="28"/>
        </w:rPr>
        <w:t>«Найдьон проти України</w:t>
      </w:r>
      <w:r w:rsidRPr="00B23F4C">
        <w:rPr>
          <w:rFonts w:ascii="Times New Roman" w:hAnsi="Times New Roman" w:cs="Times New Roman"/>
          <w:i/>
          <w:iCs/>
          <w:sz w:val="28"/>
          <w:szCs w:val="28"/>
        </w:rPr>
        <w:t>»)</w:t>
      </w:r>
      <w:r w:rsidRPr="00B23F4C">
        <w:rPr>
          <w:rFonts w:ascii="Times New Roman" w:hAnsi="Times New Roman" w:cs="Times New Roman"/>
          <w:sz w:val="28"/>
          <w:szCs w:val="28"/>
        </w:rPr>
        <w:t xml:space="preserve"> для їх подальшого направлення до Європейського суду.</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Європейський суд в обох вказаних справах констатував порушення прав заявників, гарантованих статтею 34 Конвенції, з огляду на ненадання їм національними судами можливості отримати копії запитуваних документів.</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У справі «Василь Іващенко проти України» Європейський суд вказав, що ненадання заявникові – ув’язненій особі, залежній від державних органів, ефективного доступу до документів, які були потрібні для обґрунтування заяви до Європейського суду, є системною проблемою в Україні (див. пункти 120, 121).</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Європейський суд вважає, що ця проблема виникла внаслідок відсутності чіткої та конкретної процедури, яка давала б ув’язненим особам можливість отримувати копії документів з матеріалів справи, або переписуючи їх власноруч, або за допомогою відповідного обладнання, або шляхом покладання на державні органи обов’язку робити такі копії (див. пункт 123 рішення у справі «Василь Іващенко проти України»).</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 xml:space="preserve">Так, стаття 34 Конвенції гарантує право будь-якій особі, неурядовій організації або групі осіб, які вважають себе потерпілими від допущеного однією з Високих Договірних Сторін порушення прав, викладених у Конвенції або протоколах до неї, звернутися із заявою до </w:t>
      </w:r>
      <w:r w:rsidRPr="00B23F4C">
        <w:rPr>
          <w:rFonts w:ascii="Times New Roman" w:hAnsi="Times New Roman" w:cs="Times New Roman"/>
          <w:sz w:val="28"/>
          <w:szCs w:val="28"/>
          <w:shd w:val="clear" w:color="auto" w:fill="FFFFFF"/>
        </w:rPr>
        <w:t>Європейського суду</w:t>
      </w:r>
      <w:r w:rsidRPr="00B23F4C">
        <w:rPr>
          <w:rFonts w:ascii="Times New Roman" w:hAnsi="Times New Roman" w:cs="Times New Roman"/>
          <w:sz w:val="28"/>
          <w:szCs w:val="28"/>
        </w:rPr>
        <w:t>. Високі Договірні Сторони зобов’язуються не перешкоджати жодним чином ефективному здійсненню цього права.</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Усі процесуальні питання, пов’язані із провадженням справи у Європейському суді, регулюються положеннями Регламенту Європейського суду (станом на цей час в редакції від 14 листопада 2016 року)                            (далі – Регламент).</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У Правилі 47-1 Регламенту передбачені вимоги до форми і змісту заяви, яку особа бажає подати до Європейського суду згідно із статтею 34 Конвенції. Відповідно до Правила 47-1 Регламенту кожна заява згідно зі статтею 34 Конвенції подається на бланку (формулярі), наданому Секретаріатом, якщо Європейський суд не вирішить інакше. До формуляру слід, зокрема, додати: копії документів щодо судових та інших рішень чи заходів, на які скаржиться заявник, копії документів, які вказують, що заявник використав усі внутрішні засоби правового захисту, а також дотримався терміну (шестимісячного), вказаного у пункті 1 статті 35 Конвенції.</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За загальним правилом у випадку недотримання вказаних вимог Європейський суд не розглядатиме заяву. Проте з цього правила є винятки, один з яких: якщо заявник надав ґрунтовні пояснення про причини невиконання цих вимог.</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lastRenderedPageBreak/>
        <w:t>У справах, що були комуніковані Європейським судом Уряду України для надання зауважень у відповідь на скарги заявників про порушення їх прав, гарантованих Конвенцією, систематично зустрічаються твердження про ненадання органами державної влади (органами досудового розслідування та національними судами) копій процесуальних документів з метою подальшого їх направлення до Європейського суду або про ненадання можливості безпосередньо заявнику/його родичам/захиснику самостійно виготовити копії таких документів. Відтак, згідно із твердженнями заявників наявне перешкоджання державою Україна у реалізації їх прав на звернення до Європейського суду, а отже, порушення їх права, гарантованого статтею 34 Конвенції.</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Положення статті 34 Конвенції, що «Високі Договірні Сторони зобов’язуються не перешкоджати жодним чином ефективному здійсненню цього права», тлумачиться у прецедентній практиці Європейського суду, тобто у рішеннях, які виносяться за результатами розгляду скарг заявника.</w:t>
      </w:r>
    </w:p>
    <w:p w:rsidR="00D7692D" w:rsidRPr="00B23F4C" w:rsidRDefault="00D7692D" w:rsidP="00D7692D">
      <w:pPr>
        <w:spacing w:after="0" w:line="240" w:lineRule="auto"/>
        <w:ind w:firstLine="567"/>
        <w:jc w:val="both"/>
        <w:rPr>
          <w:rFonts w:ascii="Times New Roman" w:eastAsia="Times New Roman" w:hAnsi="Times New Roman" w:cs="Times New Roman"/>
          <w:spacing w:val="-3"/>
          <w:sz w:val="28"/>
          <w:szCs w:val="28"/>
        </w:rPr>
      </w:pPr>
    </w:p>
    <w:p w:rsidR="00D7692D" w:rsidRPr="00B23F4C" w:rsidRDefault="00D7692D" w:rsidP="00D7692D">
      <w:pPr>
        <w:pStyle w:val="a8"/>
        <w:spacing w:before="0" w:after="0"/>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 xml:space="preserve">3. Суть проєкту акта </w:t>
      </w:r>
    </w:p>
    <w:p w:rsidR="00D7692D" w:rsidRPr="00B23F4C" w:rsidRDefault="00D7692D" w:rsidP="00D7692D">
      <w:pPr>
        <w:spacing w:after="0" w:line="240" w:lineRule="auto"/>
        <w:rPr>
          <w:rFonts w:ascii="Times New Roman" w:hAnsi="Times New Roman" w:cs="Times New Roman"/>
        </w:rPr>
      </w:pP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b/>
          <w:bCs/>
          <w:kern w:val="1"/>
          <w:sz w:val="28"/>
          <w:szCs w:val="28"/>
        </w:rPr>
      </w:pPr>
      <w:r w:rsidRPr="00B23F4C">
        <w:rPr>
          <w:rFonts w:ascii="Times New Roman" w:hAnsi="Times New Roman" w:cs="Times New Roman"/>
          <w:b/>
          <w:bCs/>
          <w:sz w:val="28"/>
          <w:szCs w:val="28"/>
        </w:rPr>
        <w:t>3.1. З</w:t>
      </w:r>
      <w:r w:rsidRPr="00B23F4C">
        <w:rPr>
          <w:rFonts w:ascii="Times New Roman" w:hAnsi="Times New Roman" w:cs="Times New Roman"/>
          <w:b/>
          <w:bCs/>
          <w:kern w:val="1"/>
          <w:sz w:val="28"/>
          <w:szCs w:val="28"/>
        </w:rPr>
        <w:t xml:space="preserve">астосування адміністративного стягнення у вигляді адміністративного арешту та порядок його перегляду в апеляційній інстанції  </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kern w:val="1"/>
          <w:sz w:val="28"/>
          <w:szCs w:val="28"/>
        </w:rPr>
      </w:pPr>
      <w:r w:rsidRPr="00B23F4C">
        <w:rPr>
          <w:rFonts w:ascii="Times New Roman" w:hAnsi="Times New Roman" w:cs="Times New Roman"/>
          <w:kern w:val="1"/>
          <w:sz w:val="28"/>
          <w:szCs w:val="28"/>
        </w:rPr>
        <w:t>Відповідно до статті 32 КУпАП адміністративний арешт установлюється і застосовується лише у виняткових випадках.</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kern w:val="1"/>
          <w:sz w:val="28"/>
          <w:szCs w:val="28"/>
        </w:rPr>
      </w:pPr>
      <w:r w:rsidRPr="00B23F4C">
        <w:rPr>
          <w:rFonts w:ascii="Times New Roman" w:hAnsi="Times New Roman" w:cs="Times New Roman"/>
          <w:kern w:val="1"/>
          <w:sz w:val="28"/>
          <w:szCs w:val="28"/>
        </w:rPr>
        <w:t xml:space="preserve">На сьогодні низкою статей КУпАП за окремі види адміністративних правопорушень передбачено стягнення у вигляді адміністративного арешту на строк від десяти до п’ятнадцяти діб. </w:t>
      </w:r>
    </w:p>
    <w:p w:rsidR="00D7692D" w:rsidRPr="00B23F4C" w:rsidRDefault="00D7692D" w:rsidP="00D7692D">
      <w:pPr>
        <w:spacing w:after="0" w:line="240" w:lineRule="auto"/>
        <w:ind w:firstLine="567"/>
        <w:jc w:val="both"/>
        <w:rPr>
          <w:rFonts w:ascii="Times New Roman" w:eastAsia="Times New Roman" w:hAnsi="Times New Roman" w:cs="Times New Roman"/>
          <w:kern w:val="1"/>
          <w:sz w:val="28"/>
          <w:szCs w:val="28"/>
        </w:rPr>
      </w:pPr>
      <w:r w:rsidRPr="00B23F4C">
        <w:rPr>
          <w:rFonts w:ascii="Times New Roman" w:hAnsi="Times New Roman" w:cs="Times New Roman"/>
          <w:kern w:val="1"/>
          <w:sz w:val="28"/>
          <w:szCs w:val="28"/>
        </w:rPr>
        <w:t>З урахуванням статистичних даних щодо розгляду судами справ про адміністративні правопорушення, опублікованих на офіційному веб-сайті Державної судової адміністрації України, проєктом Закону пропонується в статтях 44, 121, 178 КУпАП виключити адміністративне стягнення у вигляді адміністративного арешту, збільшивши при цьому граничні межі інших видів стягнень.</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kern w:val="1"/>
          <w:sz w:val="28"/>
          <w:szCs w:val="28"/>
        </w:rPr>
      </w:pPr>
      <w:r w:rsidRPr="00B23F4C">
        <w:rPr>
          <w:rFonts w:ascii="Times New Roman" w:hAnsi="Times New Roman" w:cs="Times New Roman"/>
          <w:kern w:val="1"/>
          <w:sz w:val="28"/>
          <w:szCs w:val="28"/>
        </w:rPr>
        <w:t xml:space="preserve">Проєктом Закону запропоновано внести зміни до статті 294 КУпАП та зменшити строк апеляційного перегляду справ про застосування стягнення у вигляді адміністративного арешту до трьох днів. </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kern w:val="1"/>
          <w:sz w:val="28"/>
          <w:szCs w:val="28"/>
        </w:rPr>
      </w:pPr>
      <w:r w:rsidRPr="00B23F4C">
        <w:rPr>
          <w:rFonts w:ascii="Times New Roman" w:hAnsi="Times New Roman" w:cs="Times New Roman"/>
          <w:kern w:val="1"/>
          <w:sz w:val="28"/>
          <w:szCs w:val="28"/>
        </w:rPr>
        <w:t xml:space="preserve"> </w:t>
      </w:r>
    </w:p>
    <w:p w:rsidR="00D7692D" w:rsidRPr="00B23F4C" w:rsidRDefault="00D7692D" w:rsidP="00D7692D">
      <w:pPr>
        <w:spacing w:after="0" w:line="240" w:lineRule="auto"/>
        <w:ind w:firstLine="567"/>
        <w:jc w:val="both"/>
        <w:rPr>
          <w:rFonts w:ascii="Times New Roman" w:eastAsia="Times New Roman" w:hAnsi="Times New Roman" w:cs="Times New Roman"/>
          <w:b/>
          <w:bCs/>
          <w:sz w:val="28"/>
          <w:szCs w:val="28"/>
        </w:rPr>
      </w:pPr>
      <w:r w:rsidRPr="00B23F4C">
        <w:rPr>
          <w:rFonts w:ascii="Times New Roman" w:hAnsi="Times New Roman" w:cs="Times New Roman"/>
          <w:b/>
          <w:bCs/>
          <w:sz w:val="28"/>
          <w:szCs w:val="28"/>
        </w:rPr>
        <w:t xml:space="preserve">3.2. Гуманізація окремих норм кримінального законодавства стосовно застосування покарання у виді довічного позбавлення волі  </w:t>
      </w:r>
    </w:p>
    <w:p w:rsidR="00D7692D" w:rsidRPr="00B23F4C" w:rsidRDefault="00D7692D" w:rsidP="00D7692D">
      <w:pPr>
        <w:pStyle w:val="2"/>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Проєктом Закону п</w:t>
      </w:r>
      <w:r w:rsidR="004F615E">
        <w:rPr>
          <w:rFonts w:ascii="Times New Roman" w:hAnsi="Times New Roman" w:cs="Times New Roman"/>
          <w:sz w:val="28"/>
          <w:szCs w:val="28"/>
        </w:rPr>
        <w:t xml:space="preserve">ропонується внести зміни до КК та </w:t>
      </w:r>
      <w:r w:rsidRPr="00B23F4C">
        <w:rPr>
          <w:rFonts w:ascii="Times New Roman" w:hAnsi="Times New Roman" w:cs="Times New Roman"/>
          <w:sz w:val="28"/>
          <w:szCs w:val="28"/>
        </w:rPr>
        <w:t>КПК та запровадити механізм пом’якшення покарання у виді довічного позбавлення волі.</w:t>
      </w:r>
    </w:p>
    <w:p w:rsidR="00D7692D" w:rsidRDefault="00D7692D" w:rsidP="00D7692D">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line="240" w:lineRule="auto"/>
        <w:ind w:firstLine="567"/>
        <w:jc w:val="both"/>
        <w:rPr>
          <w:rFonts w:ascii="Times New Roman" w:hAnsi="Times New Roman" w:cs="Times New Roman"/>
          <w:sz w:val="28"/>
          <w:szCs w:val="28"/>
        </w:rPr>
      </w:pPr>
      <w:r w:rsidRPr="00B23F4C">
        <w:rPr>
          <w:rFonts w:ascii="Times New Roman" w:hAnsi="Times New Roman" w:cs="Times New Roman"/>
          <w:sz w:val="28"/>
          <w:szCs w:val="28"/>
        </w:rPr>
        <w:t xml:space="preserve">Проєктом Закону вносяться зміни до статті 82 КК, якими визначається можливість заміни особі, яка відбуває покарання у виді довічного позбавлення волі, невідбутої частини покарання більш м’яким після фактичного відбування нею не менше десяти років покарання у виді довічного позбавлення волі. У такому випадку покарання у виді довічного позбавлення волі може бути </w:t>
      </w:r>
      <w:r w:rsidRPr="00B23F4C">
        <w:rPr>
          <w:rFonts w:ascii="Times New Roman" w:hAnsi="Times New Roman" w:cs="Times New Roman"/>
          <w:sz w:val="28"/>
          <w:szCs w:val="28"/>
        </w:rPr>
        <w:lastRenderedPageBreak/>
        <w:t>замінено на покарання у виді позбавлення волі строком від п’ятнадцяти до двадцяти років.</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 xml:space="preserve">Проєктом Закону пропонується внести зміни до статті 81 КК, якими визначається, що умовно-дострокове звільнення може бути застосоване після фактичного відбування засудженим не менше трьох четвертей строку покарання призначеного судом, у разі заміни покарання у виді довічного позбавлення волі на покарання у виді позбавлення волі на певний строк. </w:t>
      </w:r>
    </w:p>
    <w:p w:rsidR="00D7692D" w:rsidRPr="00B23F4C" w:rsidRDefault="00D7692D" w:rsidP="00D7692D">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shd w:val="clear" w:color="auto" w:fill="FFFFFF"/>
        </w:rPr>
        <w:t xml:space="preserve">Розділ ІІ «Прикінцеві та перехідні положення» КК доповнюється новим пунктом 22, яким визначається можливість </w:t>
      </w:r>
      <w:r w:rsidRPr="00B23F4C">
        <w:rPr>
          <w:rFonts w:ascii="Times New Roman" w:hAnsi="Times New Roman" w:cs="Times New Roman"/>
          <w:sz w:val="28"/>
          <w:szCs w:val="28"/>
        </w:rPr>
        <w:t>засудженим до довічного позбавлення волі, які на день набрання чинності Законом України «Про внесення змін до деяких законодавчих актів щодо виконання рішень Європейського суду з прав людини» відбули понад десять років призначеного судом покарання, право на заміну такого покарання покаранням у виді позбавленням волі на строк від п’яти до двадцяти років, але при цьому загальний строк такого покарання не повинен бути меншим як двадцять п’ять років.</w:t>
      </w:r>
    </w:p>
    <w:p w:rsidR="00D7692D" w:rsidRDefault="00D7692D" w:rsidP="00D7692D">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line="240" w:lineRule="auto"/>
        <w:ind w:firstLine="567"/>
        <w:jc w:val="both"/>
        <w:rPr>
          <w:rFonts w:ascii="Times New Roman" w:hAnsi="Times New Roman" w:cs="Times New Roman"/>
          <w:sz w:val="28"/>
          <w:szCs w:val="28"/>
        </w:rPr>
      </w:pPr>
      <w:r w:rsidRPr="00B23F4C">
        <w:rPr>
          <w:rFonts w:ascii="Times New Roman" w:hAnsi="Times New Roman" w:cs="Times New Roman"/>
          <w:sz w:val="28"/>
          <w:szCs w:val="28"/>
        </w:rPr>
        <w:t xml:space="preserve">Крім того, </w:t>
      </w:r>
      <w:r>
        <w:rPr>
          <w:rFonts w:ascii="Times New Roman" w:hAnsi="Times New Roman"/>
          <w:sz w:val="28"/>
          <w:szCs w:val="28"/>
        </w:rPr>
        <w:t>частиною другою статті 31 КПК у редакції проекту Закону встановлюється, що к</w:t>
      </w:r>
      <w:r w:rsidRPr="00FB7E34">
        <w:rPr>
          <w:rFonts w:ascii="Times New Roman" w:hAnsi="Times New Roman"/>
          <w:sz w:val="28"/>
          <w:szCs w:val="28"/>
        </w:rPr>
        <w:t xml:space="preserve">римінальне провадження в суді першої інстанції у випадках розгляду питання про заміну довічного позбавлення волі, в порядку статті 82 </w:t>
      </w:r>
      <w:r>
        <w:rPr>
          <w:rFonts w:ascii="Times New Roman" w:hAnsi="Times New Roman"/>
          <w:sz w:val="28"/>
          <w:szCs w:val="28"/>
        </w:rPr>
        <w:t>КК</w:t>
      </w:r>
      <w:r w:rsidRPr="00FB7E34">
        <w:rPr>
          <w:rFonts w:ascii="Times New Roman" w:hAnsi="Times New Roman"/>
          <w:sz w:val="28"/>
          <w:szCs w:val="28"/>
        </w:rPr>
        <w:t>, здійснюється колегіально судом у складі трьох суддів</w:t>
      </w:r>
      <w:r>
        <w:rPr>
          <w:rFonts w:ascii="Times New Roman" w:hAnsi="Times New Roman"/>
          <w:sz w:val="28"/>
          <w:szCs w:val="28"/>
        </w:rPr>
        <w:t>.</w:t>
      </w:r>
    </w:p>
    <w:p w:rsidR="00D7692D" w:rsidRDefault="00D7692D" w:rsidP="00D7692D">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w:t>
      </w:r>
      <w:r w:rsidRPr="00B23F4C">
        <w:rPr>
          <w:rFonts w:ascii="Times New Roman" w:hAnsi="Times New Roman" w:cs="Times New Roman"/>
          <w:sz w:val="28"/>
          <w:szCs w:val="28"/>
        </w:rPr>
        <w:t>ункт 3 частини першої статті 537 КПК доповнюється положеннями, якими визначається, що під час виконання вироків суд має право вирішувати, зокрема, питання про заміну покарання у виді довічного позбавлення волі більш м’яким. Розгляд цього питання здійснюється колегіально судом у складі трьох суддів (частина третя статті 539 КПК).</w:t>
      </w:r>
    </w:p>
    <w:p w:rsidR="00D7692D" w:rsidRPr="00B23F4C" w:rsidRDefault="00D7692D" w:rsidP="00D7692D">
      <w:pPr>
        <w:shd w:val="clear" w:color="auto" w:fill="FFFFFF"/>
        <w:tabs>
          <w:tab w:val="left" w:pos="916"/>
          <w:tab w:val="left" w:pos="1832"/>
          <w:tab w:val="left" w:pos="2748"/>
          <w:tab w:val="left" w:pos="3664"/>
          <w:tab w:val="left" w:pos="4580"/>
          <w:tab w:val="left" w:pos="5496"/>
          <w:tab w:val="left" w:pos="6412"/>
          <w:tab w:val="left" w:pos="7328"/>
          <w:tab w:val="left" w:pos="8244"/>
          <w:tab w:val="left" w:pos="9132"/>
          <w:tab w:val="left" w:pos="9132"/>
          <w:tab w:val="left" w:pos="9132"/>
          <w:tab w:val="left" w:pos="9132"/>
          <w:tab w:val="left" w:pos="9132"/>
          <w:tab w:val="left" w:pos="9132"/>
          <w:tab w:val="left" w:pos="9132"/>
        </w:tabs>
        <w:spacing w:after="0" w:line="240" w:lineRule="auto"/>
        <w:ind w:firstLine="567"/>
        <w:jc w:val="both"/>
        <w:rPr>
          <w:rFonts w:ascii="Times New Roman" w:eastAsia="Times New Roman" w:hAnsi="Times New Roman" w:cs="Times New Roman"/>
          <w:sz w:val="28"/>
          <w:szCs w:val="28"/>
        </w:rPr>
      </w:pPr>
    </w:p>
    <w:p w:rsidR="00D7692D" w:rsidRPr="00B23F4C" w:rsidRDefault="00D7692D" w:rsidP="00D7692D">
      <w:pPr>
        <w:pStyle w:val="rvps2"/>
        <w:shd w:val="clear" w:color="auto" w:fill="FFFFFF"/>
        <w:spacing w:before="0" w:after="0"/>
        <w:ind w:firstLine="567"/>
        <w:jc w:val="both"/>
        <w:rPr>
          <w:rFonts w:ascii="Times New Roman" w:eastAsia="Times New Roman" w:hAnsi="Times New Roman" w:cs="Times New Roman"/>
          <w:b/>
          <w:bCs/>
          <w:sz w:val="28"/>
          <w:szCs w:val="28"/>
          <w:shd w:val="clear" w:color="auto" w:fill="FFFFFF"/>
        </w:rPr>
      </w:pPr>
      <w:r w:rsidRPr="00B23F4C">
        <w:rPr>
          <w:rFonts w:ascii="Times New Roman" w:hAnsi="Times New Roman" w:cs="Times New Roman"/>
          <w:b/>
          <w:bCs/>
          <w:sz w:val="28"/>
          <w:szCs w:val="28"/>
        </w:rPr>
        <w:t>3.3 Застосування запобіжних заходів</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Проєктом Закону пропонується внести зміни до статті 176 КПК та визначити, що запобіжні заходи до початку підготовчого судового засідання можуть застосовуватися слідчим суддею. Так, у разі закінчення строку запобіжного заходу до проведення підготовчого засідання прокурор, не пізніше ніж за п’ять днів до закінчення дії попередньої ухвали про застосування запобіжного заходу, може подати клопотання про його продовження (частина шоста статті 199 КПК).</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shd w:val="clear" w:color="auto" w:fill="FFFFFF"/>
        </w:rPr>
        <w:t>Проєктом Закону вносяться зміни до частини третьої статті 331 КПК, якими виключаються положення, які надавали повноваження суду за відсутності клопотань розглядати питання щодо доцільності застосування запобіжного заходу.</w:t>
      </w:r>
    </w:p>
    <w:p w:rsidR="00D7692D" w:rsidRPr="00B23F4C" w:rsidRDefault="00D7692D" w:rsidP="00D7692D">
      <w:pPr>
        <w:spacing w:line="240" w:lineRule="auto"/>
        <w:ind w:firstLine="459"/>
        <w:jc w:val="both"/>
        <w:rPr>
          <w:rFonts w:ascii="Times New Roman" w:eastAsia="Times New Roman" w:hAnsi="Times New Roman" w:cs="Times New Roman"/>
          <w:sz w:val="28"/>
          <w:szCs w:val="28"/>
        </w:rPr>
      </w:pPr>
      <w:r w:rsidRPr="00B23F4C">
        <w:rPr>
          <w:rFonts w:ascii="Times New Roman" w:hAnsi="Times New Roman" w:cs="Times New Roman"/>
          <w:sz w:val="28"/>
          <w:szCs w:val="28"/>
        </w:rPr>
        <w:t>Крім того, удосконалюється порядок продовження запобіжного заходу (зміни до статтей 315, 331 КПК), обрання запобіжного заходу судом касаційної інстанції (зміни до статтей 433, 422 КПК) та при скасуванні судового рішення і направленні справи на новий розгляд до суду першої або апеляційної інстанції у результаті перегляду судового рішення за нововиявленими або виключними обставинами (зміни до статті 467 КПК).</w:t>
      </w:r>
    </w:p>
    <w:p w:rsidR="00D7692D" w:rsidRPr="00B23F4C" w:rsidRDefault="00D7692D" w:rsidP="00D7692D">
      <w:pPr>
        <w:spacing w:after="0" w:line="240" w:lineRule="auto"/>
        <w:ind w:firstLine="567"/>
        <w:jc w:val="both"/>
        <w:rPr>
          <w:rFonts w:ascii="Times New Roman" w:eastAsia="Times New Roman" w:hAnsi="Times New Roman" w:cs="Times New Roman"/>
          <w:b/>
          <w:bCs/>
          <w:kern w:val="1"/>
          <w:sz w:val="28"/>
          <w:szCs w:val="28"/>
        </w:rPr>
      </w:pPr>
      <w:r w:rsidRPr="00B23F4C">
        <w:rPr>
          <w:rFonts w:ascii="Times New Roman" w:hAnsi="Times New Roman" w:cs="Times New Roman"/>
          <w:b/>
          <w:bCs/>
          <w:kern w:val="1"/>
          <w:sz w:val="28"/>
          <w:szCs w:val="28"/>
        </w:rPr>
        <w:lastRenderedPageBreak/>
        <w:t xml:space="preserve">3.4 Ознайомлення </w:t>
      </w:r>
      <w:r w:rsidRPr="00B23F4C">
        <w:rPr>
          <w:rFonts w:ascii="Times New Roman" w:hAnsi="Times New Roman" w:cs="Times New Roman"/>
          <w:b/>
          <w:bCs/>
          <w:sz w:val="28"/>
          <w:szCs w:val="28"/>
        </w:rPr>
        <w:t>з матеріалами кримінального провадження</w:t>
      </w:r>
      <w:r w:rsidRPr="00B23F4C">
        <w:rPr>
          <w:rFonts w:ascii="Times New Roman" w:hAnsi="Times New Roman" w:cs="Times New Roman"/>
          <w:b/>
          <w:bCs/>
          <w:kern w:val="1"/>
          <w:sz w:val="28"/>
          <w:szCs w:val="28"/>
        </w:rPr>
        <w:t>, після набрання рішення суду законної сили</w:t>
      </w:r>
    </w:p>
    <w:p w:rsidR="00D7692D" w:rsidRPr="00B23F4C" w:rsidRDefault="00D7692D" w:rsidP="00D7692D">
      <w:pPr>
        <w:pStyle w:val="rvps2"/>
        <w:spacing w:before="0" w:after="0"/>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Проєкт Закону передбачає удосконалення норм КПК щодо ознайомлення засудженого, виправданого, особи, стосовно якої застосовано примусові заходи медичного чи виховного характеру, потерпілого, представника юридичної особи, їхніх захисників та законних представників з матеріалами кримінального провадження.</w:t>
      </w:r>
    </w:p>
    <w:p w:rsidR="00D7692D" w:rsidRPr="00B23F4C" w:rsidRDefault="00D7692D" w:rsidP="00D7692D">
      <w:pPr>
        <w:spacing w:after="0" w:line="240" w:lineRule="auto"/>
        <w:ind w:left="65" w:firstLine="339"/>
        <w:jc w:val="both"/>
        <w:rPr>
          <w:rFonts w:ascii="Times New Roman" w:eastAsia="Times New Roman" w:hAnsi="Times New Roman" w:cs="Times New Roman"/>
          <w:sz w:val="28"/>
          <w:szCs w:val="28"/>
        </w:rPr>
      </w:pPr>
      <w:r w:rsidRPr="00B23F4C">
        <w:rPr>
          <w:rFonts w:ascii="Times New Roman" w:hAnsi="Times New Roman" w:cs="Times New Roman"/>
          <w:sz w:val="28"/>
          <w:szCs w:val="28"/>
        </w:rPr>
        <w:t>Проєктом Закону КПК доповнюється новою статтею 533</w:t>
      </w:r>
      <w:r w:rsidRPr="00B23F4C">
        <w:rPr>
          <w:rFonts w:ascii="Times New Roman" w:hAnsi="Times New Roman" w:cs="Times New Roman"/>
          <w:sz w:val="28"/>
          <w:szCs w:val="28"/>
          <w:vertAlign w:val="superscript"/>
        </w:rPr>
        <w:t>1</w:t>
      </w:r>
      <w:r w:rsidRPr="00B23F4C">
        <w:rPr>
          <w:rFonts w:ascii="Times New Roman" w:hAnsi="Times New Roman" w:cs="Times New Roman"/>
          <w:sz w:val="28"/>
          <w:szCs w:val="28"/>
        </w:rPr>
        <w:t>, яка визначає, що виправданий, засуджений, особа, стосовно якої застосовано примусові заходи медичного чи виховного характеру, потерпілий, представник юридичної особи, їхні захисники та законні представники</w:t>
      </w:r>
      <w:r w:rsidRPr="00B23F4C">
        <w:rPr>
          <w:rFonts w:ascii="Times New Roman" w:hAnsi="Times New Roman" w:cs="Times New Roman"/>
          <w:b/>
          <w:bCs/>
          <w:sz w:val="28"/>
          <w:szCs w:val="28"/>
        </w:rPr>
        <w:t xml:space="preserve"> </w:t>
      </w:r>
      <w:r w:rsidRPr="00B23F4C">
        <w:rPr>
          <w:rFonts w:ascii="Times New Roman" w:hAnsi="Times New Roman" w:cs="Times New Roman"/>
          <w:sz w:val="28"/>
          <w:szCs w:val="28"/>
        </w:rPr>
        <w:t>мають право звернутись із заявою про ознайомлення з матеріалами кримінального провадження, стороною в якому вони були до суду, де вони зберігаються.</w:t>
      </w:r>
    </w:p>
    <w:p w:rsidR="00D7692D" w:rsidRPr="00B23F4C" w:rsidRDefault="00D7692D" w:rsidP="00D7692D">
      <w:pPr>
        <w:spacing w:after="0" w:line="240" w:lineRule="auto"/>
        <w:ind w:left="65" w:firstLine="339"/>
        <w:jc w:val="both"/>
        <w:rPr>
          <w:rFonts w:ascii="Times New Roman" w:eastAsia="Times New Roman" w:hAnsi="Times New Roman" w:cs="Times New Roman"/>
          <w:sz w:val="28"/>
          <w:szCs w:val="28"/>
        </w:rPr>
      </w:pPr>
      <w:r w:rsidRPr="00B23F4C">
        <w:rPr>
          <w:rFonts w:ascii="Times New Roman" w:hAnsi="Times New Roman" w:cs="Times New Roman"/>
          <w:sz w:val="28"/>
          <w:szCs w:val="28"/>
        </w:rPr>
        <w:t>Засуджені, які відбувають покарання в установах виконання покарань, звертаються до суду через адміністрацію таких установ із заявою про надання електронних копій матеріалів кримінального провадження (кримінальної справи) та документів, долучених до матеріалів кримінального провадження, необхідних для захисту своїх прав і інтересів.</w:t>
      </w:r>
    </w:p>
    <w:p w:rsidR="00D7692D" w:rsidRPr="00B23F4C" w:rsidRDefault="00D7692D" w:rsidP="00D7692D">
      <w:pPr>
        <w:spacing w:line="240" w:lineRule="auto"/>
        <w:ind w:left="65" w:firstLine="339"/>
        <w:jc w:val="both"/>
        <w:rPr>
          <w:rFonts w:ascii="Times New Roman" w:eastAsia="Times New Roman" w:hAnsi="Times New Roman" w:cs="Times New Roman"/>
          <w:sz w:val="28"/>
          <w:szCs w:val="28"/>
        </w:rPr>
      </w:pPr>
      <w:r w:rsidRPr="00B23F4C">
        <w:rPr>
          <w:rFonts w:ascii="Times New Roman" w:hAnsi="Times New Roman" w:cs="Times New Roman"/>
          <w:sz w:val="28"/>
          <w:szCs w:val="28"/>
        </w:rPr>
        <w:t xml:space="preserve">Такі електронні копії надсилаються судом до адміністрації установ виконання покарань </w:t>
      </w:r>
      <w:r w:rsidRPr="00B23F4C">
        <w:rPr>
          <w:rFonts w:ascii="Times New Roman" w:hAnsi="Times New Roman" w:cs="Times New Roman"/>
          <w:sz w:val="28"/>
          <w:szCs w:val="28"/>
          <w:shd w:val="clear" w:color="auto" w:fill="FFFFFF"/>
        </w:rPr>
        <w:t xml:space="preserve">за допомогою електронної пошти або інших засобів зв’язку </w:t>
      </w:r>
      <w:r w:rsidRPr="00B23F4C">
        <w:rPr>
          <w:rFonts w:ascii="Times New Roman" w:hAnsi="Times New Roman" w:cs="Times New Roman"/>
          <w:sz w:val="28"/>
          <w:szCs w:val="28"/>
        </w:rPr>
        <w:t>у строк, об’єктивно необхідний для їх виготовлення, але не більше тридцяти днів з дня надходження такого звернення.</w:t>
      </w:r>
    </w:p>
    <w:p w:rsidR="00D7692D" w:rsidRPr="00B23F4C" w:rsidRDefault="00D7692D" w:rsidP="00D7692D">
      <w:pPr>
        <w:pStyle w:val="a9"/>
        <w:spacing w:after="0" w:line="240" w:lineRule="auto"/>
        <w:ind w:left="0" w:firstLine="567"/>
        <w:jc w:val="both"/>
        <w:rPr>
          <w:rFonts w:ascii="Times New Roman" w:hAnsi="Times New Roman" w:cs="Times New Roman"/>
          <w:b/>
          <w:bCs/>
          <w:lang w:val="uk-UA"/>
        </w:rPr>
      </w:pPr>
      <w:r w:rsidRPr="00B23F4C">
        <w:rPr>
          <w:rFonts w:ascii="Times New Roman" w:hAnsi="Times New Roman" w:cs="Times New Roman"/>
          <w:b/>
          <w:bCs/>
          <w:lang w:val="uk-UA"/>
        </w:rPr>
        <w:t>4. Вплив на бюджет</w:t>
      </w:r>
    </w:p>
    <w:p w:rsidR="00D7692D" w:rsidRDefault="00D7692D" w:rsidP="00D7692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Р</w:t>
      </w:r>
      <w:r w:rsidRPr="00191CF8">
        <w:rPr>
          <w:rFonts w:ascii="Times New Roman" w:hAnsi="Times New Roman" w:cs="Times New Roman"/>
          <w:sz w:val="28"/>
          <w:szCs w:val="28"/>
        </w:rPr>
        <w:t xml:space="preserve">еалізація проєкту Закону </w:t>
      </w:r>
      <w:r>
        <w:rPr>
          <w:rFonts w:ascii="Times New Roman" w:hAnsi="Times New Roman" w:cs="Times New Roman"/>
          <w:sz w:val="28"/>
          <w:szCs w:val="28"/>
        </w:rPr>
        <w:t xml:space="preserve">буде </w:t>
      </w:r>
      <w:r w:rsidRPr="00191CF8">
        <w:rPr>
          <w:rFonts w:ascii="Times New Roman" w:hAnsi="Times New Roman" w:cs="Times New Roman"/>
          <w:sz w:val="28"/>
          <w:szCs w:val="28"/>
        </w:rPr>
        <w:t xml:space="preserve">потребувати додаткових фінансових витрат </w:t>
      </w:r>
      <w:r>
        <w:rPr>
          <w:rFonts w:ascii="Times New Roman" w:hAnsi="Times New Roman" w:cs="Times New Roman"/>
          <w:sz w:val="28"/>
          <w:szCs w:val="28"/>
        </w:rPr>
        <w:t xml:space="preserve">Державної судової адміністрації України </w:t>
      </w:r>
      <w:r w:rsidRPr="00191CF8">
        <w:rPr>
          <w:rFonts w:ascii="Times New Roman" w:hAnsi="Times New Roman" w:cs="Times New Roman"/>
          <w:sz w:val="28"/>
          <w:szCs w:val="28"/>
        </w:rPr>
        <w:t>для поліпшення технічних умов в судах та установах виконання покарань у зв’язку з необхідністю виготовлення електронних копій документів</w:t>
      </w:r>
      <w:r>
        <w:rPr>
          <w:rFonts w:ascii="Times New Roman" w:hAnsi="Times New Roman" w:cs="Times New Roman"/>
          <w:sz w:val="28"/>
          <w:szCs w:val="28"/>
        </w:rPr>
        <w:t xml:space="preserve"> у розмірі 62,0 млн грн., що зазначено у фінансово-економічних розрахунках.</w:t>
      </w:r>
    </w:p>
    <w:p w:rsidR="00D7692D" w:rsidRDefault="00D7692D" w:rsidP="00D7692D">
      <w:pPr>
        <w:pStyle w:val="a7"/>
        <w:ind w:firstLine="567"/>
        <w:jc w:val="both"/>
        <w:rPr>
          <w:rFonts w:ascii="Times New Roman" w:hAnsi="Times New Roman" w:cs="Times New Roman"/>
          <w:shd w:val="clear" w:color="auto" w:fill="FFFFFF"/>
          <w:lang w:val="uk-UA"/>
        </w:rPr>
      </w:pPr>
      <w:r>
        <w:rPr>
          <w:rFonts w:ascii="Times New Roman" w:hAnsi="Times New Roman" w:cs="Times New Roman"/>
          <w:shd w:val="clear" w:color="auto" w:fill="FFFFFF"/>
          <w:lang w:val="uk-UA"/>
        </w:rPr>
        <w:t>Водночас</w:t>
      </w:r>
      <w:r w:rsidRPr="00B23F4C">
        <w:rPr>
          <w:rFonts w:ascii="Times New Roman" w:hAnsi="Times New Roman" w:cs="Times New Roman"/>
          <w:shd w:val="clear" w:color="auto" w:fill="FFFFFF"/>
          <w:lang w:val="uk-UA"/>
        </w:rPr>
        <w:t xml:space="preserve"> реалізація положень проєкту Закону</w:t>
      </w:r>
      <w:r>
        <w:rPr>
          <w:rFonts w:ascii="Times New Roman" w:hAnsi="Times New Roman" w:cs="Times New Roman"/>
          <w:shd w:val="clear" w:color="auto" w:fill="FFFFFF"/>
          <w:lang w:val="uk-UA"/>
        </w:rPr>
        <w:t xml:space="preserve"> в частині </w:t>
      </w:r>
      <w:r w:rsidRPr="00B23F4C">
        <w:rPr>
          <w:rFonts w:ascii="Times New Roman" w:hAnsi="Times New Roman" w:cs="Times New Roman"/>
          <w:shd w:val="clear" w:color="auto" w:fill="FFFFFF"/>
          <w:lang w:val="uk-UA"/>
        </w:rPr>
        <w:t>вирішення питання щодо надання засудженим для озн</w:t>
      </w:r>
      <w:r>
        <w:rPr>
          <w:rFonts w:ascii="Times New Roman" w:hAnsi="Times New Roman" w:cs="Times New Roman"/>
          <w:shd w:val="clear" w:color="auto" w:fill="FFFFFF"/>
          <w:lang w:val="uk-UA"/>
        </w:rPr>
        <w:t>а</w:t>
      </w:r>
      <w:r w:rsidRPr="00B23F4C">
        <w:rPr>
          <w:rFonts w:ascii="Times New Roman" w:hAnsi="Times New Roman" w:cs="Times New Roman"/>
          <w:shd w:val="clear" w:color="auto" w:fill="FFFFFF"/>
          <w:lang w:val="uk-UA"/>
        </w:rPr>
        <w:t>йомлення копій матеріалів кримінального провадження не призведе до виникнення додаткових ви</w:t>
      </w:r>
      <w:r>
        <w:rPr>
          <w:rFonts w:ascii="Times New Roman" w:hAnsi="Times New Roman" w:cs="Times New Roman"/>
          <w:shd w:val="clear" w:color="auto" w:fill="FFFFFF"/>
          <w:lang w:val="uk-UA"/>
        </w:rPr>
        <w:t>т</w:t>
      </w:r>
      <w:r w:rsidRPr="00B23F4C">
        <w:rPr>
          <w:rFonts w:ascii="Times New Roman" w:hAnsi="Times New Roman" w:cs="Times New Roman"/>
          <w:shd w:val="clear" w:color="auto" w:fill="FFFFFF"/>
          <w:lang w:val="uk-UA"/>
        </w:rPr>
        <w:t>рат Міністерства юстиції України та може бути заб</w:t>
      </w:r>
      <w:r>
        <w:rPr>
          <w:rFonts w:ascii="Times New Roman" w:hAnsi="Times New Roman" w:cs="Times New Roman"/>
          <w:shd w:val="clear" w:color="auto" w:fill="FFFFFF"/>
          <w:lang w:val="uk-UA"/>
        </w:rPr>
        <w:t>е</w:t>
      </w:r>
      <w:r w:rsidRPr="00B23F4C">
        <w:rPr>
          <w:rFonts w:ascii="Times New Roman" w:hAnsi="Times New Roman" w:cs="Times New Roman"/>
          <w:shd w:val="clear" w:color="auto" w:fill="FFFFFF"/>
          <w:lang w:val="uk-UA"/>
        </w:rPr>
        <w:t>зпечена у межах наявних фінансових та матеріальних ресурсів.</w:t>
      </w:r>
    </w:p>
    <w:p w:rsidR="00D7692D" w:rsidRPr="00191CF8" w:rsidRDefault="00D7692D" w:rsidP="00D7692D">
      <w:pPr>
        <w:pStyle w:val="a9"/>
        <w:spacing w:after="0" w:line="240" w:lineRule="auto"/>
        <w:ind w:left="0" w:firstLine="567"/>
        <w:jc w:val="both"/>
        <w:rPr>
          <w:rStyle w:val="xfm51980594"/>
          <w:rFonts w:ascii="Times New Roman" w:hAnsi="Times New Roman"/>
          <w:lang w:val="uk-UA"/>
        </w:rPr>
      </w:pPr>
      <w:r w:rsidRPr="00191CF8">
        <w:rPr>
          <w:rFonts w:ascii="Times New Roman" w:hAnsi="Times New Roman"/>
          <w:lang w:val="uk-UA"/>
        </w:rPr>
        <w:t xml:space="preserve">Реалізація </w:t>
      </w:r>
      <w:r>
        <w:rPr>
          <w:rFonts w:ascii="Times New Roman" w:hAnsi="Times New Roman"/>
          <w:lang w:val="uk-UA"/>
        </w:rPr>
        <w:t>інших положень проекту Закону</w:t>
      </w:r>
      <w:r w:rsidRPr="00191CF8">
        <w:rPr>
          <w:rFonts w:ascii="Times New Roman" w:hAnsi="Times New Roman"/>
          <w:lang w:val="uk-UA"/>
        </w:rPr>
        <w:t xml:space="preserve"> не потребуватиме додаткових витрат з Державного бюджету України</w:t>
      </w:r>
      <w:r w:rsidRPr="00191CF8">
        <w:rPr>
          <w:rFonts w:ascii="Times New Roman" w:hAnsi="Times New Roman"/>
        </w:rPr>
        <w:t>.</w:t>
      </w:r>
    </w:p>
    <w:p w:rsidR="009636A2" w:rsidRPr="00B23F4C" w:rsidRDefault="009636A2" w:rsidP="00D7692D">
      <w:pPr>
        <w:pStyle w:val="a7"/>
        <w:ind w:firstLine="567"/>
        <w:jc w:val="both"/>
        <w:rPr>
          <w:rFonts w:ascii="Times New Roman" w:eastAsia="Times New Roman" w:hAnsi="Times New Roman" w:cs="Times New Roman"/>
          <w:shd w:val="clear" w:color="auto" w:fill="FFFFFF"/>
          <w:lang w:val="uk-UA"/>
        </w:rPr>
      </w:pPr>
    </w:p>
    <w:p w:rsidR="00D7692D" w:rsidRPr="00B23F4C" w:rsidRDefault="00D7692D" w:rsidP="00D7692D">
      <w:pPr>
        <w:spacing w:after="0" w:line="240" w:lineRule="auto"/>
        <w:ind w:firstLine="567"/>
        <w:jc w:val="both"/>
        <w:rPr>
          <w:rFonts w:ascii="Times New Roman" w:eastAsia="Times New Roman" w:hAnsi="Times New Roman" w:cs="Times New Roman"/>
          <w:b/>
          <w:bCs/>
          <w:sz w:val="28"/>
          <w:szCs w:val="28"/>
        </w:rPr>
      </w:pPr>
      <w:r w:rsidRPr="00B23F4C">
        <w:rPr>
          <w:rFonts w:ascii="Times New Roman" w:hAnsi="Times New Roman" w:cs="Times New Roman"/>
          <w:b/>
          <w:bCs/>
          <w:sz w:val="28"/>
          <w:szCs w:val="28"/>
        </w:rPr>
        <w:t>5. Позиція заінтересованих сторін</w:t>
      </w:r>
    </w:p>
    <w:p w:rsidR="00D7692D" w:rsidRPr="00B23F4C" w:rsidRDefault="00D7692D" w:rsidP="00D7692D">
      <w:pPr>
        <w:spacing w:after="0" w:line="240" w:lineRule="auto"/>
        <w:ind w:firstLine="567"/>
        <w:jc w:val="both"/>
        <w:rPr>
          <w:rFonts w:ascii="Times New Roman" w:eastAsia="Times New Roman" w:hAnsi="Times New Roman" w:cs="Times New Roman"/>
          <w:b/>
          <w:bCs/>
          <w:sz w:val="28"/>
          <w:szCs w:val="28"/>
        </w:rPr>
      </w:pPr>
      <w:r w:rsidRPr="00B23F4C">
        <w:rPr>
          <w:rFonts w:ascii="Times New Roman" w:hAnsi="Times New Roman" w:cs="Times New Roman"/>
          <w:sz w:val="28"/>
          <w:szCs w:val="28"/>
          <w:shd w:val="clear" w:color="auto" w:fill="FFFFFF"/>
        </w:rPr>
        <w:t>Реалізація акта не вплине на інтереси окремих верств (груп) населення, об’єднаних спільними інтересами, та суб’єктів господарювання.</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shd w:val="clear" w:color="auto" w:fill="FFFFFF"/>
        </w:rPr>
      </w:pPr>
      <w:r w:rsidRPr="00B23F4C">
        <w:rPr>
          <w:rFonts w:ascii="Times New Roman" w:hAnsi="Times New Roman" w:cs="Times New Roman"/>
          <w:sz w:val="28"/>
          <w:szCs w:val="28"/>
          <w:shd w:val="clear" w:color="auto" w:fill="FFFFFF"/>
        </w:rPr>
        <w:t xml:space="preserve">Проєкт Закону не стосується питань функціонування місцевого самоврядування, прав та інтересів територіальних громад, місцевого та регіонального розвитку. </w:t>
      </w:r>
    </w:p>
    <w:p w:rsidR="00D7692D" w:rsidRPr="00B23F4C" w:rsidRDefault="00D7692D" w:rsidP="00D7692D">
      <w:pPr>
        <w:pStyle w:val="a7"/>
        <w:ind w:firstLine="567"/>
        <w:jc w:val="both"/>
        <w:rPr>
          <w:rFonts w:ascii="Times New Roman" w:hAnsi="Times New Roman" w:cs="Times New Roman"/>
          <w:lang w:val="uk-UA"/>
        </w:rPr>
      </w:pPr>
      <w:r w:rsidRPr="00B23F4C">
        <w:rPr>
          <w:rFonts w:ascii="Times New Roman" w:hAnsi="Times New Roman" w:cs="Times New Roman"/>
          <w:lang w:val="uk-UA"/>
        </w:rPr>
        <w:t xml:space="preserve">Проєкт </w:t>
      </w:r>
      <w:r w:rsidRPr="00B23F4C">
        <w:rPr>
          <w:rFonts w:ascii="Times New Roman" w:hAnsi="Times New Roman" w:cs="Times New Roman"/>
          <w:shd w:val="clear" w:color="auto" w:fill="FFFFFF"/>
          <w:lang w:val="uk-UA"/>
        </w:rPr>
        <w:t>Закону</w:t>
      </w:r>
      <w:r w:rsidRPr="00B23F4C">
        <w:rPr>
          <w:rFonts w:ascii="Times New Roman" w:hAnsi="Times New Roman" w:cs="Times New Roman"/>
          <w:lang w:val="uk-UA"/>
        </w:rPr>
        <w:t xml:space="preserve"> не потребує проведення додаткових консультацій з громадськістю.</w:t>
      </w:r>
    </w:p>
    <w:p w:rsidR="00D7692D" w:rsidRPr="00B23F4C" w:rsidRDefault="00D7692D" w:rsidP="00D7692D">
      <w:pPr>
        <w:pStyle w:val="a7"/>
        <w:ind w:firstLine="567"/>
        <w:jc w:val="both"/>
        <w:rPr>
          <w:rFonts w:ascii="Times New Roman" w:eastAsia="Times New Roman" w:hAnsi="Times New Roman" w:cs="Times New Roman"/>
          <w:b/>
          <w:bCs/>
          <w:lang w:val="uk-UA"/>
        </w:rPr>
      </w:pP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b/>
          <w:bCs/>
          <w:sz w:val="28"/>
          <w:szCs w:val="28"/>
        </w:rPr>
        <w:lastRenderedPageBreak/>
        <w:t>6. Прогноз впливу</w:t>
      </w:r>
    </w:p>
    <w:p w:rsidR="00D7692D" w:rsidRPr="00B23F4C" w:rsidRDefault="00D7692D" w:rsidP="00D7692D">
      <w:pPr>
        <w:pStyle w:val="a7"/>
        <w:ind w:firstLine="567"/>
        <w:jc w:val="both"/>
        <w:rPr>
          <w:rFonts w:ascii="Times New Roman" w:hAnsi="Times New Roman" w:cs="Times New Roman"/>
          <w:lang w:val="uk-UA"/>
        </w:rPr>
      </w:pPr>
      <w:r w:rsidRPr="00B23F4C">
        <w:rPr>
          <w:rFonts w:ascii="Times New Roman" w:hAnsi="Times New Roman" w:cs="Times New Roman"/>
          <w:lang w:val="uk-UA"/>
        </w:rPr>
        <w:t>Проєкт Закону не належить до регуляторних актів.</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shd w:val="clear" w:color="auto" w:fill="FFFFFF"/>
        </w:rPr>
      </w:pPr>
      <w:r w:rsidRPr="00B23F4C">
        <w:rPr>
          <w:rFonts w:ascii="Times New Roman" w:hAnsi="Times New Roman" w:cs="Times New Roman"/>
          <w:sz w:val="28"/>
          <w:szCs w:val="28"/>
        </w:rPr>
        <w:t>Реалізація акта не вплине на ринок праці,</w:t>
      </w:r>
      <w:r w:rsidRPr="00B23F4C">
        <w:rPr>
          <w:rFonts w:ascii="Times New Roman" w:hAnsi="Times New Roman" w:cs="Times New Roman"/>
          <w:sz w:val="28"/>
          <w:szCs w:val="28"/>
          <w:shd w:val="clear" w:color="auto" w:fill="FFFFFF"/>
        </w:rPr>
        <w:t xml:space="preserve"> громадське здоров’я, екологію та навколишнє природне середовище. Прогноз впливу додається.</w:t>
      </w:r>
    </w:p>
    <w:p w:rsidR="00CC7CB6" w:rsidRPr="00B23F4C" w:rsidRDefault="00CC7CB6" w:rsidP="00D7692D">
      <w:pPr>
        <w:spacing w:after="0" w:line="240" w:lineRule="auto"/>
        <w:ind w:firstLine="567"/>
        <w:jc w:val="both"/>
        <w:rPr>
          <w:rFonts w:ascii="Times New Roman" w:eastAsia="Times New Roman" w:hAnsi="Times New Roman" w:cs="Times New Roman"/>
          <w:b/>
          <w:bCs/>
          <w:sz w:val="28"/>
          <w:szCs w:val="28"/>
        </w:rPr>
      </w:pPr>
    </w:p>
    <w:p w:rsidR="00D7692D" w:rsidRPr="00B23F4C" w:rsidRDefault="00D7692D" w:rsidP="00D7692D">
      <w:pPr>
        <w:spacing w:after="0" w:line="240" w:lineRule="auto"/>
        <w:ind w:firstLine="567"/>
        <w:jc w:val="both"/>
        <w:rPr>
          <w:rFonts w:ascii="Times New Roman" w:eastAsia="Times New Roman" w:hAnsi="Times New Roman" w:cs="Times New Roman"/>
          <w:b/>
          <w:bCs/>
          <w:sz w:val="28"/>
          <w:szCs w:val="28"/>
        </w:rPr>
      </w:pPr>
      <w:r w:rsidRPr="00B23F4C">
        <w:rPr>
          <w:rFonts w:ascii="Times New Roman" w:hAnsi="Times New Roman" w:cs="Times New Roman"/>
          <w:b/>
          <w:bCs/>
          <w:sz w:val="28"/>
          <w:szCs w:val="28"/>
        </w:rPr>
        <w:t>7. Позиція заінтересованих органів</w:t>
      </w:r>
    </w:p>
    <w:p w:rsidR="00D7692D" w:rsidRDefault="00D7692D" w:rsidP="00D7692D">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Проєкт Закону погоджено з </w:t>
      </w:r>
      <w:r w:rsidRPr="00C07589">
        <w:rPr>
          <w:rFonts w:ascii="Times New Roman" w:hAnsi="Times New Roman"/>
          <w:sz w:val="28"/>
          <w:szCs w:val="28"/>
          <w:lang w:eastAsia="ru-RU"/>
        </w:rPr>
        <w:t>Міністерством розвитку економіки, торгівлі та с</w:t>
      </w:r>
      <w:r>
        <w:rPr>
          <w:rFonts w:ascii="Times New Roman" w:hAnsi="Times New Roman"/>
          <w:sz w:val="28"/>
          <w:szCs w:val="28"/>
          <w:lang w:eastAsia="ru-RU"/>
        </w:rPr>
        <w:t>ільського господарства України,</w:t>
      </w:r>
      <w:r w:rsidRPr="00C07589">
        <w:rPr>
          <w:rFonts w:ascii="Times New Roman" w:hAnsi="Times New Roman"/>
          <w:sz w:val="28"/>
          <w:szCs w:val="28"/>
          <w:lang w:eastAsia="ru-RU"/>
        </w:rPr>
        <w:t xml:space="preserve"> </w:t>
      </w:r>
      <w:r>
        <w:rPr>
          <w:rFonts w:ascii="Times New Roman" w:hAnsi="Times New Roman"/>
          <w:sz w:val="28"/>
          <w:szCs w:val="28"/>
          <w:lang w:eastAsia="ru-RU"/>
        </w:rPr>
        <w:t xml:space="preserve">Міністерством фінансів України, </w:t>
      </w:r>
      <w:r w:rsidRPr="00B23F4C">
        <w:rPr>
          <w:rFonts w:ascii="Times New Roman" w:hAnsi="Times New Roman" w:cs="Times New Roman"/>
          <w:sz w:val="28"/>
          <w:szCs w:val="28"/>
        </w:rPr>
        <w:t>Міністерство</w:t>
      </w:r>
      <w:r>
        <w:rPr>
          <w:rFonts w:ascii="Times New Roman" w:hAnsi="Times New Roman" w:cs="Times New Roman"/>
          <w:sz w:val="28"/>
          <w:szCs w:val="28"/>
        </w:rPr>
        <w:t>м</w:t>
      </w:r>
      <w:r w:rsidRPr="00B23F4C">
        <w:rPr>
          <w:rFonts w:ascii="Times New Roman" w:hAnsi="Times New Roman" w:cs="Times New Roman"/>
          <w:sz w:val="28"/>
          <w:szCs w:val="28"/>
        </w:rPr>
        <w:t xml:space="preserve"> внутрішніх справ України,</w:t>
      </w:r>
      <w:r w:rsidRPr="00D11EDD">
        <w:rPr>
          <w:rFonts w:ascii="Times New Roman" w:hAnsi="Times New Roman" w:cs="Times New Roman"/>
          <w:sz w:val="28"/>
          <w:szCs w:val="28"/>
        </w:rPr>
        <w:t xml:space="preserve"> </w:t>
      </w:r>
      <w:r>
        <w:rPr>
          <w:rFonts w:ascii="Times New Roman" w:hAnsi="Times New Roman" w:cs="Times New Roman"/>
          <w:sz w:val="28"/>
          <w:szCs w:val="28"/>
        </w:rPr>
        <w:t>Національною поліцією України</w:t>
      </w:r>
      <w:r w:rsidR="00DA2FEB">
        <w:rPr>
          <w:rFonts w:ascii="Times New Roman" w:hAnsi="Times New Roman" w:cs="Times New Roman"/>
          <w:sz w:val="28"/>
          <w:szCs w:val="28"/>
        </w:rPr>
        <w:t xml:space="preserve"> та </w:t>
      </w:r>
      <w:r w:rsidR="00DA2FEB" w:rsidRPr="00B23F4C">
        <w:rPr>
          <w:rFonts w:ascii="Times New Roman" w:hAnsi="Times New Roman" w:cs="Times New Roman"/>
          <w:sz w:val="28"/>
          <w:szCs w:val="28"/>
        </w:rPr>
        <w:t>Уповноваженим Верховної Ради України з прав людини</w:t>
      </w:r>
      <w:r>
        <w:rPr>
          <w:rFonts w:ascii="Times New Roman" w:hAnsi="Times New Roman" w:cs="Times New Roman"/>
          <w:sz w:val="28"/>
          <w:szCs w:val="28"/>
        </w:rPr>
        <w:t xml:space="preserve"> </w:t>
      </w:r>
      <w:r>
        <w:rPr>
          <w:rFonts w:ascii="Times New Roman" w:hAnsi="Times New Roman"/>
          <w:sz w:val="28"/>
          <w:szCs w:val="28"/>
          <w:lang w:eastAsia="ru-RU"/>
        </w:rPr>
        <w:t xml:space="preserve">без зауважень, </w:t>
      </w:r>
      <w:r w:rsidR="00CC7CB6">
        <w:rPr>
          <w:rFonts w:ascii="Times New Roman" w:hAnsi="Times New Roman" w:cs="Times New Roman"/>
          <w:sz w:val="28"/>
          <w:szCs w:val="28"/>
        </w:rPr>
        <w:t>Офісом Генерального прокурора</w:t>
      </w:r>
      <w:r w:rsidR="00DA2FEB">
        <w:rPr>
          <w:rFonts w:ascii="Times New Roman" w:hAnsi="Times New Roman" w:cs="Times New Roman"/>
          <w:sz w:val="28"/>
          <w:szCs w:val="28"/>
        </w:rPr>
        <w:t xml:space="preserve"> та Верховним Судом </w:t>
      </w:r>
      <w:r>
        <w:rPr>
          <w:rFonts w:ascii="Times New Roman" w:hAnsi="Times New Roman"/>
          <w:sz w:val="28"/>
          <w:szCs w:val="28"/>
          <w:lang w:eastAsia="ru-RU"/>
        </w:rPr>
        <w:t>із зауваженнями, які враховано частково, а також Державною судовою адміністрацією України із зауваженнями, які не враховано.</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p>
    <w:p w:rsidR="00D7692D" w:rsidRPr="00B23F4C" w:rsidRDefault="00D7692D" w:rsidP="00D7692D">
      <w:pPr>
        <w:pStyle w:val="a7"/>
        <w:ind w:firstLine="567"/>
        <w:jc w:val="both"/>
        <w:rPr>
          <w:rFonts w:ascii="Times New Roman" w:hAnsi="Times New Roman" w:cs="Times New Roman"/>
          <w:b/>
          <w:bCs/>
          <w:lang w:val="uk-UA"/>
        </w:rPr>
      </w:pPr>
      <w:r w:rsidRPr="00B23F4C">
        <w:rPr>
          <w:rFonts w:ascii="Times New Roman" w:hAnsi="Times New Roman" w:cs="Times New Roman"/>
          <w:b/>
          <w:bCs/>
          <w:lang w:val="uk-UA"/>
        </w:rPr>
        <w:t>8. Ризики та обмеження</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У проєкті Закону відсутні положення, які порушують принцип забезпечення рівних прав та можливостей жінок і чоловіків.</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Проєкт Закону не містить правил і процедур, які мають ризики вчинення корупційних правопорушень.</w:t>
      </w:r>
    </w:p>
    <w:p w:rsidR="00D7692D" w:rsidRPr="00B23F4C" w:rsidRDefault="00D7692D" w:rsidP="00D7692D">
      <w:pPr>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Проєкт Закону не потребує проведення громадської антикорупційної експертизи.</w:t>
      </w:r>
    </w:p>
    <w:p w:rsidR="00D7692D" w:rsidRPr="00B23F4C" w:rsidRDefault="00D7692D" w:rsidP="00D7692D">
      <w:pPr>
        <w:pStyle w:val="a7"/>
        <w:ind w:firstLine="567"/>
        <w:jc w:val="both"/>
        <w:rPr>
          <w:rFonts w:ascii="Times New Roman" w:hAnsi="Times New Roman" w:cs="Times New Roman"/>
          <w:lang w:val="uk-UA"/>
        </w:rPr>
      </w:pPr>
      <w:r w:rsidRPr="00B23F4C">
        <w:rPr>
          <w:rFonts w:ascii="Times New Roman" w:hAnsi="Times New Roman" w:cs="Times New Roman"/>
          <w:lang w:val="uk-UA"/>
        </w:rPr>
        <w:t>У проєкті Закону відсутні положення, які містять ознаки дискримінації.</w:t>
      </w:r>
    </w:p>
    <w:p w:rsidR="00D7692D" w:rsidRPr="00B23F4C" w:rsidRDefault="00D7692D" w:rsidP="00D7692D">
      <w:pPr>
        <w:pStyle w:val="a7"/>
        <w:ind w:firstLine="567"/>
        <w:jc w:val="both"/>
        <w:rPr>
          <w:rFonts w:ascii="Times New Roman" w:hAnsi="Times New Roman" w:cs="Times New Roman"/>
          <w:lang w:val="uk-UA"/>
        </w:rPr>
      </w:pPr>
      <w:r w:rsidRPr="00B23F4C">
        <w:rPr>
          <w:rFonts w:ascii="Times New Roman" w:hAnsi="Times New Roman" w:cs="Times New Roman"/>
          <w:lang w:val="uk-UA"/>
        </w:rPr>
        <w:t>Проєкт Закону не потребує проведення громадської антидискримінаційної експертизи.</w:t>
      </w: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b/>
          <w:bCs/>
          <w:kern w:val="1"/>
          <w:sz w:val="28"/>
          <w:szCs w:val="28"/>
        </w:rPr>
      </w:pPr>
    </w:p>
    <w:p w:rsidR="00D7692D" w:rsidRPr="00B23F4C" w:rsidRDefault="00D7692D" w:rsidP="00D7692D">
      <w:pPr>
        <w:widowControl w:val="0"/>
        <w:suppressAutoHyphens/>
        <w:spacing w:after="0" w:line="240" w:lineRule="auto"/>
        <w:ind w:firstLine="567"/>
        <w:jc w:val="both"/>
        <w:rPr>
          <w:rFonts w:ascii="Times New Roman" w:eastAsia="Times New Roman" w:hAnsi="Times New Roman" w:cs="Times New Roman"/>
          <w:b/>
          <w:bCs/>
          <w:kern w:val="1"/>
          <w:sz w:val="28"/>
          <w:szCs w:val="28"/>
        </w:rPr>
      </w:pPr>
      <w:r w:rsidRPr="00B23F4C">
        <w:rPr>
          <w:rFonts w:ascii="Times New Roman" w:hAnsi="Times New Roman" w:cs="Times New Roman"/>
          <w:b/>
          <w:bCs/>
          <w:kern w:val="1"/>
          <w:sz w:val="28"/>
          <w:szCs w:val="28"/>
        </w:rPr>
        <w:t>9. Підстава розроблення проєкту акта</w:t>
      </w:r>
    </w:p>
    <w:p w:rsidR="00D7692D" w:rsidRPr="00B23F4C" w:rsidRDefault="00D7692D" w:rsidP="00D7692D">
      <w:pPr>
        <w:spacing w:after="0" w:line="240" w:lineRule="auto"/>
        <w:ind w:firstLine="567"/>
        <w:jc w:val="both"/>
        <w:rPr>
          <w:rFonts w:ascii="Times New Roman" w:eastAsia="Times New Roman" w:hAnsi="Times New Roman" w:cs="Times New Roman"/>
          <w:kern w:val="1"/>
          <w:sz w:val="28"/>
          <w:szCs w:val="28"/>
        </w:rPr>
      </w:pPr>
      <w:r w:rsidRPr="00B23F4C">
        <w:rPr>
          <w:rFonts w:ascii="Times New Roman" w:hAnsi="Times New Roman" w:cs="Times New Roman"/>
          <w:kern w:val="1"/>
          <w:sz w:val="28"/>
          <w:szCs w:val="28"/>
        </w:rPr>
        <w:t xml:space="preserve">Проєкт Закону розроблено </w:t>
      </w:r>
      <w:r w:rsidRPr="00B23F4C">
        <w:rPr>
          <w:rFonts w:ascii="Times New Roman" w:hAnsi="Times New Roman" w:cs="Times New Roman"/>
          <w:sz w:val="28"/>
          <w:szCs w:val="28"/>
        </w:rPr>
        <w:t>на виконання рішень Європейського суду з метою приведення деяких законодавчих актів у відповідність до європейських стандартів.</w:t>
      </w:r>
    </w:p>
    <w:p w:rsidR="00D7692D" w:rsidRPr="00B23F4C" w:rsidRDefault="00D7692D" w:rsidP="00D7692D">
      <w:pPr>
        <w:shd w:val="clear" w:color="auto" w:fill="FFFFFF"/>
        <w:spacing w:after="0" w:line="240" w:lineRule="auto"/>
        <w:ind w:firstLine="567"/>
        <w:jc w:val="both"/>
        <w:rPr>
          <w:rFonts w:ascii="Times New Roman" w:eastAsia="Times New Roman" w:hAnsi="Times New Roman" w:cs="Times New Roman"/>
          <w:sz w:val="28"/>
          <w:szCs w:val="28"/>
        </w:rPr>
      </w:pPr>
    </w:p>
    <w:p w:rsidR="00D7692D" w:rsidRPr="00B23F4C" w:rsidRDefault="00D7692D" w:rsidP="00D7692D">
      <w:pPr>
        <w:shd w:val="clear" w:color="auto" w:fill="FFFFFF"/>
        <w:spacing w:after="0" w:line="240" w:lineRule="auto"/>
        <w:ind w:firstLine="567"/>
        <w:jc w:val="both"/>
        <w:rPr>
          <w:rFonts w:ascii="Times New Roman" w:eastAsia="Times New Roman" w:hAnsi="Times New Roman" w:cs="Times New Roman"/>
          <w:sz w:val="28"/>
          <w:szCs w:val="28"/>
        </w:rPr>
      </w:pPr>
      <w:r w:rsidRPr="00B23F4C">
        <w:rPr>
          <w:rFonts w:ascii="Times New Roman" w:hAnsi="Times New Roman" w:cs="Times New Roman"/>
          <w:sz w:val="28"/>
          <w:szCs w:val="28"/>
        </w:rPr>
        <w:t>Додаток: прогноз впливу реалізації проєкту Закону на ключові інтереси  заінтересованих сторін на 1 арк. в 1 прим.</w:t>
      </w:r>
      <w:r>
        <w:rPr>
          <w:rFonts w:ascii="Times New Roman" w:hAnsi="Times New Roman" w:cs="Times New Roman"/>
          <w:sz w:val="28"/>
          <w:szCs w:val="28"/>
        </w:rPr>
        <w:t>, фінансово-економічні розрахунки на 8 арк. в 1 прим.</w:t>
      </w:r>
    </w:p>
    <w:p w:rsidR="00D7692D" w:rsidRPr="00B23F4C" w:rsidRDefault="00D7692D" w:rsidP="00D7692D">
      <w:pPr>
        <w:shd w:val="clear" w:color="auto" w:fill="FFFFFF"/>
        <w:spacing w:after="0" w:line="240" w:lineRule="auto"/>
        <w:ind w:firstLine="567"/>
        <w:jc w:val="both"/>
        <w:rPr>
          <w:rFonts w:ascii="Times New Roman" w:eastAsia="Times New Roman" w:hAnsi="Times New Roman" w:cs="Times New Roman"/>
          <w:sz w:val="28"/>
          <w:szCs w:val="28"/>
        </w:rPr>
      </w:pPr>
    </w:p>
    <w:p w:rsidR="00D7692D" w:rsidRPr="00B23F4C" w:rsidRDefault="00D7692D" w:rsidP="00D7692D">
      <w:pPr>
        <w:shd w:val="clear" w:color="auto" w:fill="FFFFFF"/>
        <w:spacing w:after="0" w:line="240" w:lineRule="auto"/>
        <w:ind w:firstLine="567"/>
        <w:jc w:val="both"/>
        <w:rPr>
          <w:rFonts w:ascii="Times New Roman" w:eastAsia="Times New Roman" w:hAnsi="Times New Roman" w:cs="Times New Roman"/>
          <w:sz w:val="28"/>
          <w:szCs w:val="28"/>
        </w:rPr>
      </w:pPr>
    </w:p>
    <w:p w:rsidR="00D7692D" w:rsidRPr="00B23F4C" w:rsidRDefault="00D7692D" w:rsidP="00D7692D">
      <w:pPr>
        <w:spacing w:after="0" w:line="240" w:lineRule="auto"/>
        <w:jc w:val="both"/>
        <w:outlineLvl w:val="2"/>
        <w:rPr>
          <w:rFonts w:ascii="Times New Roman" w:hAnsi="Times New Roman" w:cs="Times New Roman"/>
          <w:sz w:val="28"/>
          <w:szCs w:val="28"/>
        </w:rPr>
      </w:pPr>
      <w:r w:rsidRPr="00B23F4C">
        <w:rPr>
          <w:rFonts w:ascii="Times New Roman" w:hAnsi="Times New Roman" w:cs="Times New Roman"/>
          <w:b/>
          <w:bCs/>
          <w:sz w:val="28"/>
          <w:szCs w:val="28"/>
        </w:rPr>
        <w:t>Міністр юстиції України                                                   Денис МАЛЮСЬКА</w:t>
      </w:r>
    </w:p>
    <w:p w:rsidR="00D7692D" w:rsidRPr="00B23F4C" w:rsidRDefault="00D7692D" w:rsidP="00D7692D">
      <w:pPr>
        <w:spacing w:after="0" w:line="240" w:lineRule="auto"/>
        <w:rPr>
          <w:rFonts w:ascii="Times New Roman" w:eastAsia="Times New Roman" w:hAnsi="Times New Roman" w:cs="Times New Roman"/>
          <w:sz w:val="28"/>
          <w:szCs w:val="28"/>
        </w:rPr>
      </w:pPr>
      <w:r w:rsidRPr="00B23F4C">
        <w:rPr>
          <w:sz w:val="28"/>
          <w:szCs w:val="28"/>
        </w:rPr>
        <w:br w:type="page"/>
      </w:r>
    </w:p>
    <w:p w:rsidR="00D7692D" w:rsidRPr="00B23F4C" w:rsidRDefault="00D7692D" w:rsidP="00D7692D">
      <w:pPr>
        <w:spacing w:after="0" w:line="240" w:lineRule="auto"/>
        <w:ind w:firstLine="426"/>
        <w:jc w:val="center"/>
        <w:rPr>
          <w:rFonts w:ascii="Times New Roman" w:eastAsia="Times New Roman" w:hAnsi="Times New Roman" w:cs="Times New Roman"/>
          <w:b/>
          <w:bCs/>
          <w:sz w:val="28"/>
          <w:szCs w:val="28"/>
        </w:rPr>
        <w:sectPr w:rsidR="00D7692D" w:rsidRPr="00B23F4C" w:rsidSect="00F02BBF">
          <w:headerReference w:type="default" r:id="rId7"/>
          <w:footerReference w:type="default" r:id="rId8"/>
          <w:pgSz w:w="11900" w:h="16840"/>
          <w:pgMar w:top="1134" w:right="567" w:bottom="851" w:left="1701" w:header="426" w:footer="0" w:gutter="0"/>
          <w:cols w:space="720"/>
          <w:titlePg/>
        </w:sectPr>
      </w:pPr>
      <w:bookmarkStart w:id="2" w:name="n114"/>
      <w:bookmarkEnd w:id="2"/>
    </w:p>
    <w:p w:rsidR="00D7692D" w:rsidRPr="00B23F4C" w:rsidRDefault="00D7692D" w:rsidP="00D7692D">
      <w:pPr>
        <w:spacing w:after="0" w:line="240" w:lineRule="auto"/>
        <w:ind w:firstLine="426"/>
        <w:jc w:val="center"/>
        <w:rPr>
          <w:rFonts w:ascii="Times New Roman" w:hAnsi="Times New Roman"/>
          <w:b/>
          <w:sz w:val="26"/>
          <w:szCs w:val="26"/>
        </w:rPr>
      </w:pPr>
      <w:r w:rsidRPr="00B23F4C">
        <w:rPr>
          <w:rFonts w:ascii="Times New Roman" w:eastAsia="Times New Roman" w:hAnsi="Times New Roman" w:cs="Times New Roman"/>
          <w:b/>
          <w:bCs/>
          <w:sz w:val="26"/>
          <w:szCs w:val="26"/>
        </w:rPr>
        <w:lastRenderedPageBreak/>
        <w:t>ПРОГНОЗ ВПЛИВУ </w:t>
      </w:r>
      <w:r w:rsidRPr="00B23F4C">
        <w:rPr>
          <w:rFonts w:ascii="Times New Roman" w:eastAsia="Times New Roman" w:hAnsi="Times New Roman" w:cs="Times New Roman"/>
          <w:sz w:val="26"/>
          <w:szCs w:val="26"/>
        </w:rPr>
        <w:br/>
      </w:r>
      <w:r w:rsidRPr="00B23F4C">
        <w:rPr>
          <w:rFonts w:ascii="Times New Roman" w:eastAsia="Times New Roman" w:hAnsi="Times New Roman" w:cs="Times New Roman"/>
          <w:b/>
          <w:bCs/>
          <w:sz w:val="26"/>
          <w:szCs w:val="26"/>
        </w:rPr>
        <w:t>реалізації проєкту Закону України «</w:t>
      </w:r>
      <w:r w:rsidR="00A1502E" w:rsidRPr="00B23F4C">
        <w:rPr>
          <w:rFonts w:ascii="Times New Roman" w:hAnsi="Times New Roman" w:cs="Times New Roman"/>
          <w:b/>
          <w:bCs/>
          <w:sz w:val="28"/>
          <w:szCs w:val="28"/>
        </w:rPr>
        <w:t xml:space="preserve">Про внесення змін до </w:t>
      </w:r>
      <w:r w:rsidR="00A1502E" w:rsidRPr="004F615E">
        <w:rPr>
          <w:rFonts w:ascii="Times New Roman" w:hAnsi="Times New Roman" w:cs="Times New Roman"/>
          <w:b/>
          <w:sz w:val="28"/>
          <w:szCs w:val="28"/>
        </w:rPr>
        <w:t>Кодексу України про адміністративні правопорушення, Кримінального кодексу України</w:t>
      </w:r>
      <w:r w:rsidR="00A1502E" w:rsidRPr="004F615E">
        <w:rPr>
          <w:rFonts w:ascii="Times New Roman" w:hAnsi="Times New Roman" w:cs="Times New Roman"/>
          <w:b/>
          <w:bCs/>
          <w:sz w:val="28"/>
          <w:szCs w:val="28"/>
        </w:rPr>
        <w:t xml:space="preserve"> та </w:t>
      </w:r>
      <w:r w:rsidR="00A1502E" w:rsidRPr="004F615E">
        <w:rPr>
          <w:rFonts w:ascii="Times New Roman" w:hAnsi="Times New Roman" w:cs="Times New Roman"/>
          <w:b/>
          <w:sz w:val="28"/>
          <w:szCs w:val="28"/>
        </w:rPr>
        <w:t>Кримінального процесуального кодексу України щ</w:t>
      </w:r>
      <w:r w:rsidR="00A1502E" w:rsidRPr="00B23F4C">
        <w:rPr>
          <w:rFonts w:ascii="Times New Roman" w:hAnsi="Times New Roman" w:cs="Times New Roman"/>
          <w:b/>
          <w:bCs/>
          <w:sz w:val="28"/>
          <w:szCs w:val="28"/>
        </w:rPr>
        <w:t>одо виконання рішень Європейського суду з прав людини</w:t>
      </w:r>
      <w:r w:rsidRPr="00B23F4C">
        <w:rPr>
          <w:rFonts w:ascii="Times New Roman" w:hAnsi="Times New Roman" w:cs="Times New Roman"/>
          <w:b/>
          <w:sz w:val="26"/>
          <w:szCs w:val="26"/>
        </w:rPr>
        <w:t>»</w:t>
      </w:r>
    </w:p>
    <w:p w:rsidR="00D7692D" w:rsidRPr="00B23F4C" w:rsidRDefault="00D7692D" w:rsidP="00D7692D">
      <w:pPr>
        <w:spacing w:after="0" w:line="240" w:lineRule="auto"/>
        <w:ind w:firstLine="426"/>
        <w:jc w:val="center"/>
        <w:rPr>
          <w:rFonts w:ascii="Times New Roman" w:hAnsi="Times New Roman"/>
          <w:b/>
          <w:sz w:val="26"/>
          <w:szCs w:val="26"/>
        </w:rPr>
      </w:pPr>
    </w:p>
    <w:p w:rsidR="00D7692D" w:rsidRPr="00B23F4C" w:rsidRDefault="00D7692D" w:rsidP="00D7692D">
      <w:pPr>
        <w:widowControl w:val="0"/>
        <w:suppressAutoHyphens/>
        <w:spacing w:after="0" w:line="240" w:lineRule="auto"/>
        <w:ind w:firstLine="708"/>
        <w:jc w:val="both"/>
        <w:rPr>
          <w:rFonts w:ascii="Times New Roman" w:hAnsi="Times New Roman" w:cs="Times New Roman"/>
          <w:kern w:val="1"/>
          <w:sz w:val="26"/>
          <w:szCs w:val="26"/>
          <w:lang w:eastAsia="hi-IN" w:bidi="hi-IN"/>
        </w:rPr>
      </w:pPr>
      <w:bookmarkStart w:id="3" w:name="n115"/>
      <w:bookmarkEnd w:id="3"/>
      <w:r w:rsidRPr="00B23F4C">
        <w:rPr>
          <w:rFonts w:ascii="Times New Roman" w:hAnsi="Times New Roman" w:cs="Times New Roman"/>
          <w:kern w:val="1"/>
          <w:sz w:val="26"/>
          <w:szCs w:val="26"/>
          <w:lang w:eastAsia="hi-IN" w:bidi="hi-IN"/>
        </w:rPr>
        <w:t xml:space="preserve">Проєкт Закону </w:t>
      </w:r>
      <w:r w:rsidRPr="00A1502E">
        <w:rPr>
          <w:rFonts w:ascii="Times New Roman" w:hAnsi="Times New Roman" w:cs="Times New Roman"/>
          <w:kern w:val="1"/>
          <w:sz w:val="26"/>
          <w:szCs w:val="26"/>
          <w:lang w:eastAsia="hi-IN" w:bidi="hi-IN"/>
        </w:rPr>
        <w:t>України «</w:t>
      </w:r>
      <w:r w:rsidR="00A1502E" w:rsidRPr="00A1502E">
        <w:rPr>
          <w:rFonts w:ascii="Times New Roman" w:hAnsi="Times New Roman" w:cs="Times New Roman"/>
          <w:bCs/>
          <w:sz w:val="26"/>
          <w:szCs w:val="26"/>
        </w:rPr>
        <w:t xml:space="preserve">Про внесення змін до </w:t>
      </w:r>
      <w:r w:rsidR="00A1502E" w:rsidRPr="00A1502E">
        <w:rPr>
          <w:rFonts w:ascii="Times New Roman" w:hAnsi="Times New Roman" w:cs="Times New Roman"/>
          <w:sz w:val="26"/>
          <w:szCs w:val="26"/>
        </w:rPr>
        <w:t>Кодексу України про адміністративні правопорушення, Кримінального кодексу України</w:t>
      </w:r>
      <w:r w:rsidR="00A1502E" w:rsidRPr="00A1502E">
        <w:rPr>
          <w:rFonts w:ascii="Times New Roman" w:hAnsi="Times New Roman" w:cs="Times New Roman"/>
          <w:bCs/>
          <w:sz w:val="26"/>
          <w:szCs w:val="26"/>
        </w:rPr>
        <w:t xml:space="preserve"> та </w:t>
      </w:r>
      <w:r w:rsidR="00A1502E" w:rsidRPr="00A1502E">
        <w:rPr>
          <w:rFonts w:ascii="Times New Roman" w:hAnsi="Times New Roman" w:cs="Times New Roman"/>
          <w:sz w:val="26"/>
          <w:szCs w:val="26"/>
        </w:rPr>
        <w:t>Кримінального процесуального кодексу України щ</w:t>
      </w:r>
      <w:r w:rsidR="00A1502E" w:rsidRPr="00A1502E">
        <w:rPr>
          <w:rFonts w:ascii="Times New Roman" w:hAnsi="Times New Roman" w:cs="Times New Roman"/>
          <w:bCs/>
          <w:sz w:val="26"/>
          <w:szCs w:val="26"/>
        </w:rPr>
        <w:t>одо виконання рішень Європейського суду з прав людини</w:t>
      </w:r>
      <w:r w:rsidRPr="00A1502E">
        <w:rPr>
          <w:rFonts w:ascii="Times New Roman" w:hAnsi="Times New Roman" w:cs="Times New Roman"/>
          <w:sz w:val="26"/>
          <w:szCs w:val="26"/>
        </w:rPr>
        <w:t>»</w:t>
      </w:r>
      <w:r w:rsidRPr="00A1502E">
        <w:rPr>
          <w:rFonts w:ascii="Times New Roman" w:hAnsi="Times New Roman" w:cs="Times New Roman"/>
          <w:kern w:val="1"/>
          <w:sz w:val="26"/>
          <w:szCs w:val="26"/>
          <w:lang w:eastAsia="hi-IN" w:bidi="hi-IN"/>
        </w:rPr>
        <w:t xml:space="preserve"> (далі – проєкт Закону) розроблено Міністерством юстиції України у зв’язку з необхідністю в</w:t>
      </w:r>
      <w:r w:rsidRPr="00A1502E">
        <w:rPr>
          <w:rFonts w:ascii="Times New Roman" w:hAnsi="Times New Roman"/>
          <w:sz w:val="26"/>
          <w:szCs w:val="26"/>
        </w:rPr>
        <w:t xml:space="preserve">регулювати питання, які суперечать європейським стандартам </w:t>
      </w:r>
      <w:r w:rsidRPr="00A1502E">
        <w:rPr>
          <w:rFonts w:ascii="Times New Roman" w:hAnsi="Times New Roman" w:cs="Times New Roman"/>
          <w:kern w:val="1"/>
          <w:sz w:val="26"/>
          <w:szCs w:val="26"/>
          <w:lang w:eastAsia="hi-IN" w:bidi="hi-IN"/>
        </w:rPr>
        <w:t>з урахуванням практики та на виконання рішень Європейського суду з прав людини</w:t>
      </w:r>
      <w:r w:rsidRPr="00A1502E">
        <w:rPr>
          <w:rFonts w:ascii="Times New Roman" w:hAnsi="Times New Roman"/>
          <w:sz w:val="26"/>
          <w:szCs w:val="26"/>
        </w:rPr>
        <w:t xml:space="preserve"> щодо застосування положень Кодексу України</w:t>
      </w:r>
      <w:r w:rsidRPr="00B23F4C">
        <w:rPr>
          <w:rFonts w:ascii="Times New Roman" w:hAnsi="Times New Roman"/>
          <w:sz w:val="26"/>
          <w:szCs w:val="26"/>
        </w:rPr>
        <w:t xml:space="preserve"> про адміністративні правопорушення, Кримінального процесуального кодексу України, Кримінального кодексу України.</w:t>
      </w:r>
    </w:p>
    <w:p w:rsidR="00D7692D" w:rsidRPr="00B23F4C" w:rsidRDefault="00D7692D" w:rsidP="00D7692D">
      <w:pPr>
        <w:widowControl w:val="0"/>
        <w:suppressAutoHyphens/>
        <w:spacing w:after="0" w:line="240" w:lineRule="auto"/>
        <w:ind w:firstLine="567"/>
        <w:jc w:val="both"/>
        <w:rPr>
          <w:rFonts w:ascii="Times New Roman" w:hAnsi="Times New Roman" w:cs="Times New Roman"/>
          <w:bCs/>
          <w:sz w:val="26"/>
          <w:szCs w:val="26"/>
        </w:rPr>
      </w:pPr>
      <w:r w:rsidRPr="00B23F4C">
        <w:rPr>
          <w:rFonts w:ascii="Times New Roman" w:eastAsia="Times New Roman" w:hAnsi="Times New Roman" w:cs="Times New Roman"/>
          <w:sz w:val="26"/>
          <w:szCs w:val="26"/>
        </w:rPr>
        <w:t>Проєктом Закону пропонується, зокрема:</w:t>
      </w:r>
      <w:r w:rsidRPr="00B23F4C">
        <w:rPr>
          <w:rFonts w:ascii="Times New Roman" w:hAnsi="Times New Roman" w:cs="Times New Roman"/>
          <w:kern w:val="1"/>
          <w:sz w:val="26"/>
          <w:szCs w:val="26"/>
          <w:lang w:eastAsia="hi-IN" w:bidi="hi-IN"/>
        </w:rPr>
        <w:t xml:space="preserve"> </w:t>
      </w:r>
      <w:r w:rsidRPr="00B23F4C">
        <w:rPr>
          <w:rFonts w:ascii="Times New Roman" w:hAnsi="Times New Roman" w:cs="Times New Roman"/>
          <w:bCs/>
          <w:sz w:val="26"/>
          <w:szCs w:val="26"/>
        </w:rPr>
        <w:t>привести положення деяких законодавчих актів</w:t>
      </w:r>
      <w:r w:rsidRPr="00B23F4C">
        <w:rPr>
          <w:rFonts w:ascii="Times New Roman" w:hAnsi="Times New Roman" w:cs="Times New Roman"/>
          <w:sz w:val="26"/>
          <w:szCs w:val="26"/>
        </w:rPr>
        <w:t xml:space="preserve"> у відповідність та на виконання рішень Європейського суду.</w:t>
      </w:r>
    </w:p>
    <w:p w:rsidR="00D7692D" w:rsidRPr="00B23F4C" w:rsidRDefault="00D7692D" w:rsidP="00D7692D">
      <w:pPr>
        <w:shd w:val="clear" w:color="auto" w:fill="FFFFFF"/>
        <w:spacing w:after="0" w:line="240" w:lineRule="auto"/>
        <w:ind w:firstLine="567"/>
        <w:jc w:val="both"/>
        <w:textAlignment w:val="baseline"/>
        <w:rPr>
          <w:rFonts w:ascii="Times New Roman" w:hAnsi="Times New Roman"/>
          <w:sz w:val="26"/>
          <w:szCs w:val="26"/>
        </w:rPr>
      </w:pPr>
    </w:p>
    <w:tbl>
      <w:tblPr>
        <w:tblW w:w="5000" w:type="pct"/>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4A0" w:firstRow="1" w:lastRow="0" w:firstColumn="1" w:lastColumn="0" w:noHBand="0" w:noVBand="1"/>
      </w:tblPr>
      <w:tblGrid>
        <w:gridCol w:w="1691"/>
        <w:gridCol w:w="3560"/>
        <w:gridCol w:w="1717"/>
        <w:gridCol w:w="1534"/>
        <w:gridCol w:w="6222"/>
      </w:tblGrid>
      <w:tr w:rsidR="00D7692D" w:rsidRPr="00B23F4C" w:rsidTr="0071482C">
        <w:trPr>
          <w:trHeight w:val="1058"/>
        </w:trPr>
        <w:tc>
          <w:tcPr>
            <w:tcW w:w="574" w:type="pct"/>
            <w:vMerge w:val="restart"/>
            <w:tcBorders>
              <w:top w:val="single" w:sz="4" w:space="0" w:color="auto"/>
              <w:left w:val="single" w:sz="4" w:space="0" w:color="auto"/>
              <w:bottom w:val="single" w:sz="4" w:space="0" w:color="auto"/>
              <w:right w:val="single" w:sz="4" w:space="0" w:color="auto"/>
            </w:tcBorders>
            <w:hideMark/>
          </w:tcPr>
          <w:p w:rsidR="00D7692D" w:rsidRPr="00B23F4C" w:rsidRDefault="00D7692D" w:rsidP="0071482C">
            <w:pPr>
              <w:spacing w:after="0" w:line="240" w:lineRule="auto"/>
              <w:jc w:val="center"/>
              <w:textAlignment w:val="baseline"/>
              <w:rPr>
                <w:rFonts w:ascii="Times New Roman" w:eastAsia="Times New Roman" w:hAnsi="Times New Roman" w:cs="Times New Roman"/>
                <w:sz w:val="26"/>
                <w:szCs w:val="26"/>
              </w:rPr>
            </w:pPr>
            <w:bookmarkStart w:id="4" w:name="n116"/>
            <w:bookmarkStart w:id="5" w:name="n117"/>
            <w:bookmarkEnd w:id="4"/>
            <w:bookmarkEnd w:id="5"/>
            <w:r w:rsidRPr="00B23F4C">
              <w:rPr>
                <w:rFonts w:ascii="Times New Roman" w:eastAsia="Times New Roman" w:hAnsi="Times New Roman" w:cs="Times New Roman"/>
                <w:sz w:val="26"/>
                <w:szCs w:val="26"/>
              </w:rPr>
              <w:t>Заінтересована сторона</w:t>
            </w:r>
          </w:p>
        </w:tc>
        <w:tc>
          <w:tcPr>
            <w:tcW w:w="1209" w:type="pct"/>
            <w:vMerge w:val="restart"/>
            <w:tcBorders>
              <w:top w:val="single" w:sz="4" w:space="0" w:color="auto"/>
              <w:left w:val="single" w:sz="4" w:space="0" w:color="auto"/>
              <w:bottom w:val="single" w:sz="4" w:space="0" w:color="auto"/>
              <w:right w:val="single" w:sz="4" w:space="0" w:color="auto"/>
            </w:tcBorders>
            <w:hideMark/>
          </w:tcPr>
          <w:p w:rsidR="00D7692D" w:rsidRPr="00B23F4C" w:rsidRDefault="00D7692D" w:rsidP="0071482C">
            <w:pPr>
              <w:spacing w:before="90" w:after="90" w:line="240" w:lineRule="auto"/>
              <w:jc w:val="center"/>
              <w:textAlignment w:val="baseline"/>
              <w:rPr>
                <w:rFonts w:ascii="Times New Roman" w:eastAsia="Times New Roman" w:hAnsi="Times New Roman" w:cs="Times New Roman"/>
                <w:sz w:val="26"/>
                <w:szCs w:val="26"/>
              </w:rPr>
            </w:pPr>
            <w:r w:rsidRPr="00B23F4C">
              <w:rPr>
                <w:rFonts w:ascii="Times New Roman" w:eastAsia="Times New Roman" w:hAnsi="Times New Roman" w:cs="Times New Roman"/>
                <w:sz w:val="26"/>
                <w:szCs w:val="26"/>
              </w:rPr>
              <w:t>Ключовий інтерес</w:t>
            </w:r>
          </w:p>
        </w:tc>
        <w:tc>
          <w:tcPr>
            <w:tcW w:w="1104" w:type="pct"/>
            <w:gridSpan w:val="2"/>
            <w:tcBorders>
              <w:top w:val="single" w:sz="4" w:space="0" w:color="auto"/>
              <w:left w:val="single" w:sz="4" w:space="0" w:color="auto"/>
              <w:bottom w:val="single" w:sz="4" w:space="0" w:color="auto"/>
              <w:right w:val="single" w:sz="4" w:space="0" w:color="auto"/>
            </w:tcBorders>
            <w:hideMark/>
          </w:tcPr>
          <w:p w:rsidR="00D7692D" w:rsidRPr="00B23F4C" w:rsidRDefault="00D7692D" w:rsidP="0071482C">
            <w:pPr>
              <w:spacing w:before="90" w:after="90" w:line="240" w:lineRule="auto"/>
              <w:jc w:val="center"/>
              <w:textAlignment w:val="baseline"/>
              <w:rPr>
                <w:rFonts w:ascii="Times New Roman" w:eastAsia="Times New Roman" w:hAnsi="Times New Roman" w:cs="Times New Roman"/>
                <w:sz w:val="26"/>
                <w:szCs w:val="26"/>
              </w:rPr>
            </w:pPr>
            <w:r w:rsidRPr="00B23F4C">
              <w:rPr>
                <w:rFonts w:ascii="Times New Roman" w:eastAsia="Times New Roman" w:hAnsi="Times New Roman" w:cs="Times New Roman"/>
                <w:sz w:val="26"/>
                <w:szCs w:val="26"/>
              </w:rPr>
              <w:t>Очікуваний (позитивний чи негативний) вплив на ключовий інтерес із зазначенням передбачуваної динаміки змін основних показників </w:t>
            </w:r>
            <w:r w:rsidRPr="00B23F4C">
              <w:rPr>
                <w:rFonts w:ascii="Times New Roman" w:eastAsia="Times New Roman" w:hAnsi="Times New Roman" w:cs="Times New Roman"/>
                <w:sz w:val="26"/>
                <w:szCs w:val="26"/>
              </w:rPr>
              <w:br/>
              <w:t>(у числовому або якісному вимірі)</w:t>
            </w:r>
          </w:p>
        </w:tc>
        <w:tc>
          <w:tcPr>
            <w:tcW w:w="2113" w:type="pct"/>
            <w:vMerge w:val="restart"/>
            <w:tcBorders>
              <w:top w:val="single" w:sz="4" w:space="0" w:color="auto"/>
              <w:left w:val="single" w:sz="4" w:space="0" w:color="auto"/>
              <w:bottom w:val="single" w:sz="4" w:space="0" w:color="auto"/>
              <w:right w:val="single" w:sz="4" w:space="0" w:color="auto"/>
            </w:tcBorders>
            <w:hideMark/>
          </w:tcPr>
          <w:p w:rsidR="00D7692D" w:rsidRPr="00B23F4C" w:rsidRDefault="00D7692D" w:rsidP="0071482C">
            <w:pPr>
              <w:spacing w:after="0" w:line="240" w:lineRule="auto"/>
              <w:jc w:val="center"/>
              <w:textAlignment w:val="baseline"/>
              <w:rPr>
                <w:rFonts w:ascii="Times New Roman" w:eastAsia="Times New Roman" w:hAnsi="Times New Roman" w:cs="Times New Roman"/>
                <w:sz w:val="26"/>
                <w:szCs w:val="26"/>
              </w:rPr>
            </w:pPr>
            <w:r w:rsidRPr="00B23F4C">
              <w:rPr>
                <w:rFonts w:ascii="Times New Roman" w:eastAsia="Times New Roman" w:hAnsi="Times New Roman" w:cs="Times New Roman"/>
                <w:sz w:val="26"/>
                <w:szCs w:val="26"/>
              </w:rPr>
              <w:t xml:space="preserve">Пояснення </w:t>
            </w:r>
          </w:p>
          <w:p w:rsidR="00D7692D" w:rsidRPr="00B23F4C" w:rsidRDefault="00D7692D" w:rsidP="0071482C">
            <w:pPr>
              <w:spacing w:after="0" w:line="240" w:lineRule="auto"/>
              <w:ind w:right="142"/>
              <w:jc w:val="center"/>
              <w:textAlignment w:val="baseline"/>
              <w:rPr>
                <w:rFonts w:ascii="Times New Roman" w:eastAsia="Times New Roman" w:hAnsi="Times New Roman" w:cs="Times New Roman"/>
                <w:sz w:val="26"/>
                <w:szCs w:val="26"/>
              </w:rPr>
            </w:pPr>
            <w:r w:rsidRPr="00B23F4C">
              <w:rPr>
                <w:rFonts w:ascii="Times New Roman" w:eastAsia="Times New Roman" w:hAnsi="Times New Roman" w:cs="Times New Roman"/>
                <w:sz w:val="26"/>
                <w:szCs w:val="26"/>
              </w:rPr>
              <w:t>(чому саме реалізація акта призведе до очікуваного впливу)</w:t>
            </w:r>
          </w:p>
        </w:tc>
      </w:tr>
      <w:tr w:rsidR="00D7692D" w:rsidRPr="00B23F4C" w:rsidTr="0071482C">
        <w:trPr>
          <w:trHeight w:val="379"/>
        </w:trPr>
        <w:tc>
          <w:tcPr>
            <w:tcW w:w="574" w:type="pct"/>
            <w:vMerge/>
            <w:tcBorders>
              <w:top w:val="single" w:sz="4" w:space="0" w:color="auto"/>
              <w:left w:val="single" w:sz="4" w:space="0" w:color="auto"/>
              <w:bottom w:val="single" w:sz="4" w:space="0" w:color="auto"/>
              <w:right w:val="single" w:sz="4" w:space="0" w:color="auto"/>
            </w:tcBorders>
            <w:vAlign w:val="center"/>
            <w:hideMark/>
          </w:tcPr>
          <w:p w:rsidR="00D7692D" w:rsidRPr="00B23F4C" w:rsidRDefault="00D7692D" w:rsidP="0071482C">
            <w:pPr>
              <w:spacing w:after="0" w:line="240" w:lineRule="auto"/>
              <w:rPr>
                <w:rFonts w:ascii="Times New Roman" w:eastAsia="Times New Roman" w:hAnsi="Times New Roman" w:cs="Times New Roman"/>
                <w:sz w:val="26"/>
                <w:szCs w:val="26"/>
              </w:rPr>
            </w:pPr>
          </w:p>
        </w:tc>
        <w:tc>
          <w:tcPr>
            <w:tcW w:w="1209" w:type="pct"/>
            <w:vMerge/>
            <w:tcBorders>
              <w:top w:val="single" w:sz="4" w:space="0" w:color="auto"/>
              <w:left w:val="single" w:sz="4" w:space="0" w:color="auto"/>
              <w:bottom w:val="single" w:sz="4" w:space="0" w:color="auto"/>
              <w:right w:val="single" w:sz="4" w:space="0" w:color="auto"/>
            </w:tcBorders>
            <w:vAlign w:val="center"/>
            <w:hideMark/>
          </w:tcPr>
          <w:p w:rsidR="00D7692D" w:rsidRPr="00B23F4C" w:rsidRDefault="00D7692D" w:rsidP="0071482C">
            <w:pPr>
              <w:spacing w:after="0" w:line="240" w:lineRule="auto"/>
              <w:rPr>
                <w:rFonts w:ascii="Times New Roman" w:eastAsia="Times New Roman" w:hAnsi="Times New Roman" w:cs="Times New Roman"/>
                <w:sz w:val="26"/>
                <w:szCs w:val="26"/>
              </w:rPr>
            </w:pPr>
          </w:p>
        </w:tc>
        <w:tc>
          <w:tcPr>
            <w:tcW w:w="583" w:type="pct"/>
            <w:tcBorders>
              <w:top w:val="single" w:sz="4" w:space="0" w:color="auto"/>
              <w:left w:val="single" w:sz="4" w:space="0" w:color="auto"/>
              <w:bottom w:val="single" w:sz="4" w:space="0" w:color="auto"/>
              <w:right w:val="single" w:sz="4" w:space="0" w:color="000000"/>
            </w:tcBorders>
            <w:hideMark/>
          </w:tcPr>
          <w:p w:rsidR="00D7692D" w:rsidRPr="00B23F4C" w:rsidRDefault="00D7692D" w:rsidP="0071482C">
            <w:pPr>
              <w:spacing w:after="0" w:line="240" w:lineRule="auto"/>
              <w:jc w:val="center"/>
              <w:textAlignment w:val="baseline"/>
              <w:rPr>
                <w:rFonts w:ascii="Times New Roman" w:eastAsia="Times New Roman" w:hAnsi="Times New Roman" w:cs="Times New Roman"/>
                <w:sz w:val="26"/>
                <w:szCs w:val="26"/>
              </w:rPr>
            </w:pPr>
            <w:r w:rsidRPr="00B23F4C">
              <w:rPr>
                <w:rFonts w:ascii="Times New Roman" w:eastAsia="Times New Roman" w:hAnsi="Times New Roman" w:cs="Times New Roman"/>
                <w:sz w:val="26"/>
                <w:szCs w:val="26"/>
              </w:rPr>
              <w:t xml:space="preserve">короткостроковий вплив </w:t>
            </w:r>
          </w:p>
          <w:p w:rsidR="00D7692D" w:rsidRPr="00B23F4C" w:rsidRDefault="00D7692D" w:rsidP="0071482C">
            <w:pPr>
              <w:spacing w:after="0" w:line="240" w:lineRule="auto"/>
              <w:jc w:val="center"/>
              <w:textAlignment w:val="baseline"/>
              <w:rPr>
                <w:rFonts w:ascii="Times New Roman" w:eastAsia="Times New Roman" w:hAnsi="Times New Roman" w:cs="Times New Roman"/>
                <w:sz w:val="26"/>
                <w:szCs w:val="26"/>
              </w:rPr>
            </w:pPr>
            <w:r w:rsidRPr="00B23F4C">
              <w:rPr>
                <w:rFonts w:ascii="Times New Roman" w:eastAsia="Times New Roman" w:hAnsi="Times New Roman" w:cs="Times New Roman"/>
                <w:sz w:val="26"/>
                <w:szCs w:val="26"/>
              </w:rPr>
              <w:t>(до року)</w:t>
            </w:r>
          </w:p>
        </w:tc>
        <w:tc>
          <w:tcPr>
            <w:tcW w:w="521" w:type="pct"/>
            <w:tcBorders>
              <w:top w:val="single" w:sz="4" w:space="0" w:color="auto"/>
              <w:left w:val="single" w:sz="4" w:space="0" w:color="000000"/>
              <w:bottom w:val="single" w:sz="4" w:space="0" w:color="auto"/>
              <w:right w:val="single" w:sz="4" w:space="0" w:color="000000"/>
            </w:tcBorders>
            <w:hideMark/>
          </w:tcPr>
          <w:p w:rsidR="00D7692D" w:rsidRPr="00B23F4C" w:rsidRDefault="00D7692D" w:rsidP="0071482C">
            <w:pPr>
              <w:spacing w:after="0" w:line="240" w:lineRule="auto"/>
              <w:jc w:val="center"/>
              <w:textAlignment w:val="baseline"/>
              <w:rPr>
                <w:rFonts w:ascii="Times New Roman" w:eastAsia="Times New Roman" w:hAnsi="Times New Roman" w:cs="Times New Roman"/>
                <w:sz w:val="26"/>
                <w:szCs w:val="26"/>
              </w:rPr>
            </w:pPr>
            <w:r w:rsidRPr="00B23F4C">
              <w:rPr>
                <w:rFonts w:ascii="Times New Roman" w:eastAsia="Times New Roman" w:hAnsi="Times New Roman" w:cs="Times New Roman"/>
                <w:sz w:val="26"/>
                <w:szCs w:val="26"/>
              </w:rPr>
              <w:t xml:space="preserve">середньо строковий вплив </w:t>
            </w:r>
          </w:p>
          <w:p w:rsidR="00D7692D" w:rsidRPr="00B23F4C" w:rsidRDefault="00D7692D" w:rsidP="0071482C">
            <w:pPr>
              <w:spacing w:after="0" w:line="240" w:lineRule="auto"/>
              <w:jc w:val="center"/>
              <w:textAlignment w:val="baseline"/>
              <w:rPr>
                <w:rFonts w:ascii="Times New Roman" w:eastAsia="Times New Roman" w:hAnsi="Times New Roman" w:cs="Times New Roman"/>
                <w:sz w:val="26"/>
                <w:szCs w:val="26"/>
              </w:rPr>
            </w:pPr>
            <w:r w:rsidRPr="00B23F4C">
              <w:rPr>
                <w:rFonts w:ascii="Times New Roman" w:eastAsia="Times New Roman" w:hAnsi="Times New Roman" w:cs="Times New Roman"/>
                <w:sz w:val="26"/>
                <w:szCs w:val="26"/>
              </w:rPr>
              <w:t>(більше року)</w:t>
            </w:r>
          </w:p>
        </w:tc>
        <w:tc>
          <w:tcPr>
            <w:tcW w:w="2113" w:type="pct"/>
            <w:vMerge/>
            <w:tcBorders>
              <w:top w:val="single" w:sz="4" w:space="0" w:color="auto"/>
              <w:left w:val="single" w:sz="4" w:space="0" w:color="000000"/>
              <w:bottom w:val="single" w:sz="4" w:space="0" w:color="auto"/>
              <w:right w:val="single" w:sz="4" w:space="0" w:color="000000"/>
            </w:tcBorders>
            <w:vAlign w:val="bottom"/>
            <w:hideMark/>
          </w:tcPr>
          <w:p w:rsidR="00D7692D" w:rsidRPr="00B23F4C" w:rsidRDefault="00D7692D" w:rsidP="0071482C">
            <w:pPr>
              <w:spacing w:after="0" w:line="240" w:lineRule="auto"/>
              <w:rPr>
                <w:rFonts w:ascii="Times New Roman" w:eastAsia="Times New Roman" w:hAnsi="Times New Roman" w:cs="Times New Roman"/>
                <w:sz w:val="26"/>
                <w:szCs w:val="26"/>
              </w:rPr>
            </w:pPr>
          </w:p>
        </w:tc>
      </w:tr>
      <w:tr w:rsidR="00D7692D" w:rsidRPr="00B23F4C" w:rsidTr="0071482C">
        <w:trPr>
          <w:trHeight w:val="481"/>
        </w:trPr>
        <w:tc>
          <w:tcPr>
            <w:tcW w:w="574" w:type="pct"/>
            <w:tcBorders>
              <w:top w:val="single" w:sz="4" w:space="0" w:color="auto"/>
              <w:left w:val="single" w:sz="4" w:space="0" w:color="auto"/>
              <w:bottom w:val="single" w:sz="4" w:space="0" w:color="auto"/>
              <w:right w:val="single" w:sz="4" w:space="0" w:color="auto"/>
            </w:tcBorders>
            <w:hideMark/>
          </w:tcPr>
          <w:p w:rsidR="00D7692D" w:rsidRPr="00B23F4C" w:rsidRDefault="00D7692D" w:rsidP="0071482C">
            <w:pPr>
              <w:spacing w:after="0" w:line="240" w:lineRule="auto"/>
              <w:ind w:left="147" w:right="175"/>
              <w:jc w:val="center"/>
              <w:rPr>
                <w:rFonts w:ascii="Times New Roman" w:eastAsia="Times New Roman" w:hAnsi="Times New Roman" w:cs="Times New Roman"/>
                <w:sz w:val="26"/>
                <w:szCs w:val="26"/>
              </w:rPr>
            </w:pPr>
            <w:r w:rsidRPr="00B23F4C">
              <w:rPr>
                <w:rFonts w:ascii="Times New Roman" w:hAnsi="Times New Roman"/>
                <w:sz w:val="26"/>
                <w:szCs w:val="26"/>
              </w:rPr>
              <w:t>Громадяни України</w:t>
            </w:r>
          </w:p>
        </w:tc>
        <w:tc>
          <w:tcPr>
            <w:tcW w:w="1209" w:type="pct"/>
            <w:tcBorders>
              <w:top w:val="single" w:sz="4" w:space="0" w:color="auto"/>
              <w:left w:val="single" w:sz="4" w:space="0" w:color="auto"/>
              <w:bottom w:val="single" w:sz="4" w:space="0" w:color="auto"/>
              <w:right w:val="single" w:sz="4" w:space="0" w:color="auto"/>
            </w:tcBorders>
            <w:hideMark/>
          </w:tcPr>
          <w:p w:rsidR="00D7692D" w:rsidRPr="00B23F4C" w:rsidRDefault="00D7692D" w:rsidP="0071482C">
            <w:pPr>
              <w:spacing w:after="0" w:line="240" w:lineRule="auto"/>
              <w:ind w:left="147" w:right="175" w:firstLine="142"/>
              <w:jc w:val="center"/>
              <w:rPr>
                <w:rFonts w:ascii="Times New Roman" w:hAnsi="Times New Roman" w:cs="Times New Roman"/>
                <w:sz w:val="26"/>
                <w:szCs w:val="26"/>
                <w:highlight w:val="yellow"/>
              </w:rPr>
            </w:pPr>
            <w:r w:rsidRPr="00B23F4C">
              <w:rPr>
                <w:rFonts w:ascii="Times New Roman" w:hAnsi="Times New Roman"/>
                <w:sz w:val="26"/>
                <w:szCs w:val="26"/>
              </w:rPr>
              <w:t>Приведення національного  законодавства у відповідність до стандартів Європейського Союзу та на виконання рішень Європейського суду з прав людини</w:t>
            </w:r>
          </w:p>
        </w:tc>
        <w:tc>
          <w:tcPr>
            <w:tcW w:w="583" w:type="pct"/>
            <w:tcBorders>
              <w:top w:val="single" w:sz="4" w:space="0" w:color="auto"/>
              <w:left w:val="single" w:sz="4" w:space="0" w:color="auto"/>
              <w:bottom w:val="single" w:sz="4" w:space="0" w:color="auto"/>
              <w:right w:val="single" w:sz="4" w:space="0" w:color="000000"/>
            </w:tcBorders>
            <w:hideMark/>
          </w:tcPr>
          <w:p w:rsidR="00D7692D" w:rsidRPr="00B23F4C" w:rsidRDefault="00D7692D" w:rsidP="0071482C">
            <w:pPr>
              <w:pStyle w:val="a9"/>
              <w:spacing w:after="0" w:line="240" w:lineRule="auto"/>
              <w:ind w:left="289" w:right="175"/>
              <w:jc w:val="center"/>
              <w:textAlignment w:val="baseline"/>
              <w:rPr>
                <w:rFonts w:ascii="Times New Roman" w:hAnsi="Times New Roman" w:cs="Times New Roman"/>
                <w:b/>
                <w:sz w:val="26"/>
                <w:szCs w:val="26"/>
                <w:lang w:val="uk-UA"/>
              </w:rPr>
            </w:pPr>
            <w:r w:rsidRPr="00B23F4C">
              <w:rPr>
                <w:rFonts w:ascii="Times New Roman" w:hAnsi="Times New Roman" w:cs="Times New Roman"/>
                <w:b/>
                <w:sz w:val="26"/>
                <w:szCs w:val="26"/>
                <w:lang w:val="uk-UA"/>
              </w:rPr>
              <w:t>+</w:t>
            </w:r>
          </w:p>
        </w:tc>
        <w:tc>
          <w:tcPr>
            <w:tcW w:w="521" w:type="pct"/>
            <w:tcBorders>
              <w:top w:val="single" w:sz="4" w:space="0" w:color="auto"/>
              <w:left w:val="single" w:sz="4" w:space="0" w:color="000000"/>
              <w:bottom w:val="single" w:sz="4" w:space="0" w:color="auto"/>
              <w:right w:val="single" w:sz="4" w:space="0" w:color="000000"/>
            </w:tcBorders>
            <w:hideMark/>
          </w:tcPr>
          <w:p w:rsidR="00D7692D" w:rsidRPr="00B23F4C" w:rsidRDefault="00D7692D" w:rsidP="0071482C">
            <w:pPr>
              <w:spacing w:after="0" w:line="240" w:lineRule="auto"/>
              <w:ind w:left="147" w:right="175" w:firstLine="142"/>
              <w:jc w:val="center"/>
              <w:textAlignment w:val="baseline"/>
              <w:rPr>
                <w:rFonts w:ascii="Times New Roman" w:hAnsi="Times New Roman" w:cs="Times New Roman"/>
                <w:b/>
                <w:sz w:val="26"/>
                <w:szCs w:val="26"/>
              </w:rPr>
            </w:pPr>
            <w:r w:rsidRPr="00B23F4C">
              <w:rPr>
                <w:rFonts w:ascii="Times New Roman" w:hAnsi="Times New Roman" w:cs="Times New Roman"/>
                <w:b/>
                <w:sz w:val="26"/>
                <w:szCs w:val="26"/>
              </w:rPr>
              <w:t>+</w:t>
            </w:r>
          </w:p>
        </w:tc>
        <w:tc>
          <w:tcPr>
            <w:tcW w:w="2113" w:type="pct"/>
            <w:tcBorders>
              <w:top w:val="single" w:sz="4" w:space="0" w:color="auto"/>
              <w:left w:val="single" w:sz="4" w:space="0" w:color="000000"/>
              <w:bottom w:val="single" w:sz="4" w:space="0" w:color="auto"/>
              <w:right w:val="single" w:sz="4" w:space="0" w:color="000000"/>
            </w:tcBorders>
            <w:hideMark/>
          </w:tcPr>
          <w:p w:rsidR="00D7692D" w:rsidRPr="00B23F4C" w:rsidRDefault="00D7692D" w:rsidP="0071482C">
            <w:pPr>
              <w:spacing w:after="0" w:line="240" w:lineRule="auto"/>
              <w:ind w:left="147" w:right="175" w:firstLine="142"/>
              <w:jc w:val="both"/>
              <w:rPr>
                <w:rFonts w:ascii="Times New Roman" w:hAnsi="Times New Roman" w:cs="Times New Roman"/>
                <w:sz w:val="26"/>
                <w:szCs w:val="26"/>
                <w:highlight w:val="yellow"/>
              </w:rPr>
            </w:pPr>
            <w:r w:rsidRPr="00B23F4C">
              <w:rPr>
                <w:rFonts w:ascii="Times New Roman" w:hAnsi="Times New Roman"/>
                <w:sz w:val="26"/>
                <w:szCs w:val="26"/>
              </w:rPr>
              <w:t xml:space="preserve">Прийняття проєкту </w:t>
            </w:r>
            <w:r w:rsidRPr="00B23F4C">
              <w:rPr>
                <w:rStyle w:val="FontStyle14"/>
              </w:rPr>
              <w:t xml:space="preserve">Закону дозволить уникнути Україною можливих </w:t>
            </w:r>
            <w:r w:rsidRPr="00B23F4C">
              <w:rPr>
                <w:rFonts w:ascii="Times New Roman" w:hAnsi="Times New Roman"/>
                <w:sz w:val="26"/>
                <w:szCs w:val="26"/>
                <w:shd w:val="clear" w:color="auto" w:fill="FFFFFF"/>
              </w:rPr>
              <w:t xml:space="preserve">системних порушень </w:t>
            </w:r>
            <w:r w:rsidRPr="00B23F4C">
              <w:rPr>
                <w:rFonts w:ascii="Times New Roman" w:hAnsi="Times New Roman"/>
                <w:sz w:val="26"/>
                <w:szCs w:val="26"/>
              </w:rPr>
              <w:t xml:space="preserve">Конвенції про захист прав людини і основоположних свобод                           </w:t>
            </w:r>
          </w:p>
        </w:tc>
      </w:tr>
    </w:tbl>
    <w:p w:rsidR="00D7692D" w:rsidRPr="00B23F4C" w:rsidRDefault="00D7692D" w:rsidP="00D7692D">
      <w:pPr>
        <w:spacing w:line="240" w:lineRule="auto"/>
        <w:rPr>
          <w:sz w:val="24"/>
          <w:szCs w:val="24"/>
        </w:rPr>
      </w:pPr>
    </w:p>
    <w:p w:rsidR="00D7692D" w:rsidRPr="00B23F4C" w:rsidRDefault="00D7692D" w:rsidP="00D7692D">
      <w:pPr>
        <w:pStyle w:val="Style3"/>
        <w:tabs>
          <w:tab w:val="left" w:pos="7996"/>
        </w:tabs>
        <w:jc w:val="both"/>
        <w:sectPr w:rsidR="00D7692D" w:rsidRPr="00B23F4C" w:rsidSect="0071482C">
          <w:pgSz w:w="16840" w:h="11900" w:orient="landscape"/>
          <w:pgMar w:top="567" w:right="1134" w:bottom="714" w:left="992" w:header="425" w:footer="0" w:gutter="0"/>
          <w:cols w:space="720"/>
          <w:titlePg/>
        </w:sectPr>
      </w:pPr>
    </w:p>
    <w:p w:rsidR="00D7692D" w:rsidRPr="00B23F4C" w:rsidRDefault="00D7692D" w:rsidP="00D7692D">
      <w:pPr>
        <w:pStyle w:val="Style3"/>
        <w:tabs>
          <w:tab w:val="left" w:pos="7996"/>
        </w:tabs>
        <w:jc w:val="both"/>
      </w:pPr>
    </w:p>
    <w:p w:rsidR="00FD1606" w:rsidRDefault="00FD1606"/>
    <w:sectPr w:rsidR="00FD1606" w:rsidSect="0071482C">
      <w:pgSz w:w="11900" w:h="16840"/>
      <w:pgMar w:top="1134" w:right="567" w:bottom="993" w:left="1701" w:header="426"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DE4" w:rsidRDefault="005D1DE4" w:rsidP="00FD1606">
      <w:pPr>
        <w:spacing w:after="0" w:line="240" w:lineRule="auto"/>
      </w:pPr>
      <w:r>
        <w:separator/>
      </w:r>
    </w:p>
  </w:endnote>
  <w:endnote w:type="continuationSeparator" w:id="0">
    <w:p w:rsidR="005D1DE4" w:rsidRDefault="005D1DE4" w:rsidP="00FD1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051" w:rsidRDefault="00D95051">
    <w:pPr>
      <w:pStyle w:val="a5"/>
      <w:tabs>
        <w:tab w:val="clear" w:pos="4677"/>
        <w:tab w:val="clear" w:pos="9355"/>
        <w:tab w:val="left" w:pos="951"/>
      </w:tabs>
      <w:spacing w:line="200" w:lineRule="atLeas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DE4" w:rsidRDefault="005D1DE4" w:rsidP="00FD1606">
      <w:pPr>
        <w:spacing w:after="0" w:line="240" w:lineRule="auto"/>
      </w:pPr>
      <w:r>
        <w:separator/>
      </w:r>
    </w:p>
  </w:footnote>
  <w:footnote w:type="continuationSeparator" w:id="0">
    <w:p w:rsidR="005D1DE4" w:rsidRDefault="005D1DE4" w:rsidP="00FD16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051" w:rsidRPr="005C73EF" w:rsidRDefault="00C668E0">
    <w:pPr>
      <w:pStyle w:val="a3"/>
      <w:tabs>
        <w:tab w:val="clear" w:pos="9639"/>
        <w:tab w:val="right" w:pos="9612"/>
      </w:tabs>
      <w:jc w:val="center"/>
      <w:rPr>
        <w:rFonts w:ascii="Times New Roman" w:hAnsi="Times New Roman" w:cs="Times New Roman"/>
        <w:sz w:val="24"/>
        <w:szCs w:val="24"/>
      </w:rPr>
    </w:pPr>
    <w:r>
      <w:rPr>
        <w:rFonts w:ascii="Times New Roman" w:hAnsi="Times New Roman" w:cs="Times New Roman"/>
        <w:noProof/>
        <w:sz w:val="24"/>
        <w:szCs w:val="24"/>
        <w:bdr w:val="none" w:sz="0" w:space="0" w:color="auto"/>
        <w:lang w:val="uk-UA"/>
      </w:rPr>
      <mc:AlternateContent>
        <mc:Choice Requires="wps">
          <w:drawing>
            <wp:anchor distT="152400" distB="152400" distL="152400" distR="152400" simplePos="0" relativeHeight="251657728" behindDoc="1" locked="0" layoutInCell="1" allowOverlap="1">
              <wp:simplePos x="0" y="0"/>
              <wp:positionH relativeFrom="page">
                <wp:posOffset>6610350</wp:posOffset>
              </wp:positionH>
              <wp:positionV relativeFrom="page">
                <wp:posOffset>10463530</wp:posOffset>
              </wp:positionV>
              <wp:extent cx="323850" cy="175260"/>
              <wp:effectExtent l="0" t="0" r="0" b="6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175260"/>
                      </a:xfrm>
                      <a:prstGeom prst="rect">
                        <a:avLst/>
                      </a:prstGeom>
                      <a:solidFill>
                        <a:srgbClr val="FFFFFF"/>
                      </a:solidFill>
                      <a:ln>
                        <a:noFill/>
                      </a:ln>
                      <a:extLst>
                        <a:ext uri="{91240B29-F687-4F45-9708-019B960494DF}">
                          <a14:hiddenLine xmlns:a14="http://schemas.microsoft.com/office/drawing/2010/main" w="12700">
                            <a:solidFill>
                              <a:srgbClr val="000000"/>
                            </a:solidFill>
                            <a:miter lim="4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520.5pt;margin-top:823.9pt;width:25.5pt;height:13.8pt;z-index:-251658752;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" stroked="f" strokeweight="1pt">
              <v:stroke miterlimit="4"/>
              <w10:wrap anchorx="page" anchory="page"/>
            </v:rect>
          </w:pict>
        </mc:Fallback>
      </mc:AlternateContent>
    </w:r>
    <w:r w:rsidR="007615D9" w:rsidRPr="005C73EF">
      <w:rPr>
        <w:rFonts w:ascii="Times New Roman" w:hAnsi="Times New Roman" w:cs="Times New Roman"/>
        <w:sz w:val="24"/>
        <w:szCs w:val="24"/>
      </w:rPr>
      <w:fldChar w:fldCharType="begin"/>
    </w:r>
    <w:r w:rsidR="00D95051" w:rsidRPr="005C73EF">
      <w:rPr>
        <w:rFonts w:ascii="Times New Roman" w:hAnsi="Times New Roman" w:cs="Times New Roman"/>
        <w:sz w:val="24"/>
        <w:szCs w:val="24"/>
      </w:rPr>
      <w:instrText xml:space="preserve"> PAGE </w:instrText>
    </w:r>
    <w:r w:rsidR="007615D9" w:rsidRPr="005C73EF">
      <w:rPr>
        <w:rFonts w:ascii="Times New Roman" w:hAnsi="Times New Roman" w:cs="Times New Roman"/>
        <w:sz w:val="24"/>
        <w:szCs w:val="24"/>
      </w:rPr>
      <w:fldChar w:fldCharType="separate"/>
    </w:r>
    <w:r>
      <w:rPr>
        <w:rFonts w:ascii="Times New Roman" w:hAnsi="Times New Roman" w:cs="Times New Roman"/>
        <w:noProof/>
        <w:sz w:val="24"/>
        <w:szCs w:val="24"/>
      </w:rPr>
      <w:t>9</w:t>
    </w:r>
    <w:r w:rsidR="007615D9" w:rsidRPr="005C73EF">
      <w:rPr>
        <w:rFonts w:ascii="Times New Roman" w:hAnsi="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92D"/>
    <w:rsid w:val="00003E8C"/>
    <w:rsid w:val="001D3B9C"/>
    <w:rsid w:val="003B52DB"/>
    <w:rsid w:val="00467A52"/>
    <w:rsid w:val="004803B3"/>
    <w:rsid w:val="00481461"/>
    <w:rsid w:val="004F615E"/>
    <w:rsid w:val="0050488F"/>
    <w:rsid w:val="005D1DE4"/>
    <w:rsid w:val="006F7A88"/>
    <w:rsid w:val="0071482C"/>
    <w:rsid w:val="007615D9"/>
    <w:rsid w:val="0085026B"/>
    <w:rsid w:val="00865554"/>
    <w:rsid w:val="009636A2"/>
    <w:rsid w:val="009B5C4B"/>
    <w:rsid w:val="00A1502E"/>
    <w:rsid w:val="00B44A04"/>
    <w:rsid w:val="00C51D08"/>
    <w:rsid w:val="00C668E0"/>
    <w:rsid w:val="00CC7CB6"/>
    <w:rsid w:val="00D731E1"/>
    <w:rsid w:val="00D7692D"/>
    <w:rsid w:val="00D95051"/>
    <w:rsid w:val="00DA2FEB"/>
    <w:rsid w:val="00DD5FE1"/>
    <w:rsid w:val="00E0069F"/>
    <w:rsid w:val="00E56187"/>
    <w:rsid w:val="00E9658A"/>
    <w:rsid w:val="00F02BBF"/>
    <w:rsid w:val="00FD16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D7692D"/>
    <w:pPr>
      <w:pBdr>
        <w:top w:val="nil"/>
        <w:left w:val="nil"/>
        <w:bottom w:val="nil"/>
        <w:right w:val="nil"/>
        <w:between w:val="nil"/>
        <w:bar w:val="nil"/>
      </w:pBdr>
      <w:tabs>
        <w:tab w:val="center" w:pos="4819"/>
        <w:tab w:val="right" w:pos="9639"/>
      </w:tabs>
    </w:pPr>
    <w:rPr>
      <w:rFonts w:ascii="Cambria" w:eastAsia="Cambria" w:hAnsi="Cambria" w:cs="Cambria"/>
      <w:color w:val="000000"/>
      <w:sz w:val="28"/>
      <w:szCs w:val="28"/>
      <w:u w:color="000000"/>
      <w:bdr w:val="nil"/>
      <w:lang w:val="ru-RU"/>
    </w:rPr>
  </w:style>
  <w:style w:type="character" w:customStyle="1" w:styleId="a4">
    <w:name w:val="Верхний колонтитул Знак"/>
    <w:basedOn w:val="a0"/>
    <w:link w:val="a3"/>
    <w:rsid w:val="00D7692D"/>
    <w:rPr>
      <w:rFonts w:ascii="Cambria" w:eastAsia="Cambria" w:hAnsi="Cambria" w:cs="Cambria"/>
      <w:color w:val="000000"/>
      <w:sz w:val="28"/>
      <w:szCs w:val="28"/>
      <w:u w:color="000000"/>
      <w:bdr w:val="nil"/>
      <w:lang w:val="ru-RU"/>
    </w:rPr>
  </w:style>
  <w:style w:type="paragraph" w:styleId="a5">
    <w:name w:val="footer"/>
    <w:link w:val="a6"/>
    <w:rsid w:val="00D7692D"/>
    <w:pPr>
      <w:pBdr>
        <w:top w:val="nil"/>
        <w:left w:val="nil"/>
        <w:bottom w:val="nil"/>
        <w:right w:val="nil"/>
        <w:between w:val="nil"/>
        <w:bar w:val="nil"/>
      </w:pBdr>
      <w:tabs>
        <w:tab w:val="center" w:pos="4677"/>
        <w:tab w:val="right" w:pos="9355"/>
      </w:tabs>
    </w:pPr>
    <w:rPr>
      <w:rFonts w:ascii="Cambria" w:eastAsia="Cambria" w:hAnsi="Cambria" w:cs="Cambria"/>
      <w:color w:val="000000"/>
      <w:sz w:val="28"/>
      <w:szCs w:val="28"/>
      <w:u w:color="000000"/>
      <w:bdr w:val="nil"/>
      <w:lang w:val="ru-RU"/>
    </w:rPr>
  </w:style>
  <w:style w:type="character" w:customStyle="1" w:styleId="a6">
    <w:name w:val="Нижний колонтитул Знак"/>
    <w:basedOn w:val="a0"/>
    <w:link w:val="a5"/>
    <w:rsid w:val="00D7692D"/>
    <w:rPr>
      <w:rFonts w:ascii="Cambria" w:eastAsia="Cambria" w:hAnsi="Cambria" w:cs="Cambria"/>
      <w:color w:val="000000"/>
      <w:sz w:val="28"/>
      <w:szCs w:val="28"/>
      <w:u w:color="000000"/>
      <w:bdr w:val="nil"/>
      <w:lang w:val="ru-RU"/>
    </w:rPr>
  </w:style>
  <w:style w:type="paragraph" w:styleId="a7">
    <w:name w:val="No Spacing"/>
    <w:rsid w:val="00D7692D"/>
    <w:pPr>
      <w:pBdr>
        <w:top w:val="nil"/>
        <w:left w:val="nil"/>
        <w:bottom w:val="nil"/>
        <w:right w:val="nil"/>
        <w:between w:val="nil"/>
        <w:bar w:val="nil"/>
      </w:pBdr>
      <w:spacing w:after="0" w:line="240" w:lineRule="auto"/>
    </w:pPr>
    <w:rPr>
      <w:rFonts w:ascii="Cambria" w:eastAsia="Cambria" w:hAnsi="Cambria" w:cs="Cambria"/>
      <w:color w:val="000000"/>
      <w:sz w:val="28"/>
      <w:szCs w:val="28"/>
      <w:u w:color="000000"/>
      <w:bdr w:val="nil"/>
      <w:lang w:val="ru-RU"/>
    </w:rPr>
  </w:style>
  <w:style w:type="paragraph" w:customStyle="1" w:styleId="JuPara">
    <w:name w:val="Ju_Para"/>
    <w:rsid w:val="00D7692D"/>
    <w:pPr>
      <w:pBdr>
        <w:top w:val="nil"/>
        <w:left w:val="nil"/>
        <w:bottom w:val="nil"/>
        <w:right w:val="nil"/>
        <w:between w:val="nil"/>
        <w:bar w:val="nil"/>
      </w:pBdr>
      <w:suppressAutoHyphens/>
      <w:spacing w:after="0" w:line="240" w:lineRule="auto"/>
      <w:ind w:firstLine="284"/>
      <w:jc w:val="both"/>
    </w:pPr>
    <w:rPr>
      <w:rFonts w:ascii="Calibri" w:eastAsia="Calibri" w:hAnsi="Calibri" w:cs="Calibri"/>
      <w:color w:val="000000"/>
      <w:sz w:val="24"/>
      <w:szCs w:val="24"/>
      <w:u w:color="000000"/>
      <w:bdr w:val="nil"/>
      <w:lang w:val="en-US"/>
    </w:rPr>
  </w:style>
  <w:style w:type="paragraph" w:customStyle="1" w:styleId="rvps2">
    <w:name w:val="rvps2"/>
    <w:rsid w:val="00D7692D"/>
    <w:pPr>
      <w:pBdr>
        <w:top w:val="nil"/>
        <w:left w:val="nil"/>
        <w:bottom w:val="nil"/>
        <w:right w:val="nil"/>
        <w:between w:val="nil"/>
        <w:bar w:val="nil"/>
      </w:pBdr>
      <w:spacing w:before="100" w:after="100" w:line="240" w:lineRule="auto"/>
    </w:pPr>
    <w:rPr>
      <w:rFonts w:ascii="Calibri" w:eastAsia="Calibri" w:hAnsi="Calibri" w:cs="Calibri"/>
      <w:color w:val="000000"/>
      <w:sz w:val="24"/>
      <w:szCs w:val="24"/>
      <w:u w:color="000000"/>
      <w:bdr w:val="nil"/>
    </w:rPr>
  </w:style>
  <w:style w:type="character" w:customStyle="1" w:styleId="Hyperlink0">
    <w:name w:val="Hyperlink.0"/>
    <w:basedOn w:val="a0"/>
    <w:rsid w:val="00D7692D"/>
    <w:rPr>
      <w:rFonts w:ascii="Times New Roman" w:eastAsia="Times New Roman" w:hAnsi="Times New Roman" w:cs="Times New Roman"/>
      <w:color w:val="000000"/>
      <w:u w:val="none" w:color="000000"/>
    </w:rPr>
  </w:style>
  <w:style w:type="paragraph" w:customStyle="1" w:styleId="a8">
    <w:name w:val="Назва документа"/>
    <w:next w:val="a"/>
    <w:rsid w:val="00D7692D"/>
    <w:pPr>
      <w:keepNext/>
      <w:keepLines/>
      <w:pBdr>
        <w:top w:val="nil"/>
        <w:left w:val="nil"/>
        <w:bottom w:val="nil"/>
        <w:right w:val="nil"/>
        <w:between w:val="nil"/>
        <w:bar w:val="nil"/>
      </w:pBdr>
      <w:spacing w:before="360" w:after="360" w:line="240" w:lineRule="auto"/>
      <w:jc w:val="center"/>
    </w:pPr>
    <w:rPr>
      <w:rFonts w:ascii="Century Gothic" w:eastAsia="Arial Unicode MS" w:hAnsi="Century Gothic" w:cs="Arial Unicode MS"/>
      <w:b/>
      <w:bCs/>
      <w:color w:val="000000"/>
      <w:sz w:val="26"/>
      <w:szCs w:val="26"/>
      <w:u w:color="000000"/>
      <w:bdr w:val="nil"/>
    </w:rPr>
  </w:style>
  <w:style w:type="paragraph" w:styleId="2">
    <w:name w:val="Body Text 2"/>
    <w:link w:val="20"/>
    <w:rsid w:val="00D7692D"/>
    <w:pPr>
      <w:pBdr>
        <w:top w:val="nil"/>
        <w:left w:val="nil"/>
        <w:bottom w:val="nil"/>
        <w:right w:val="nil"/>
        <w:between w:val="nil"/>
        <w:bar w:val="nil"/>
      </w:pBdr>
      <w:spacing w:after="120" w:line="480" w:lineRule="auto"/>
    </w:pPr>
    <w:rPr>
      <w:rFonts w:ascii="Calibri" w:eastAsia="Calibri" w:hAnsi="Calibri" w:cs="Calibri"/>
      <w:color w:val="000000"/>
      <w:u w:color="000000"/>
      <w:bdr w:val="nil"/>
    </w:rPr>
  </w:style>
  <w:style w:type="character" w:customStyle="1" w:styleId="20">
    <w:name w:val="Основной текст 2 Знак"/>
    <w:basedOn w:val="a0"/>
    <w:link w:val="2"/>
    <w:rsid w:val="00D7692D"/>
    <w:rPr>
      <w:rFonts w:ascii="Calibri" w:eastAsia="Calibri" w:hAnsi="Calibri" w:cs="Calibri"/>
      <w:color w:val="000000"/>
      <w:u w:color="000000"/>
      <w:bdr w:val="nil"/>
    </w:rPr>
  </w:style>
  <w:style w:type="paragraph" w:styleId="a9">
    <w:name w:val="List Paragraph"/>
    <w:uiPriority w:val="99"/>
    <w:qFormat/>
    <w:rsid w:val="00D7692D"/>
    <w:pPr>
      <w:pBdr>
        <w:top w:val="nil"/>
        <w:left w:val="nil"/>
        <w:bottom w:val="nil"/>
        <w:right w:val="nil"/>
        <w:between w:val="nil"/>
        <w:bar w:val="nil"/>
      </w:pBdr>
      <w:ind w:left="720"/>
    </w:pPr>
    <w:rPr>
      <w:rFonts w:ascii="Cambria" w:eastAsia="Cambria" w:hAnsi="Cambria" w:cs="Cambria"/>
      <w:color w:val="000000"/>
      <w:sz w:val="28"/>
      <w:szCs w:val="28"/>
      <w:u w:color="000000"/>
      <w:bdr w:val="nil"/>
      <w:lang w:val="ru-RU"/>
    </w:rPr>
  </w:style>
  <w:style w:type="paragraph" w:customStyle="1" w:styleId="Style3">
    <w:name w:val="Style3"/>
    <w:rsid w:val="00D7692D"/>
    <w:pPr>
      <w:widowControl w:val="0"/>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character" w:customStyle="1" w:styleId="FontStyle14">
    <w:name w:val="Font Style14"/>
    <w:basedOn w:val="a0"/>
    <w:uiPriority w:val="99"/>
    <w:rsid w:val="00D7692D"/>
    <w:rPr>
      <w:rFonts w:ascii="Times New Roman" w:hAnsi="Times New Roman" w:cs="Times New Roman"/>
      <w:sz w:val="26"/>
      <w:szCs w:val="26"/>
    </w:rPr>
  </w:style>
  <w:style w:type="character" w:customStyle="1" w:styleId="xfm51980594">
    <w:name w:val="xfm_51980594"/>
    <w:basedOn w:val="a0"/>
    <w:rsid w:val="00D7692D"/>
  </w:style>
  <w:style w:type="character" w:customStyle="1" w:styleId="rvts23">
    <w:name w:val="rvts23"/>
    <w:basedOn w:val="a0"/>
    <w:rsid w:val="00D7692D"/>
  </w:style>
  <w:style w:type="character" w:customStyle="1" w:styleId="rvts9">
    <w:name w:val="rvts9"/>
    <w:basedOn w:val="a0"/>
    <w:rsid w:val="004814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D7692D"/>
    <w:pPr>
      <w:pBdr>
        <w:top w:val="nil"/>
        <w:left w:val="nil"/>
        <w:bottom w:val="nil"/>
        <w:right w:val="nil"/>
        <w:between w:val="nil"/>
        <w:bar w:val="nil"/>
      </w:pBdr>
      <w:tabs>
        <w:tab w:val="center" w:pos="4819"/>
        <w:tab w:val="right" w:pos="9639"/>
      </w:tabs>
    </w:pPr>
    <w:rPr>
      <w:rFonts w:ascii="Cambria" w:eastAsia="Cambria" w:hAnsi="Cambria" w:cs="Cambria"/>
      <w:color w:val="000000"/>
      <w:sz w:val="28"/>
      <w:szCs w:val="28"/>
      <w:u w:color="000000"/>
      <w:bdr w:val="nil"/>
      <w:lang w:val="ru-RU"/>
    </w:rPr>
  </w:style>
  <w:style w:type="character" w:customStyle="1" w:styleId="a4">
    <w:name w:val="Верхний колонтитул Знак"/>
    <w:basedOn w:val="a0"/>
    <w:link w:val="a3"/>
    <w:rsid w:val="00D7692D"/>
    <w:rPr>
      <w:rFonts w:ascii="Cambria" w:eastAsia="Cambria" w:hAnsi="Cambria" w:cs="Cambria"/>
      <w:color w:val="000000"/>
      <w:sz w:val="28"/>
      <w:szCs w:val="28"/>
      <w:u w:color="000000"/>
      <w:bdr w:val="nil"/>
      <w:lang w:val="ru-RU"/>
    </w:rPr>
  </w:style>
  <w:style w:type="paragraph" w:styleId="a5">
    <w:name w:val="footer"/>
    <w:link w:val="a6"/>
    <w:rsid w:val="00D7692D"/>
    <w:pPr>
      <w:pBdr>
        <w:top w:val="nil"/>
        <w:left w:val="nil"/>
        <w:bottom w:val="nil"/>
        <w:right w:val="nil"/>
        <w:between w:val="nil"/>
        <w:bar w:val="nil"/>
      </w:pBdr>
      <w:tabs>
        <w:tab w:val="center" w:pos="4677"/>
        <w:tab w:val="right" w:pos="9355"/>
      </w:tabs>
    </w:pPr>
    <w:rPr>
      <w:rFonts w:ascii="Cambria" w:eastAsia="Cambria" w:hAnsi="Cambria" w:cs="Cambria"/>
      <w:color w:val="000000"/>
      <w:sz w:val="28"/>
      <w:szCs w:val="28"/>
      <w:u w:color="000000"/>
      <w:bdr w:val="nil"/>
      <w:lang w:val="ru-RU"/>
    </w:rPr>
  </w:style>
  <w:style w:type="character" w:customStyle="1" w:styleId="a6">
    <w:name w:val="Нижний колонтитул Знак"/>
    <w:basedOn w:val="a0"/>
    <w:link w:val="a5"/>
    <w:rsid w:val="00D7692D"/>
    <w:rPr>
      <w:rFonts w:ascii="Cambria" w:eastAsia="Cambria" w:hAnsi="Cambria" w:cs="Cambria"/>
      <w:color w:val="000000"/>
      <w:sz w:val="28"/>
      <w:szCs w:val="28"/>
      <w:u w:color="000000"/>
      <w:bdr w:val="nil"/>
      <w:lang w:val="ru-RU"/>
    </w:rPr>
  </w:style>
  <w:style w:type="paragraph" w:styleId="a7">
    <w:name w:val="No Spacing"/>
    <w:rsid w:val="00D7692D"/>
    <w:pPr>
      <w:pBdr>
        <w:top w:val="nil"/>
        <w:left w:val="nil"/>
        <w:bottom w:val="nil"/>
        <w:right w:val="nil"/>
        <w:between w:val="nil"/>
        <w:bar w:val="nil"/>
      </w:pBdr>
      <w:spacing w:after="0" w:line="240" w:lineRule="auto"/>
    </w:pPr>
    <w:rPr>
      <w:rFonts w:ascii="Cambria" w:eastAsia="Cambria" w:hAnsi="Cambria" w:cs="Cambria"/>
      <w:color w:val="000000"/>
      <w:sz w:val="28"/>
      <w:szCs w:val="28"/>
      <w:u w:color="000000"/>
      <w:bdr w:val="nil"/>
      <w:lang w:val="ru-RU"/>
    </w:rPr>
  </w:style>
  <w:style w:type="paragraph" w:customStyle="1" w:styleId="JuPara">
    <w:name w:val="Ju_Para"/>
    <w:rsid w:val="00D7692D"/>
    <w:pPr>
      <w:pBdr>
        <w:top w:val="nil"/>
        <w:left w:val="nil"/>
        <w:bottom w:val="nil"/>
        <w:right w:val="nil"/>
        <w:between w:val="nil"/>
        <w:bar w:val="nil"/>
      </w:pBdr>
      <w:suppressAutoHyphens/>
      <w:spacing w:after="0" w:line="240" w:lineRule="auto"/>
      <w:ind w:firstLine="284"/>
      <w:jc w:val="both"/>
    </w:pPr>
    <w:rPr>
      <w:rFonts w:ascii="Calibri" w:eastAsia="Calibri" w:hAnsi="Calibri" w:cs="Calibri"/>
      <w:color w:val="000000"/>
      <w:sz w:val="24"/>
      <w:szCs w:val="24"/>
      <w:u w:color="000000"/>
      <w:bdr w:val="nil"/>
      <w:lang w:val="en-US"/>
    </w:rPr>
  </w:style>
  <w:style w:type="paragraph" w:customStyle="1" w:styleId="rvps2">
    <w:name w:val="rvps2"/>
    <w:rsid w:val="00D7692D"/>
    <w:pPr>
      <w:pBdr>
        <w:top w:val="nil"/>
        <w:left w:val="nil"/>
        <w:bottom w:val="nil"/>
        <w:right w:val="nil"/>
        <w:between w:val="nil"/>
        <w:bar w:val="nil"/>
      </w:pBdr>
      <w:spacing w:before="100" w:after="100" w:line="240" w:lineRule="auto"/>
    </w:pPr>
    <w:rPr>
      <w:rFonts w:ascii="Calibri" w:eastAsia="Calibri" w:hAnsi="Calibri" w:cs="Calibri"/>
      <w:color w:val="000000"/>
      <w:sz w:val="24"/>
      <w:szCs w:val="24"/>
      <w:u w:color="000000"/>
      <w:bdr w:val="nil"/>
    </w:rPr>
  </w:style>
  <w:style w:type="character" w:customStyle="1" w:styleId="Hyperlink0">
    <w:name w:val="Hyperlink.0"/>
    <w:basedOn w:val="a0"/>
    <w:rsid w:val="00D7692D"/>
    <w:rPr>
      <w:rFonts w:ascii="Times New Roman" w:eastAsia="Times New Roman" w:hAnsi="Times New Roman" w:cs="Times New Roman"/>
      <w:color w:val="000000"/>
      <w:u w:val="none" w:color="000000"/>
    </w:rPr>
  </w:style>
  <w:style w:type="paragraph" w:customStyle="1" w:styleId="a8">
    <w:name w:val="Назва документа"/>
    <w:next w:val="a"/>
    <w:rsid w:val="00D7692D"/>
    <w:pPr>
      <w:keepNext/>
      <w:keepLines/>
      <w:pBdr>
        <w:top w:val="nil"/>
        <w:left w:val="nil"/>
        <w:bottom w:val="nil"/>
        <w:right w:val="nil"/>
        <w:between w:val="nil"/>
        <w:bar w:val="nil"/>
      </w:pBdr>
      <w:spacing w:before="360" w:after="360" w:line="240" w:lineRule="auto"/>
      <w:jc w:val="center"/>
    </w:pPr>
    <w:rPr>
      <w:rFonts w:ascii="Century Gothic" w:eastAsia="Arial Unicode MS" w:hAnsi="Century Gothic" w:cs="Arial Unicode MS"/>
      <w:b/>
      <w:bCs/>
      <w:color w:val="000000"/>
      <w:sz w:val="26"/>
      <w:szCs w:val="26"/>
      <w:u w:color="000000"/>
      <w:bdr w:val="nil"/>
    </w:rPr>
  </w:style>
  <w:style w:type="paragraph" w:styleId="2">
    <w:name w:val="Body Text 2"/>
    <w:link w:val="20"/>
    <w:rsid w:val="00D7692D"/>
    <w:pPr>
      <w:pBdr>
        <w:top w:val="nil"/>
        <w:left w:val="nil"/>
        <w:bottom w:val="nil"/>
        <w:right w:val="nil"/>
        <w:between w:val="nil"/>
        <w:bar w:val="nil"/>
      </w:pBdr>
      <w:spacing w:after="120" w:line="480" w:lineRule="auto"/>
    </w:pPr>
    <w:rPr>
      <w:rFonts w:ascii="Calibri" w:eastAsia="Calibri" w:hAnsi="Calibri" w:cs="Calibri"/>
      <w:color w:val="000000"/>
      <w:u w:color="000000"/>
      <w:bdr w:val="nil"/>
    </w:rPr>
  </w:style>
  <w:style w:type="character" w:customStyle="1" w:styleId="20">
    <w:name w:val="Основной текст 2 Знак"/>
    <w:basedOn w:val="a0"/>
    <w:link w:val="2"/>
    <w:rsid w:val="00D7692D"/>
    <w:rPr>
      <w:rFonts w:ascii="Calibri" w:eastAsia="Calibri" w:hAnsi="Calibri" w:cs="Calibri"/>
      <w:color w:val="000000"/>
      <w:u w:color="000000"/>
      <w:bdr w:val="nil"/>
    </w:rPr>
  </w:style>
  <w:style w:type="paragraph" w:styleId="a9">
    <w:name w:val="List Paragraph"/>
    <w:uiPriority w:val="99"/>
    <w:qFormat/>
    <w:rsid w:val="00D7692D"/>
    <w:pPr>
      <w:pBdr>
        <w:top w:val="nil"/>
        <w:left w:val="nil"/>
        <w:bottom w:val="nil"/>
        <w:right w:val="nil"/>
        <w:between w:val="nil"/>
        <w:bar w:val="nil"/>
      </w:pBdr>
      <w:ind w:left="720"/>
    </w:pPr>
    <w:rPr>
      <w:rFonts w:ascii="Cambria" w:eastAsia="Cambria" w:hAnsi="Cambria" w:cs="Cambria"/>
      <w:color w:val="000000"/>
      <w:sz w:val="28"/>
      <w:szCs w:val="28"/>
      <w:u w:color="000000"/>
      <w:bdr w:val="nil"/>
      <w:lang w:val="ru-RU"/>
    </w:rPr>
  </w:style>
  <w:style w:type="paragraph" w:customStyle="1" w:styleId="Style3">
    <w:name w:val="Style3"/>
    <w:rsid w:val="00D7692D"/>
    <w:pPr>
      <w:widowControl w:val="0"/>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rPr>
  </w:style>
  <w:style w:type="character" w:customStyle="1" w:styleId="FontStyle14">
    <w:name w:val="Font Style14"/>
    <w:basedOn w:val="a0"/>
    <w:uiPriority w:val="99"/>
    <w:rsid w:val="00D7692D"/>
    <w:rPr>
      <w:rFonts w:ascii="Times New Roman" w:hAnsi="Times New Roman" w:cs="Times New Roman"/>
      <w:sz w:val="26"/>
      <w:szCs w:val="26"/>
    </w:rPr>
  </w:style>
  <w:style w:type="character" w:customStyle="1" w:styleId="xfm51980594">
    <w:name w:val="xfm_51980594"/>
    <w:basedOn w:val="a0"/>
    <w:rsid w:val="00D7692D"/>
  </w:style>
  <w:style w:type="character" w:customStyle="1" w:styleId="rvts23">
    <w:name w:val="rvts23"/>
    <w:basedOn w:val="a0"/>
    <w:rsid w:val="00D7692D"/>
  </w:style>
  <w:style w:type="character" w:customStyle="1" w:styleId="rvts9">
    <w:name w:val="rvts9"/>
    <w:basedOn w:val="a0"/>
    <w:rsid w:val="00481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16594</Words>
  <Characters>9460</Characters>
  <Application>Microsoft Office Word</Application>
  <DocSecurity>0</DocSecurity>
  <Lines>78</Lines>
  <Paragraphs>52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26002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Одарченко Вікторія Василівна</cp:lastModifiedBy>
  <cp:revision>2</cp:revision>
  <dcterms:created xsi:type="dcterms:W3CDTF">2020-08-17T08:25:00Z</dcterms:created>
  <dcterms:modified xsi:type="dcterms:W3CDTF">2020-08-17T08:25:00Z</dcterms:modified>
</cp:coreProperties>
</file>