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957" w:type="dxa"/>
        <w:tblInd w:w="-15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957"/>
      </w:tblGrid>
      <w:tr w:rsidR="00565805" w:rsidRPr="00565805" w:rsidTr="00424CDF">
        <w:tc>
          <w:tcPr>
            <w:tcW w:w="11957" w:type="dxa"/>
            <w:tcBorders>
              <w:top w:val="nil"/>
              <w:left w:val="nil"/>
              <w:bottom w:val="nil"/>
              <w:right w:val="nil"/>
            </w:tcBorders>
          </w:tcPr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  <w:r w:rsidRPr="00565805">
              <w:rPr>
                <w:noProof/>
                <w:spacing w:val="20"/>
                <w:sz w:val="32"/>
                <w:szCs w:val="32"/>
                <w:lang w:eastAsia="uk-UA"/>
              </w:rPr>
              <w:drawing>
                <wp:anchor distT="360045" distB="0" distL="114300" distR="114300" simplePos="0" relativeHeight="251659264" behindDoc="0" locked="0" layoutInCell="1" allowOverlap="1" wp14:anchorId="15B0D6DC" wp14:editId="3C2F7011">
                  <wp:simplePos x="0" y="0"/>
                  <wp:positionH relativeFrom="margin">
                    <wp:posOffset>3588385</wp:posOffset>
                  </wp:positionH>
                  <wp:positionV relativeFrom="paragraph">
                    <wp:posOffset>0</wp:posOffset>
                  </wp:positionV>
                  <wp:extent cx="461010" cy="636905"/>
                  <wp:effectExtent l="0" t="0" r="0" b="0"/>
                  <wp:wrapSquare wrapText="bothSides"/>
                  <wp:docPr id="1" name="Рисунок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61010" cy="63690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002060"/>
                <w:sz w:val="32"/>
                <w:szCs w:val="32"/>
              </w:rPr>
            </w:pPr>
          </w:p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</w:pPr>
            <w:r w:rsidRPr="00565805">
              <w:rPr>
                <w:rFonts w:ascii="Times New Roman" w:hAnsi="Times New Roman"/>
                <w:color w:val="1829A8"/>
                <w:spacing w:val="20"/>
                <w:sz w:val="32"/>
                <w:szCs w:val="32"/>
              </w:rPr>
              <w:t>АПАРАТ ВЕРХОВНОЇ РАДИ УКРАЇНИ</w:t>
            </w:r>
          </w:p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</w:pPr>
            <w:r w:rsidRPr="00565805">
              <w:rPr>
                <w:rFonts w:ascii="Times New Roman" w:hAnsi="Times New Roman"/>
                <w:b/>
                <w:color w:val="1829A8"/>
                <w:spacing w:val="20"/>
                <w:sz w:val="24"/>
                <w:szCs w:val="24"/>
              </w:rPr>
              <w:t>Головне юридичне управління</w:t>
            </w:r>
          </w:p>
          <w:p w:rsidR="00565805" w:rsidRPr="00565805" w:rsidRDefault="00565805" w:rsidP="0088642A">
            <w:pPr>
              <w:pStyle w:val="a3"/>
              <w:tabs>
                <w:tab w:val="clear" w:pos="4677"/>
                <w:tab w:val="clear" w:pos="9355"/>
              </w:tabs>
              <w:jc w:val="center"/>
              <w:rPr>
                <w:color w:val="002060"/>
                <w:sz w:val="20"/>
                <w:szCs w:val="20"/>
              </w:rPr>
            </w:pPr>
            <w:r w:rsidRPr="00565805">
              <w:rPr>
                <w:rFonts w:ascii="Times New Roman" w:hAnsi="Times New Roman"/>
                <w:color w:val="1829A8"/>
                <w:sz w:val="20"/>
                <w:szCs w:val="20"/>
              </w:rPr>
              <w:t>01008, м.Київ-8, вул. М. Грушевського, 5, тел.:255-20-76</w:t>
            </w:r>
          </w:p>
        </w:tc>
      </w:tr>
    </w:tbl>
    <w:tbl>
      <w:tblPr>
        <w:tblStyle w:val="a5"/>
        <w:tblW w:w="12338" w:type="dxa"/>
        <w:tblInd w:w="-1680" w:type="dxa"/>
        <w:tblBorders>
          <w:top w:val="thinThickMediumGap" w:sz="12" w:space="0" w:color="0033CC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538"/>
        <w:gridCol w:w="9714"/>
        <w:gridCol w:w="1086"/>
      </w:tblGrid>
      <w:tr w:rsidR="00565805" w:rsidRPr="00565805" w:rsidTr="00424CDF">
        <w:tc>
          <w:tcPr>
            <w:tcW w:w="1538" w:type="dxa"/>
            <w:tcBorders>
              <w:top w:val="nil"/>
            </w:tcBorders>
          </w:tcPr>
          <w:p w:rsidR="00565805" w:rsidRPr="00CB2218" w:rsidRDefault="00565805" w:rsidP="008864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9714" w:type="dxa"/>
          </w:tcPr>
          <w:p w:rsidR="00565805" w:rsidRPr="00CB2218" w:rsidRDefault="00565805" w:rsidP="008864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ru-RU"/>
              </w:rPr>
            </w:pPr>
          </w:p>
        </w:tc>
        <w:tc>
          <w:tcPr>
            <w:tcW w:w="1086" w:type="dxa"/>
            <w:tcBorders>
              <w:top w:val="nil"/>
            </w:tcBorders>
          </w:tcPr>
          <w:p w:rsidR="00565805" w:rsidRPr="00CB2218" w:rsidRDefault="00565805" w:rsidP="0088642A">
            <w:pPr>
              <w:pStyle w:val="a3"/>
              <w:tabs>
                <w:tab w:val="clear" w:pos="4677"/>
                <w:tab w:val="clear" w:pos="9355"/>
              </w:tabs>
              <w:rPr>
                <w:rFonts w:ascii="Times New Roman" w:hAnsi="Times New Roman"/>
                <w:color w:val="002060"/>
                <w:lang w:val="ru-RU"/>
              </w:rPr>
            </w:pPr>
          </w:p>
        </w:tc>
      </w:tr>
    </w:tbl>
    <w:p w:rsidR="00565805" w:rsidRPr="008D509F" w:rsidRDefault="00565805" w:rsidP="0088642A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D509F">
        <w:rPr>
          <w:rFonts w:ascii="Times New Roman" w:hAnsi="Times New Roman"/>
          <w:sz w:val="20"/>
          <w:szCs w:val="20"/>
        </w:rPr>
        <w:t>До реєстр. № </w:t>
      </w:r>
      <w:r w:rsidR="008D509F" w:rsidRPr="008D509F">
        <w:rPr>
          <w:rFonts w:ascii="Times New Roman" w:hAnsi="Times New Roman"/>
          <w:sz w:val="20"/>
          <w:szCs w:val="20"/>
        </w:rPr>
        <w:t>4147</w:t>
      </w:r>
      <w:r w:rsidRPr="008D509F">
        <w:rPr>
          <w:rFonts w:ascii="Times New Roman" w:hAnsi="Times New Roman"/>
          <w:sz w:val="20"/>
          <w:szCs w:val="20"/>
        </w:rPr>
        <w:t xml:space="preserve"> від 2</w:t>
      </w:r>
      <w:r w:rsidR="008D509F" w:rsidRPr="008D509F">
        <w:rPr>
          <w:rFonts w:ascii="Times New Roman" w:hAnsi="Times New Roman"/>
          <w:sz w:val="20"/>
          <w:szCs w:val="20"/>
        </w:rPr>
        <w:t>3</w:t>
      </w:r>
      <w:r w:rsidRPr="008D509F">
        <w:rPr>
          <w:rFonts w:ascii="Times New Roman" w:hAnsi="Times New Roman"/>
          <w:sz w:val="20"/>
          <w:szCs w:val="20"/>
        </w:rPr>
        <w:t>.0</w:t>
      </w:r>
      <w:r w:rsidR="008D509F" w:rsidRPr="008D509F">
        <w:rPr>
          <w:rFonts w:ascii="Times New Roman" w:hAnsi="Times New Roman"/>
          <w:sz w:val="20"/>
          <w:szCs w:val="20"/>
        </w:rPr>
        <w:t>9</w:t>
      </w:r>
      <w:r w:rsidRPr="008D509F">
        <w:rPr>
          <w:rFonts w:ascii="Times New Roman" w:hAnsi="Times New Roman"/>
          <w:sz w:val="20"/>
          <w:szCs w:val="20"/>
        </w:rPr>
        <w:t>.202</w:t>
      </w:r>
      <w:r w:rsidR="008D509F" w:rsidRPr="008D509F">
        <w:rPr>
          <w:rFonts w:ascii="Times New Roman" w:hAnsi="Times New Roman"/>
          <w:sz w:val="20"/>
          <w:szCs w:val="20"/>
        </w:rPr>
        <w:t>0</w:t>
      </w:r>
      <w:r w:rsidRPr="008D509F">
        <w:rPr>
          <w:rFonts w:ascii="Times New Roman" w:hAnsi="Times New Roman"/>
          <w:sz w:val="20"/>
          <w:szCs w:val="20"/>
        </w:rPr>
        <w:t xml:space="preserve"> р.</w:t>
      </w:r>
    </w:p>
    <w:p w:rsidR="00565805" w:rsidRPr="008D509F" w:rsidRDefault="00565805" w:rsidP="0088642A">
      <w:pPr>
        <w:spacing w:after="0" w:line="240" w:lineRule="auto"/>
        <w:jc w:val="right"/>
        <w:rPr>
          <w:rFonts w:ascii="Times New Roman" w:hAnsi="Times New Roman"/>
          <w:sz w:val="20"/>
          <w:szCs w:val="20"/>
        </w:rPr>
      </w:pPr>
      <w:r w:rsidRPr="008D509F">
        <w:rPr>
          <w:rFonts w:ascii="Times New Roman" w:hAnsi="Times New Roman"/>
          <w:sz w:val="20"/>
          <w:szCs w:val="20"/>
        </w:rPr>
        <w:t>(друге читання)</w:t>
      </w:r>
    </w:p>
    <w:p w:rsidR="00565805" w:rsidRPr="00565805" w:rsidRDefault="00565805" w:rsidP="0088642A">
      <w:pPr>
        <w:spacing w:after="0" w:line="240" w:lineRule="auto"/>
        <w:jc w:val="right"/>
      </w:pPr>
    </w:p>
    <w:p w:rsidR="00565805" w:rsidRPr="00565805" w:rsidRDefault="00565805" w:rsidP="0088642A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65805">
        <w:rPr>
          <w:sz w:val="28"/>
          <w:szCs w:val="28"/>
        </w:rPr>
        <w:t>ЗАУВАЖЕННЯ</w:t>
      </w:r>
    </w:p>
    <w:p w:rsidR="00565805" w:rsidRPr="00565805" w:rsidRDefault="00565805" w:rsidP="0088642A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65805">
        <w:rPr>
          <w:sz w:val="28"/>
          <w:szCs w:val="28"/>
        </w:rPr>
        <w:t xml:space="preserve">до проекту Закону України про внесення змін до деяких </w:t>
      </w:r>
      <w:r w:rsidR="008D509F">
        <w:rPr>
          <w:sz w:val="28"/>
          <w:szCs w:val="28"/>
        </w:rPr>
        <w:t>законодавчих актів</w:t>
      </w:r>
      <w:r w:rsidRPr="00565805">
        <w:rPr>
          <w:sz w:val="28"/>
          <w:szCs w:val="28"/>
        </w:rPr>
        <w:t xml:space="preserve"> </w:t>
      </w:r>
      <w:r w:rsidR="008D509F">
        <w:rPr>
          <w:sz w:val="28"/>
          <w:szCs w:val="28"/>
        </w:rPr>
        <w:t>України</w:t>
      </w:r>
      <w:r w:rsidRPr="00565805">
        <w:rPr>
          <w:sz w:val="28"/>
          <w:szCs w:val="28"/>
        </w:rPr>
        <w:t xml:space="preserve"> що</w:t>
      </w:r>
      <w:r w:rsidR="008D509F">
        <w:rPr>
          <w:sz w:val="28"/>
          <w:szCs w:val="28"/>
        </w:rPr>
        <w:t>до</w:t>
      </w:r>
      <w:r w:rsidRPr="00565805">
        <w:rPr>
          <w:sz w:val="28"/>
          <w:szCs w:val="28"/>
        </w:rPr>
        <w:t xml:space="preserve"> </w:t>
      </w:r>
      <w:r w:rsidR="008D509F">
        <w:rPr>
          <w:sz w:val="28"/>
          <w:szCs w:val="28"/>
        </w:rPr>
        <w:t>функціонування національної системи кваліфікації</w:t>
      </w:r>
    </w:p>
    <w:p w:rsidR="00565805" w:rsidRPr="00565805" w:rsidRDefault="00565805" w:rsidP="0088642A">
      <w:pPr>
        <w:pStyle w:val="3"/>
        <w:spacing w:before="0" w:beforeAutospacing="0" w:after="0" w:afterAutospacing="0"/>
        <w:jc w:val="center"/>
        <w:rPr>
          <w:sz w:val="28"/>
          <w:szCs w:val="28"/>
        </w:rPr>
      </w:pPr>
      <w:r w:rsidRPr="00565805">
        <w:rPr>
          <w:b w:val="0"/>
          <w:sz w:val="28"/>
          <w:szCs w:val="28"/>
        </w:rPr>
        <w:t>(реєстр. № </w:t>
      </w:r>
      <w:r w:rsidR="008D509F">
        <w:rPr>
          <w:b w:val="0"/>
          <w:sz w:val="28"/>
          <w:szCs w:val="28"/>
        </w:rPr>
        <w:t>4147</w:t>
      </w:r>
      <w:r w:rsidRPr="00565805">
        <w:rPr>
          <w:b w:val="0"/>
          <w:sz w:val="28"/>
          <w:szCs w:val="28"/>
        </w:rPr>
        <w:t>)</w:t>
      </w:r>
    </w:p>
    <w:p w:rsidR="0088642A" w:rsidRPr="00565805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5805" w:rsidRDefault="00565805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У Головному юридичному управлінні розглянуто </w:t>
      </w:r>
      <w:r w:rsidR="008D509F">
        <w:rPr>
          <w:rFonts w:ascii="Times New Roman" w:eastAsia="Times New Roman" w:hAnsi="Times New Roman"/>
          <w:sz w:val="28"/>
          <w:szCs w:val="28"/>
          <w:lang w:eastAsia="ru-RU"/>
        </w:rPr>
        <w:t xml:space="preserve">зазначений 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законопроект, підготовлений Комітетом</w:t>
      </w:r>
      <w:r w:rsidR="008D509F" w:rsidRPr="008D509F">
        <w:rPr>
          <w:rFonts w:ascii="Times New Roman" w:eastAsia="Times New Roman" w:hAnsi="Times New Roman"/>
          <w:sz w:val="28"/>
          <w:szCs w:val="28"/>
          <w:lang w:eastAsia="ru-RU"/>
        </w:rPr>
        <w:t xml:space="preserve"> з питань соціальної політики та захисту прав ветеранів до другого читання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B2218" w:rsidRDefault="00CB2218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Законопроектом п</w:t>
      </w:r>
      <w:r w:rsidR="00F66A8A">
        <w:rPr>
          <w:rFonts w:ascii="Times New Roman" w:eastAsia="Times New Roman" w:hAnsi="Times New Roman"/>
          <w:sz w:val="28"/>
          <w:szCs w:val="28"/>
          <w:lang w:eastAsia="ru-RU"/>
        </w:rPr>
        <w:t>ропонуються зміни до Кодексу зак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онів про працю України, </w:t>
      </w:r>
      <w:r w:rsidR="00F66A8A">
        <w:rPr>
          <w:rFonts w:ascii="Times New Roman" w:eastAsia="Times New Roman" w:hAnsi="Times New Roman"/>
          <w:sz w:val="28"/>
          <w:szCs w:val="28"/>
          <w:lang w:eastAsia="ru-RU"/>
        </w:rPr>
        <w:t>законів України "Про оплату праці", "Про освіту", "Про зайнятість населення"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 xml:space="preserve">, зокрема щодо </w:t>
      </w:r>
      <w:r w:rsid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регламентації 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 xml:space="preserve">діяльності Національного агентства кваліфікацій, </w:t>
      </w:r>
      <w:r w:rsidR="00875758" w:rsidRPr="00875758">
        <w:rPr>
          <w:rFonts w:ascii="Times New Roman" w:eastAsia="Times New Roman" w:hAnsi="Times New Roman"/>
          <w:sz w:val="28"/>
          <w:szCs w:val="28"/>
          <w:lang w:eastAsia="ru-RU"/>
        </w:rPr>
        <w:t>як "</w:t>
      </w:r>
      <w:r w:rsidR="00875758" w:rsidRPr="00875758">
        <w:rPr>
          <w:rFonts w:ascii="Times New Roman" w:hAnsi="Times New Roman"/>
          <w:sz w:val="28"/>
          <w:szCs w:val="28"/>
        </w:rPr>
        <w:t xml:space="preserve">постійно діючого колегіального органу, що здійснює визначені цим Законом та іншими актами законодавства функції у сфері кваліфікацій" та "юридичної особи публічного права, що утворюється Кабінетом Міністрів України та діє на </w:t>
      </w:r>
      <w:r w:rsidR="00875758" w:rsidRPr="002F1785">
        <w:rPr>
          <w:rFonts w:ascii="Times New Roman" w:eastAsia="Times New Roman" w:hAnsi="Times New Roman"/>
          <w:sz w:val="28"/>
          <w:szCs w:val="28"/>
          <w:lang w:eastAsia="ru-RU"/>
        </w:rPr>
        <w:t>основі статуту, затвердженого Кабінетом Міністрів України"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 xml:space="preserve">, а також утворення "галузевої ради з розроблення професійних стандартів", яка є </w:t>
      </w:r>
      <w:r w:rsidR="002F1785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 xml:space="preserve">робочим органом, що утворюється за галузевою ознакою </w:t>
      </w:r>
      <w:r w:rsidR="00C76DE2">
        <w:rPr>
          <w:rFonts w:ascii="Times New Roman" w:eastAsia="Times New Roman" w:hAnsi="Times New Roman"/>
          <w:sz w:val="28"/>
          <w:szCs w:val="28"/>
          <w:lang w:eastAsia="ru-RU"/>
        </w:rPr>
        <w:t>з метою розроблення професійних стандартів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="002F1785">
        <w:rPr>
          <w:rFonts w:ascii="Times New Roman" w:eastAsia="Times New Roman" w:hAnsi="Times New Roman"/>
          <w:sz w:val="28"/>
          <w:szCs w:val="28"/>
          <w:lang w:eastAsia="ru-RU"/>
        </w:rPr>
        <w:t xml:space="preserve"> та "</w:t>
      </w:r>
      <w:r w:rsidR="002F1785" w:rsidRPr="002F1785">
        <w:rPr>
          <w:rFonts w:ascii="Times New Roman" w:eastAsia="Times New Roman" w:hAnsi="Times New Roman"/>
          <w:sz w:val="28"/>
          <w:szCs w:val="28"/>
          <w:lang w:eastAsia="ru-RU"/>
        </w:rPr>
        <w:t>може здійснювати свою діяльність зі статусом юридичної особи або без такого</w:t>
      </w:r>
      <w:r w:rsidR="002F1785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="0087575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5E00" w:rsidRPr="00875758" w:rsidRDefault="00875758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Проте, </w:t>
      </w:r>
      <w:r w:rsidRPr="00875758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r w:rsidR="003A5E00" w:rsidRPr="00875758">
        <w:rPr>
          <w:rFonts w:ascii="Times New Roman" w:eastAsia="Times New Roman" w:hAnsi="Times New Roman"/>
          <w:sz w:val="28"/>
          <w:szCs w:val="28"/>
          <w:lang w:eastAsia="ru-RU"/>
        </w:rPr>
        <w:t>а такого підходу, законопроектом створюється підґрунтя, за яких Верховна Рада України вказує Кабінету Міністрів України, як саме і у який спосіб він має виконувати покладені на нього законодавчими актами повноваження, а відтак – перебирає на себе виконання цих повноважень залишаючи за Кабінетом Міністрів України формально-технічні функції.</w:t>
      </w:r>
    </w:p>
    <w:p w:rsidR="003A5E00" w:rsidRDefault="003A5E00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75758">
        <w:rPr>
          <w:rFonts w:ascii="Times New Roman" w:eastAsia="Times New Roman" w:hAnsi="Times New Roman"/>
          <w:sz w:val="28"/>
          <w:szCs w:val="28"/>
          <w:lang w:eastAsia="ru-RU"/>
        </w:rPr>
        <w:t xml:space="preserve">Як вже неодноразово зазначалося Головним юридичним управлінням, такий законодавчий підхід не відповідає приписам статей 6 та 19 Конституції України, а також правовій позиції Конституційного Суду України, згідно з якою неухильне додержання органами державної влади Конституції та законів України забезпечує реалізацію принципу поділу влади, є запорукою їх єдності та важливою передумовою стабільності і злагоди в державі (рішення від 2 березня 1999 року № 2-рп, від 1 квітня 2008 року №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 xml:space="preserve">4-рп, від 8 вересня 2009 року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br/>
        <w:t>№ </w:t>
      </w:r>
      <w:r w:rsidRPr="00875758">
        <w:rPr>
          <w:rFonts w:ascii="Times New Roman" w:eastAsia="Times New Roman" w:hAnsi="Times New Roman"/>
          <w:sz w:val="28"/>
          <w:szCs w:val="28"/>
          <w:lang w:eastAsia="ru-RU"/>
        </w:rPr>
        <w:t>19-рп, від 11 березня 2011 року №</w:t>
      </w:r>
      <w:r w:rsidR="00C76DE2">
        <w:rPr>
          <w:rFonts w:ascii="Times New Roman" w:eastAsia="Times New Roman" w:hAnsi="Times New Roman"/>
          <w:sz w:val="28"/>
          <w:szCs w:val="28"/>
          <w:lang w:eastAsia="ru-RU"/>
        </w:rPr>
        <w:t> </w:t>
      </w:r>
      <w:r w:rsidRPr="00875758">
        <w:rPr>
          <w:rFonts w:ascii="Times New Roman" w:eastAsia="Times New Roman" w:hAnsi="Times New Roman"/>
          <w:sz w:val="28"/>
          <w:szCs w:val="28"/>
          <w:lang w:eastAsia="ru-RU"/>
        </w:rPr>
        <w:t>2-рп).</w:t>
      </w:r>
    </w:p>
    <w:p w:rsidR="0088642A" w:rsidRPr="00875758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65805" w:rsidRDefault="00C76DE2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Крім того, є незрозумілим "робочим органом" якого органу (або установи?) є галузева рада. </w:t>
      </w:r>
    </w:p>
    <w:p w:rsidR="00001B3D" w:rsidRPr="00001B3D" w:rsidRDefault="00193872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Так, з огляду на </w:t>
      </w:r>
      <w:r w:rsidR="004D2E82" w:rsidRPr="00001B3D">
        <w:rPr>
          <w:rFonts w:ascii="Times New Roman" w:eastAsia="Times New Roman" w:hAnsi="Times New Roman"/>
          <w:sz w:val="28"/>
          <w:szCs w:val="28"/>
          <w:lang w:eastAsia="ru-RU"/>
        </w:rPr>
        <w:t>положення нової статті 39</w:t>
      </w:r>
      <w:r w:rsidR="004D2E82" w:rsidRPr="00001B3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4D2E82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"Про освіту" в редакції законопроекту "</w:t>
      </w:r>
      <w:r w:rsidR="00001B3D">
        <w:rPr>
          <w:rFonts w:ascii="Times New Roman" w:eastAsia="Times New Roman" w:hAnsi="Times New Roman"/>
          <w:sz w:val="28"/>
          <w:szCs w:val="28"/>
          <w:lang w:eastAsia="ru-RU"/>
        </w:rPr>
        <w:t>г</w:t>
      </w:r>
      <w:r w:rsidR="00001B3D" w:rsidRPr="00001B3D">
        <w:rPr>
          <w:rFonts w:ascii="Times New Roman" w:eastAsia="Times New Roman" w:hAnsi="Times New Roman"/>
          <w:sz w:val="28"/>
          <w:szCs w:val="28"/>
          <w:lang w:eastAsia="ru-RU"/>
        </w:rPr>
        <w:t>алузева рада з розроблення професійних стандартів є робочим органом, що утворюється за галузевою ознакою з метою розроблення професійних стандартів.</w:t>
      </w:r>
    </w:p>
    <w:p w:rsidR="00193872" w:rsidRPr="00001B3D" w:rsidRDefault="00001B3D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001B3D">
        <w:rPr>
          <w:rFonts w:ascii="Times New Roman" w:eastAsia="Times New Roman" w:hAnsi="Times New Roman"/>
          <w:sz w:val="28"/>
          <w:szCs w:val="28"/>
          <w:lang w:eastAsia="ru-RU"/>
        </w:rPr>
        <w:t>Склад галузевої ради з розроблення професійних стандартів формується та затверджується її засновником (засновниками)</w:t>
      </w:r>
      <w:r w:rsidR="004D2E82" w:rsidRPr="00001B3D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001B3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04B8A" w:rsidRPr="00404B8A" w:rsidRDefault="002F1785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При цьому, законопроектом</w:t>
      </w:r>
      <w:r w:rsidR="00404B8A">
        <w:rPr>
          <w:rFonts w:ascii="Times New Roman" w:eastAsia="Times New Roman" w:hAnsi="Times New Roman"/>
          <w:sz w:val="28"/>
          <w:szCs w:val="28"/>
          <w:lang w:eastAsia="ru-RU"/>
        </w:rPr>
        <w:t xml:space="preserve"> визначається склад галузевої ради: "</w:t>
      </w:r>
      <w:r w:rsidR="00404B8A" w:rsidRPr="00404B8A">
        <w:rPr>
          <w:rFonts w:ascii="Times New Roman" w:eastAsia="Times New Roman" w:hAnsi="Times New Roman"/>
          <w:sz w:val="28"/>
          <w:szCs w:val="28"/>
          <w:lang w:eastAsia="ru-RU"/>
        </w:rPr>
        <w:t>до складу галузевої ради з розроблення професійних стандартів входять представники: підприємств (роботодавців) відповідної галузі; репрезентативних на національному чи галузевому рівні об’єднань професійних спілок (за наявності).</w:t>
      </w:r>
    </w:p>
    <w:p w:rsidR="00404B8A" w:rsidRDefault="00404B8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До складу галузевої ради з розроблення професійних стандартів можуть входити також представники: репрезентативних на національному чи галузевому рівні об’єднань організацій роботодавців; громадських об’єднань, основно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>ю метою діяльності яких відпові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дно до статуту є захист професійних інтересів, їх асоціацій; органів державної влади та/або органів місцевого самоврядування; закладів освіти тощо.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"</w:t>
      </w:r>
    </w:p>
    <w:p w:rsidR="002F1785" w:rsidRDefault="002F1785" w:rsidP="002F1785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Однак</w:t>
      </w:r>
      <w:bookmarkStart w:id="0" w:name="_GoBack"/>
      <w:bookmarkEnd w:id="0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частиною другою статті 39 чинного Закону України "Про освіту" передбачено, що "п</w:t>
      </w:r>
      <w:r w:rsidRPr="00404B8A">
        <w:rPr>
          <w:rStyle w:val="rvts0"/>
          <w:rFonts w:ascii="Times New Roman" w:hAnsi="Times New Roman"/>
          <w:sz w:val="28"/>
          <w:szCs w:val="28"/>
        </w:rPr>
        <w:t>рофесійні стандарти можуть розроблятися роботодавцями, їх організаціями та об’єднаннями, органами державної влади, науковими установами, галузевими радами, громадськими об’єднаннями, іншими зацікавленими суб’єктами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".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Така ж норма передбачається і частиною другою статті 4</w:t>
      </w:r>
      <w:r w:rsidRPr="00404B8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законів про працю України в редакції законопроекту (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підпункт 1 пункту </w:t>
      </w:r>
      <w:r w:rsidRPr="00404B8A">
        <w:rPr>
          <w:rFonts w:ascii="Times New Roman" w:eastAsia="Times New Roman" w:hAnsi="Times New Roman"/>
          <w:sz w:val="28"/>
          <w:szCs w:val="28"/>
          <w:lang w:eastAsia="ru-RU"/>
        </w:rPr>
        <w:t>1 розділу І законопроекту)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FE5CBD" w:rsidRDefault="002F1785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Таким чином, запропоноване новою статтею </w:t>
      </w:r>
      <w:r w:rsidRPr="00001B3D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Pr="00FE5CB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"Про освіту" в редакції законопроекту</w:t>
      </w:r>
      <w:r w:rsidR="00193872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 xml:space="preserve">не узгоджується із положеннями статті </w:t>
      </w:r>
      <w:r w:rsidR="00FE5CBD" w:rsidRPr="00404B8A">
        <w:rPr>
          <w:rFonts w:ascii="Times New Roman" w:eastAsia="Times New Roman" w:hAnsi="Times New Roman"/>
          <w:sz w:val="28"/>
          <w:szCs w:val="28"/>
          <w:lang w:eastAsia="ru-RU"/>
        </w:rPr>
        <w:t>39 чинного Закону України "Про освіту"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не кореспондується з </w:t>
      </w:r>
      <w:r w:rsidR="00FE5CBD" w:rsidRPr="00404B8A">
        <w:rPr>
          <w:rFonts w:ascii="Times New Roman" w:eastAsia="Times New Roman" w:hAnsi="Times New Roman"/>
          <w:sz w:val="28"/>
          <w:szCs w:val="28"/>
          <w:lang w:eastAsia="ru-RU"/>
        </w:rPr>
        <w:t>частиною другою статті 4</w:t>
      </w:r>
      <w:r w:rsidR="00FE5CBD" w:rsidRPr="00404B8A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2</w:t>
      </w:r>
      <w:r w:rsidR="00FE5CBD" w:rsidRPr="00404B8A">
        <w:rPr>
          <w:rFonts w:ascii="Times New Roman" w:eastAsia="Times New Roman" w:hAnsi="Times New Roman"/>
          <w:sz w:val="28"/>
          <w:szCs w:val="28"/>
          <w:lang w:eastAsia="ru-RU"/>
        </w:rPr>
        <w:t xml:space="preserve"> Кодексу законів про працю України в редакції законопроекту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193872" w:rsidRPr="00001B3D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Тобто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 xml:space="preserve">, положення статті </w:t>
      </w:r>
      <w:r w:rsidR="00FE5CBD" w:rsidRPr="00001B3D">
        <w:rPr>
          <w:rFonts w:ascii="Times New Roman" w:eastAsia="Times New Roman" w:hAnsi="Times New Roman"/>
          <w:sz w:val="28"/>
          <w:szCs w:val="28"/>
          <w:lang w:eastAsia="ru-RU"/>
        </w:rPr>
        <w:t>39</w:t>
      </w:r>
      <w:r w:rsidR="00FE5CBD" w:rsidRPr="00FE5CBD">
        <w:rPr>
          <w:rFonts w:ascii="Times New Roman" w:eastAsia="Times New Roman" w:hAnsi="Times New Roman"/>
          <w:sz w:val="28"/>
          <w:szCs w:val="28"/>
          <w:vertAlign w:val="superscript"/>
          <w:lang w:eastAsia="ru-RU"/>
        </w:rPr>
        <w:t>1</w:t>
      </w:r>
      <w:r w:rsidR="00FE5CBD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"Про освіту" в редакції законопроекту</w:t>
      </w:r>
      <w:r w:rsidR="00193872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відповіда</w:t>
      </w:r>
      <w:r w:rsidR="00FE5CBD">
        <w:rPr>
          <w:rFonts w:ascii="Times New Roman" w:eastAsia="Times New Roman" w:hAnsi="Times New Roman"/>
          <w:sz w:val="28"/>
          <w:szCs w:val="28"/>
          <w:lang w:eastAsia="ru-RU"/>
        </w:rPr>
        <w:t>ють</w:t>
      </w:r>
      <w:r w:rsidR="00193872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конституційним принципам верховенства права та визначенню України правовою державою (статті 1 та 8 Конституції України), а також спричиняють юридичну невизначеність, яка, як зазначив Конституційний Суд України у Висновку від 20 листопада 2019 року № 6-в/2019, є несумісною і</w:t>
      </w:r>
      <w:r w:rsidR="00717993">
        <w:rPr>
          <w:rFonts w:ascii="Times New Roman" w:eastAsia="Times New Roman" w:hAnsi="Times New Roman"/>
          <w:sz w:val="28"/>
          <w:szCs w:val="28"/>
          <w:lang w:eastAsia="ru-RU"/>
        </w:rPr>
        <w:t>з принципом верховенства права.</w:t>
      </w:r>
      <w:r w:rsidR="00193872" w:rsidRPr="00001B3D">
        <w:rPr>
          <w:rFonts w:ascii="Times New Roman" w:eastAsia="Times New Roman" w:hAnsi="Times New Roman"/>
          <w:sz w:val="28"/>
          <w:szCs w:val="28"/>
          <w:lang w:eastAsia="ru-RU"/>
        </w:rPr>
        <w:t xml:space="preserve"> Недотримання </w:t>
      </w:r>
      <w:r w:rsidR="004D48ED">
        <w:rPr>
          <w:rFonts w:ascii="Times New Roman" w:eastAsia="Times New Roman" w:hAnsi="Times New Roman"/>
          <w:sz w:val="28"/>
          <w:szCs w:val="28"/>
          <w:lang w:eastAsia="ru-RU"/>
        </w:rPr>
        <w:t xml:space="preserve">цього принципу, у тому числі його складових – </w:t>
      </w:r>
      <w:r w:rsidR="004D48ED" w:rsidRPr="00001B3D">
        <w:rPr>
          <w:rFonts w:ascii="Times New Roman" w:eastAsia="Times New Roman" w:hAnsi="Times New Roman"/>
          <w:sz w:val="28"/>
          <w:szCs w:val="28"/>
          <w:lang w:eastAsia="ru-RU"/>
        </w:rPr>
        <w:t>чіткості, ясності і</w:t>
      </w:r>
      <w:r w:rsidR="004D48ED">
        <w:rPr>
          <w:rFonts w:ascii="Times New Roman" w:eastAsia="Times New Roman" w:hAnsi="Times New Roman"/>
          <w:sz w:val="28"/>
          <w:szCs w:val="28"/>
          <w:lang w:eastAsia="ru-RU"/>
        </w:rPr>
        <w:t xml:space="preserve"> недвозначності юридичних норм – </w:t>
      </w:r>
      <w:r w:rsidR="00193872" w:rsidRPr="00001B3D">
        <w:rPr>
          <w:rFonts w:ascii="Times New Roman" w:eastAsia="Times New Roman" w:hAnsi="Times New Roman"/>
          <w:sz w:val="28"/>
          <w:szCs w:val="28"/>
          <w:lang w:eastAsia="ru-RU"/>
        </w:rPr>
        <w:t>дає підстави для довільних тлумачень законодавчих норм, ускладнює їх правильне застосування.</w:t>
      </w:r>
    </w:p>
    <w:p w:rsidR="0088642A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C3A23" w:rsidRDefault="00FE5CBD" w:rsidP="0088642A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r w:rsidR="009C3A23" w:rsidRPr="00050188">
        <w:rPr>
          <w:rFonts w:ascii="Times New Roman" w:eastAsia="Times New Roman" w:hAnsi="Times New Roman"/>
          <w:sz w:val="28"/>
          <w:szCs w:val="28"/>
          <w:lang w:eastAsia="ru-RU"/>
        </w:rPr>
        <w:t>огоджує</w:t>
      </w:r>
      <w:r w:rsidR="009C3A23">
        <w:rPr>
          <w:rFonts w:ascii="Times New Roman" w:eastAsia="Times New Roman" w:hAnsi="Times New Roman"/>
          <w:sz w:val="28"/>
          <w:szCs w:val="28"/>
          <w:lang w:eastAsia="ru-RU"/>
        </w:rPr>
        <w:t>мося</w:t>
      </w:r>
      <w:r w:rsidR="009C3A23" w:rsidRPr="00050188">
        <w:rPr>
          <w:rFonts w:ascii="Times New Roman" w:eastAsia="Times New Roman" w:hAnsi="Times New Roman"/>
          <w:sz w:val="28"/>
          <w:szCs w:val="28"/>
          <w:lang w:eastAsia="ru-RU"/>
        </w:rPr>
        <w:t xml:space="preserve"> із зауваженнями Головного науково-експертного управління </w:t>
      </w:r>
      <w:r w:rsidR="009C3A23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r w:rsidR="009C3A23" w:rsidRPr="00050188">
        <w:rPr>
          <w:rFonts w:ascii="Times New Roman" w:eastAsia="Times New Roman" w:hAnsi="Times New Roman"/>
          <w:sz w:val="28"/>
          <w:szCs w:val="28"/>
          <w:lang w:eastAsia="ru-RU"/>
        </w:rPr>
        <w:t xml:space="preserve"> неприпустим</w:t>
      </w:r>
      <w:r w:rsidR="009C3A23">
        <w:rPr>
          <w:rFonts w:ascii="Times New Roman" w:eastAsia="Times New Roman" w:hAnsi="Times New Roman"/>
          <w:sz w:val="28"/>
          <w:szCs w:val="28"/>
          <w:lang w:eastAsia="ru-RU"/>
        </w:rPr>
        <w:t>ості</w:t>
      </w:r>
      <w:r w:rsidR="009C3A23" w:rsidRPr="00050188">
        <w:rPr>
          <w:rFonts w:ascii="Times New Roman" w:eastAsia="Times New Roman" w:hAnsi="Times New Roman"/>
          <w:sz w:val="28"/>
          <w:szCs w:val="28"/>
          <w:lang w:eastAsia="ru-RU"/>
        </w:rPr>
        <w:t xml:space="preserve"> дублювання положень </w:t>
      </w:r>
      <w:r w:rsidR="009C3A23" w:rsidRPr="00050188">
        <w:rPr>
          <w:rFonts w:ascii="Times New Roman" w:hAnsi="Times New Roman"/>
          <w:bCs/>
          <w:sz w:val="28"/>
          <w:szCs w:val="28"/>
        </w:rPr>
        <w:t xml:space="preserve">у різних законах, що може ускладнити застосування </w:t>
      </w:r>
      <w:r w:rsidR="001809D9">
        <w:rPr>
          <w:rFonts w:ascii="Times New Roman" w:hAnsi="Times New Roman"/>
          <w:bCs/>
          <w:sz w:val="28"/>
          <w:szCs w:val="28"/>
        </w:rPr>
        <w:t>їх</w:t>
      </w:r>
      <w:r w:rsidR="009C3A23" w:rsidRPr="00050188">
        <w:rPr>
          <w:rFonts w:ascii="Times New Roman" w:hAnsi="Times New Roman"/>
          <w:bCs/>
          <w:sz w:val="28"/>
          <w:szCs w:val="28"/>
        </w:rPr>
        <w:t xml:space="preserve"> на практиці</w:t>
      </w:r>
      <w:r w:rsidR="009C3A23">
        <w:rPr>
          <w:rFonts w:ascii="Times New Roman" w:hAnsi="Times New Roman"/>
          <w:bCs/>
          <w:sz w:val="28"/>
          <w:szCs w:val="28"/>
        </w:rPr>
        <w:t>. Зазначене стосується нових статей 4</w:t>
      </w:r>
      <w:r w:rsidR="009C3A23" w:rsidRPr="00050188">
        <w:rPr>
          <w:rFonts w:ascii="Times New Roman" w:hAnsi="Times New Roman"/>
          <w:bCs/>
          <w:sz w:val="28"/>
          <w:szCs w:val="28"/>
          <w:vertAlign w:val="superscript"/>
        </w:rPr>
        <w:t>1</w:t>
      </w:r>
      <w:r w:rsidR="009C3A23">
        <w:rPr>
          <w:rFonts w:ascii="Times New Roman" w:hAnsi="Times New Roman"/>
          <w:bCs/>
          <w:sz w:val="28"/>
          <w:szCs w:val="28"/>
        </w:rPr>
        <w:t xml:space="preserve"> та 4</w:t>
      </w:r>
      <w:r w:rsidR="009C3A23" w:rsidRPr="00050188">
        <w:rPr>
          <w:rFonts w:ascii="Times New Roman" w:hAnsi="Times New Roman"/>
          <w:bCs/>
          <w:sz w:val="28"/>
          <w:szCs w:val="28"/>
          <w:vertAlign w:val="superscript"/>
        </w:rPr>
        <w:t>2</w:t>
      </w:r>
      <w:r w:rsidR="009C3A23">
        <w:rPr>
          <w:rFonts w:ascii="Times New Roman" w:hAnsi="Times New Roman"/>
          <w:bCs/>
          <w:sz w:val="28"/>
          <w:szCs w:val="28"/>
        </w:rPr>
        <w:t xml:space="preserve"> Кодексу законів про працю України, які дублюють відповідні положення Закону України "Про освіту".</w:t>
      </w:r>
    </w:p>
    <w:p w:rsidR="00FE5CBD" w:rsidRDefault="00FE5CBD" w:rsidP="0088642A">
      <w:pPr>
        <w:spacing w:after="0" w:line="240" w:lineRule="auto"/>
        <w:ind w:firstLine="709"/>
        <w:jc w:val="both"/>
        <w:rPr>
          <w:rFonts w:ascii="Times New Roman" w:hAnsi="Times New Roman"/>
          <w:bCs/>
          <w:sz w:val="28"/>
          <w:szCs w:val="28"/>
        </w:rPr>
      </w:pPr>
    </w:p>
    <w:p w:rsidR="00FE5CBD" w:rsidRDefault="00FE5CBD" w:rsidP="008864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 1 р</w:t>
      </w:r>
      <w:r w:rsidRPr="00FE5CBD">
        <w:rPr>
          <w:rFonts w:ascii="Times New Roman" w:hAnsi="Times New Roman"/>
          <w:sz w:val="28"/>
          <w:szCs w:val="28"/>
        </w:rPr>
        <w:t>озділ</w:t>
      </w:r>
      <w:r>
        <w:rPr>
          <w:rFonts w:ascii="Times New Roman" w:hAnsi="Times New Roman"/>
          <w:sz w:val="28"/>
          <w:szCs w:val="28"/>
        </w:rPr>
        <w:t>у</w:t>
      </w:r>
      <w:r w:rsidRPr="00FE5CBD">
        <w:rPr>
          <w:rFonts w:ascii="Times New Roman" w:hAnsi="Times New Roman"/>
          <w:sz w:val="28"/>
          <w:szCs w:val="28"/>
        </w:rPr>
        <w:t xml:space="preserve"> ІІ законопроекту щодо визначення строку набрання чинності цим Законом (з дня, наступного за днем його опублікування) та </w:t>
      </w:r>
      <w:r>
        <w:rPr>
          <w:rFonts w:ascii="Times New Roman" w:hAnsi="Times New Roman"/>
          <w:sz w:val="28"/>
          <w:szCs w:val="28"/>
        </w:rPr>
        <w:t xml:space="preserve">пункт </w:t>
      </w:r>
      <w:r>
        <w:rPr>
          <w:rFonts w:ascii="Times New Roman" w:hAnsi="Times New Roman"/>
          <w:sz w:val="28"/>
          <w:szCs w:val="28"/>
        </w:rPr>
        <w:lastRenderedPageBreak/>
        <w:t>2 р</w:t>
      </w:r>
      <w:r w:rsidRPr="00FE5CBD">
        <w:rPr>
          <w:rFonts w:ascii="Times New Roman" w:hAnsi="Times New Roman"/>
          <w:sz w:val="28"/>
          <w:szCs w:val="28"/>
        </w:rPr>
        <w:t>озділ</w:t>
      </w:r>
      <w:r>
        <w:rPr>
          <w:rFonts w:ascii="Times New Roman" w:hAnsi="Times New Roman"/>
          <w:sz w:val="28"/>
          <w:szCs w:val="28"/>
        </w:rPr>
        <w:t>у</w:t>
      </w:r>
      <w:r w:rsidRPr="00FE5CBD">
        <w:rPr>
          <w:rFonts w:ascii="Times New Roman" w:hAnsi="Times New Roman"/>
          <w:sz w:val="28"/>
          <w:szCs w:val="28"/>
        </w:rPr>
        <w:t xml:space="preserve"> ІІ законопроекту щодо надання доручення Кабінету Міністрів України протягом </w:t>
      </w:r>
      <w:r>
        <w:rPr>
          <w:rFonts w:ascii="Times New Roman" w:hAnsi="Times New Roman"/>
          <w:sz w:val="28"/>
          <w:szCs w:val="28"/>
        </w:rPr>
        <w:t>одного місяця</w:t>
      </w:r>
      <w:r w:rsidRPr="00FE5CBD">
        <w:rPr>
          <w:rFonts w:ascii="Times New Roman" w:hAnsi="Times New Roman"/>
          <w:sz w:val="28"/>
          <w:szCs w:val="28"/>
        </w:rPr>
        <w:t xml:space="preserve"> з дня набрання чинності цим Законом </w:t>
      </w:r>
      <w:r>
        <w:rPr>
          <w:rFonts w:ascii="Times New Roman" w:hAnsi="Times New Roman"/>
          <w:sz w:val="28"/>
          <w:szCs w:val="28"/>
        </w:rPr>
        <w:t>прийняття нових та узгодження діючих нормативно-правових актів, необхідних для реалізації цього Закону</w:t>
      </w:r>
      <w:r w:rsidRPr="00FE5CBD">
        <w:rPr>
          <w:rFonts w:ascii="Times New Roman" w:hAnsi="Times New Roman"/>
          <w:sz w:val="28"/>
          <w:szCs w:val="28"/>
        </w:rPr>
        <w:t>, є юридично некоректними, оскільки реалізація норм законопроекту ставиться в залежність від прийняття у майбутньому підзаконних нормативно-правових актів.</w:t>
      </w:r>
    </w:p>
    <w:p w:rsidR="0088642A" w:rsidRPr="00FE5CBD" w:rsidRDefault="0088642A" w:rsidP="0088642A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7B5CF6" w:rsidRPr="00565805" w:rsidRDefault="00FE5CBD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Пунктом 3</w:t>
      </w:r>
      <w:r w:rsidR="007B5CF6"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розділу ІI законопроекту Кабінету Міністрів України доручається у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2022</w:t>
      </w:r>
      <w:r w:rsidR="007B5CF6"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ро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ці</w:t>
      </w:r>
      <w:r w:rsidR="007B5CF6"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поінформувати Верховну Раду України про стан виконання цього Закону.</w:t>
      </w:r>
    </w:p>
    <w:p w:rsidR="007B5CF6" w:rsidRPr="00565805" w:rsidRDefault="007B5CF6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lang w:eastAsia="ru-RU"/>
        </w:rPr>
      </w:pP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Підтримуючи необхідність запровадження повноцінного парламентського контролю ефективності впровадження прийнятих законів, звертаємо увагу, що Верховна Рада України і Кабінет Міністрів України як органи державної влади мають діяти відповідно до частини другої статті 19 Конституції України (лише на підставі, в межах повноважень та у спосіб, що передбачені Конституцією та законами України). </w:t>
      </w:r>
    </w:p>
    <w:p w:rsidR="007B5CF6" w:rsidRPr="00565805" w:rsidRDefault="007B5CF6" w:rsidP="0088642A">
      <w:pPr>
        <w:spacing w:after="0" w:line="240" w:lineRule="auto"/>
        <w:ind w:firstLine="709"/>
        <w:jc w:val="both"/>
        <w:rPr>
          <w:rFonts w:eastAsia="Times New Roman" w:cs="Calibri"/>
          <w:lang w:eastAsia="ru-RU"/>
        </w:rPr>
      </w:pP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Наразі статтею 15 Закону України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Про засади державної регуляторної політики у сфері господарської діяльності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передбачено, що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порядок … </w:t>
      </w:r>
      <w:r w:rsidRPr="0088642A">
        <w:rPr>
          <w:rFonts w:ascii="Times New Roman" w:eastAsia="Times New Roman" w:hAnsi="Times New Roman"/>
          <w:sz w:val="28"/>
          <w:szCs w:val="28"/>
          <w:lang w:eastAsia="ru-RU"/>
        </w:rPr>
        <w:t>відстеження результативності та перегляду законів, що регулюють господарські відносини та адміністративні відносини між регуляторними органами або іншими органами державної влади та суб’єктами господарювання, визначаються законом про Регламент Верховної Ради України з урахуванням вимог цього Закону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. А згідно із статтею 16 цього ж закону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Кабінет Міністрів України подає Верховній Раді України інформацію про здійснення державної регуляторної політики в системі органів виконавчої влади. Щорічні звіти Кабінету Міністрів України оприлюднюються шляхом їх опублікування в газетах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Голос України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Урядовий кур’єр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3A24EC" w:rsidRDefault="007B5CF6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Однак, натепер ні Регламентом Верховної Ради України, ні Законом України 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>Про Кабінет Міністрів України</w:t>
      </w:r>
      <w:r w:rsidR="0088642A">
        <w:rPr>
          <w:rFonts w:ascii="Times New Roman" w:eastAsia="Times New Roman" w:hAnsi="Times New Roman"/>
          <w:sz w:val="28"/>
          <w:szCs w:val="28"/>
          <w:lang w:eastAsia="ru-RU"/>
        </w:rPr>
        <w:t>"</w:t>
      </w:r>
      <w:r w:rsidRPr="00565805">
        <w:rPr>
          <w:rFonts w:ascii="Times New Roman" w:eastAsia="Times New Roman" w:hAnsi="Times New Roman"/>
          <w:sz w:val="28"/>
          <w:szCs w:val="28"/>
          <w:lang w:eastAsia="ru-RU"/>
        </w:rPr>
        <w:t xml:space="preserve"> не визначено строки, порядок, критерії та наслідки здійснення Верховною Радою України та Кабінетом Міністрів України оцінки стану виконання закону, а також процедуру подання та розгляду відповідних звітів. Відтак, ефективне впровадження положення, передбаченого законопроектом, можливе за умови внесення відповідних змін до згаданих законодавчих актів.</w:t>
      </w:r>
    </w:p>
    <w:p w:rsidR="0088642A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642A" w:rsidRPr="0088642A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8642A">
        <w:rPr>
          <w:rFonts w:ascii="Times New Roman" w:eastAsia="Times New Roman" w:hAnsi="Times New Roman"/>
          <w:sz w:val="28"/>
          <w:szCs w:val="28"/>
          <w:lang w:eastAsia="ru-RU"/>
        </w:rPr>
        <w:t>Зважаючи на висловлені зауваження, пропонуємо законопроект доопрацювати з урахуванням можливостей, передбачених частиною шостою статті 118 Регламенту Верховної Ради України.</w:t>
      </w:r>
    </w:p>
    <w:p w:rsidR="0088642A" w:rsidRPr="0088642A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642A" w:rsidRPr="0088642A" w:rsidRDefault="0088642A" w:rsidP="0088642A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88642A" w:rsidRPr="00016583" w:rsidRDefault="0088642A" w:rsidP="0088642A">
      <w:pPr>
        <w:spacing w:after="0" w:line="240" w:lineRule="auto"/>
        <w:rPr>
          <w:rStyle w:val="st42"/>
          <w:b/>
          <w:sz w:val="28"/>
          <w:szCs w:val="28"/>
        </w:rPr>
      </w:pPr>
      <w:r w:rsidRPr="00016583">
        <w:rPr>
          <w:rStyle w:val="st42"/>
          <w:b/>
          <w:sz w:val="28"/>
          <w:szCs w:val="28"/>
        </w:rPr>
        <w:t>Заступник керівника</w:t>
      </w:r>
    </w:p>
    <w:p w:rsidR="0088642A" w:rsidRPr="004D48ED" w:rsidRDefault="0088642A" w:rsidP="004D48ED">
      <w:pPr>
        <w:spacing w:after="0" w:line="240" w:lineRule="auto"/>
        <w:rPr>
          <w:b/>
          <w:color w:val="000000"/>
          <w:sz w:val="28"/>
          <w:szCs w:val="28"/>
        </w:rPr>
      </w:pPr>
      <w:r w:rsidRPr="00016583">
        <w:rPr>
          <w:rStyle w:val="st42"/>
          <w:b/>
          <w:sz w:val="28"/>
          <w:szCs w:val="28"/>
        </w:rPr>
        <w:t>Головного управління                                                                 В. МІЛОВАНОВ</w:t>
      </w:r>
    </w:p>
    <w:sectPr w:rsidR="0088642A" w:rsidRPr="004D48ED" w:rsidSect="0088642A">
      <w:headerReference w:type="default" r:id="rId7"/>
      <w:headerReference w:type="first" r:id="rId8"/>
      <w:pgSz w:w="11906" w:h="16838"/>
      <w:pgMar w:top="850" w:right="850" w:bottom="850" w:left="1417" w:header="709" w:footer="709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90A06" w:rsidRDefault="00590A06" w:rsidP="0088642A">
      <w:pPr>
        <w:spacing w:after="0" w:line="240" w:lineRule="auto"/>
      </w:pPr>
      <w:r>
        <w:separator/>
      </w:r>
    </w:p>
  </w:endnote>
  <w:endnote w:type="continuationSeparator" w:id="0">
    <w:p w:rsidR="00590A06" w:rsidRDefault="00590A06" w:rsidP="00886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90A06" w:rsidRDefault="00590A06" w:rsidP="0088642A">
      <w:pPr>
        <w:spacing w:after="0" w:line="240" w:lineRule="auto"/>
      </w:pPr>
      <w:r>
        <w:separator/>
      </w:r>
    </w:p>
  </w:footnote>
  <w:footnote w:type="continuationSeparator" w:id="0">
    <w:p w:rsidR="00590A06" w:rsidRDefault="00590A06" w:rsidP="008864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750260913"/>
      <w:docPartObj>
        <w:docPartGallery w:val="Page Numbers (Top of Page)"/>
        <w:docPartUnique/>
      </w:docPartObj>
    </w:sdtPr>
    <w:sdtEndPr/>
    <w:sdtContent>
      <w:p w:rsidR="0088642A" w:rsidRDefault="0088642A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F1785">
          <w:rPr>
            <w:noProof/>
          </w:rPr>
          <w:t>3</w:t>
        </w:r>
        <w:r>
          <w:fldChar w:fldCharType="end"/>
        </w:r>
      </w:p>
    </w:sdtContent>
  </w:sdt>
  <w:p w:rsidR="0088642A" w:rsidRDefault="0088642A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8642A" w:rsidRDefault="0088642A">
    <w:pPr>
      <w:pStyle w:val="a3"/>
      <w:jc w:val="center"/>
    </w:pPr>
  </w:p>
  <w:p w:rsidR="0088642A" w:rsidRDefault="0088642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CF6"/>
    <w:rsid w:val="00001B3D"/>
    <w:rsid w:val="000021F2"/>
    <w:rsid w:val="000329E0"/>
    <w:rsid w:val="00050188"/>
    <w:rsid w:val="00117F3B"/>
    <w:rsid w:val="00125980"/>
    <w:rsid w:val="00143585"/>
    <w:rsid w:val="00173075"/>
    <w:rsid w:val="001809D9"/>
    <w:rsid w:val="00182C5C"/>
    <w:rsid w:val="00193872"/>
    <w:rsid w:val="001A3D84"/>
    <w:rsid w:val="001A461B"/>
    <w:rsid w:val="001C0D57"/>
    <w:rsid w:val="001C4BCF"/>
    <w:rsid w:val="001C64ED"/>
    <w:rsid w:val="00223226"/>
    <w:rsid w:val="00230BA0"/>
    <w:rsid w:val="00276041"/>
    <w:rsid w:val="00290AD0"/>
    <w:rsid w:val="002A6A4C"/>
    <w:rsid w:val="002C1434"/>
    <w:rsid w:val="002F1785"/>
    <w:rsid w:val="00333542"/>
    <w:rsid w:val="00351F29"/>
    <w:rsid w:val="00385AFA"/>
    <w:rsid w:val="003A5E00"/>
    <w:rsid w:val="003B51F8"/>
    <w:rsid w:val="003C3871"/>
    <w:rsid w:val="003D1AB2"/>
    <w:rsid w:val="003E67AE"/>
    <w:rsid w:val="003F1C10"/>
    <w:rsid w:val="003F689D"/>
    <w:rsid w:val="00404B8A"/>
    <w:rsid w:val="00442CC6"/>
    <w:rsid w:val="00462C62"/>
    <w:rsid w:val="00473306"/>
    <w:rsid w:val="004831DF"/>
    <w:rsid w:val="00492ECE"/>
    <w:rsid w:val="004A3971"/>
    <w:rsid w:val="004D2E82"/>
    <w:rsid w:val="004D48ED"/>
    <w:rsid w:val="004F6B84"/>
    <w:rsid w:val="004F6CAA"/>
    <w:rsid w:val="00500062"/>
    <w:rsid w:val="00506E7A"/>
    <w:rsid w:val="00516D13"/>
    <w:rsid w:val="00565805"/>
    <w:rsid w:val="00585E74"/>
    <w:rsid w:val="0058655C"/>
    <w:rsid w:val="00590A06"/>
    <w:rsid w:val="005B2354"/>
    <w:rsid w:val="00611011"/>
    <w:rsid w:val="00636E18"/>
    <w:rsid w:val="00637233"/>
    <w:rsid w:val="00666F2E"/>
    <w:rsid w:val="006917DF"/>
    <w:rsid w:val="006B270C"/>
    <w:rsid w:val="006E2367"/>
    <w:rsid w:val="00717993"/>
    <w:rsid w:val="00747ECA"/>
    <w:rsid w:val="00752FBF"/>
    <w:rsid w:val="0078407B"/>
    <w:rsid w:val="00791D80"/>
    <w:rsid w:val="007B5CF6"/>
    <w:rsid w:val="007D11D8"/>
    <w:rsid w:val="0082610D"/>
    <w:rsid w:val="00831355"/>
    <w:rsid w:val="00855CB3"/>
    <w:rsid w:val="00875758"/>
    <w:rsid w:val="0088642A"/>
    <w:rsid w:val="008929B6"/>
    <w:rsid w:val="008B5D95"/>
    <w:rsid w:val="008D509F"/>
    <w:rsid w:val="008E4017"/>
    <w:rsid w:val="008E5C96"/>
    <w:rsid w:val="008F1991"/>
    <w:rsid w:val="00912478"/>
    <w:rsid w:val="009A5C04"/>
    <w:rsid w:val="009B0212"/>
    <w:rsid w:val="009C3A23"/>
    <w:rsid w:val="009F0D53"/>
    <w:rsid w:val="00A00A4F"/>
    <w:rsid w:val="00A27577"/>
    <w:rsid w:val="00A6313D"/>
    <w:rsid w:val="00AB1E76"/>
    <w:rsid w:val="00AE2B58"/>
    <w:rsid w:val="00B02B9A"/>
    <w:rsid w:val="00B16F09"/>
    <w:rsid w:val="00B3718A"/>
    <w:rsid w:val="00B4192F"/>
    <w:rsid w:val="00B57B46"/>
    <w:rsid w:val="00B74BF5"/>
    <w:rsid w:val="00B81CA4"/>
    <w:rsid w:val="00B967C8"/>
    <w:rsid w:val="00C118C2"/>
    <w:rsid w:val="00C21A4B"/>
    <w:rsid w:val="00C25E35"/>
    <w:rsid w:val="00C51AA1"/>
    <w:rsid w:val="00C717F9"/>
    <w:rsid w:val="00C76DE2"/>
    <w:rsid w:val="00C87787"/>
    <w:rsid w:val="00CB2218"/>
    <w:rsid w:val="00CB5405"/>
    <w:rsid w:val="00CC099E"/>
    <w:rsid w:val="00CE1FE5"/>
    <w:rsid w:val="00D105F8"/>
    <w:rsid w:val="00D707DF"/>
    <w:rsid w:val="00D937BF"/>
    <w:rsid w:val="00DB6A7B"/>
    <w:rsid w:val="00DE285B"/>
    <w:rsid w:val="00E4604A"/>
    <w:rsid w:val="00E7671C"/>
    <w:rsid w:val="00E966A1"/>
    <w:rsid w:val="00EC56AE"/>
    <w:rsid w:val="00EF2C1E"/>
    <w:rsid w:val="00EF7DC0"/>
    <w:rsid w:val="00F06837"/>
    <w:rsid w:val="00F33B91"/>
    <w:rsid w:val="00F66A8A"/>
    <w:rsid w:val="00FB0546"/>
    <w:rsid w:val="00FD567D"/>
    <w:rsid w:val="00FE5CBD"/>
    <w:rsid w:val="00FF13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7FFBCB"/>
  <w15:chartTrackingRefBased/>
  <w15:docId w15:val="{8242698A-7A09-4D76-BD11-6823CDD512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8"/>
        <w:szCs w:val="28"/>
        <w:lang w:val="uk-UA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CF6"/>
    <w:pPr>
      <w:spacing w:after="160" w:line="259" w:lineRule="auto"/>
      <w:jc w:val="left"/>
    </w:pPr>
    <w:rPr>
      <w:rFonts w:ascii="Calibri" w:eastAsia="Calibri" w:hAnsi="Calibri"/>
      <w:sz w:val="22"/>
      <w:szCs w:val="22"/>
    </w:rPr>
  </w:style>
  <w:style w:type="paragraph" w:styleId="3">
    <w:name w:val="heading 3"/>
    <w:basedOn w:val="a"/>
    <w:link w:val="30"/>
    <w:uiPriority w:val="99"/>
    <w:qFormat/>
    <w:rsid w:val="00565805"/>
    <w:pPr>
      <w:spacing w:before="100" w:beforeAutospacing="1" w:after="100" w:afterAutospacing="1" w:line="240" w:lineRule="auto"/>
      <w:outlineLvl w:val="2"/>
    </w:pPr>
    <w:rPr>
      <w:rFonts w:ascii="Times New Roman" w:hAnsi="Times New Roman"/>
      <w:b/>
      <w:bCs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rsid w:val="00565805"/>
    <w:rPr>
      <w:rFonts w:eastAsia="Calibri"/>
      <w:b/>
      <w:bCs/>
      <w:sz w:val="27"/>
      <w:szCs w:val="27"/>
      <w:lang w:eastAsia="uk-UA"/>
    </w:rPr>
  </w:style>
  <w:style w:type="paragraph" w:styleId="a3">
    <w:name w:val="header"/>
    <w:basedOn w:val="a"/>
    <w:link w:val="a4"/>
    <w:uiPriority w:val="99"/>
    <w:rsid w:val="005658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rsid w:val="00565805"/>
    <w:rPr>
      <w:rFonts w:ascii="Calibri" w:eastAsia="Calibri" w:hAnsi="Calibri"/>
      <w:sz w:val="22"/>
      <w:szCs w:val="22"/>
    </w:rPr>
  </w:style>
  <w:style w:type="table" w:styleId="a5">
    <w:name w:val="Table Grid"/>
    <w:basedOn w:val="a1"/>
    <w:uiPriority w:val="99"/>
    <w:rsid w:val="00565805"/>
    <w:pPr>
      <w:jc w:val="left"/>
    </w:pPr>
    <w:rPr>
      <w:rFonts w:ascii="Calibri" w:eastAsia="Calibri" w:hAnsi="Calibri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Без інтервалів1"/>
    <w:uiPriority w:val="99"/>
    <w:rsid w:val="00565805"/>
    <w:pPr>
      <w:jc w:val="left"/>
    </w:pPr>
    <w:rPr>
      <w:rFonts w:ascii="Calibri" w:eastAsia="Calibri" w:hAnsi="Calibri"/>
      <w:sz w:val="22"/>
      <w:szCs w:val="22"/>
    </w:rPr>
  </w:style>
  <w:style w:type="character" w:customStyle="1" w:styleId="rvts0">
    <w:name w:val="rvts0"/>
    <w:basedOn w:val="a0"/>
    <w:rsid w:val="003A5E00"/>
  </w:style>
  <w:style w:type="paragraph" w:styleId="a6">
    <w:name w:val="footer"/>
    <w:basedOn w:val="a"/>
    <w:link w:val="a7"/>
    <w:uiPriority w:val="99"/>
    <w:unhideWhenUsed/>
    <w:rsid w:val="0088642A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7">
    <w:name w:val="Нижній колонтитул Знак"/>
    <w:basedOn w:val="a0"/>
    <w:link w:val="a6"/>
    <w:uiPriority w:val="99"/>
    <w:rsid w:val="0088642A"/>
    <w:rPr>
      <w:rFonts w:ascii="Calibri" w:eastAsia="Calibri" w:hAnsi="Calibri"/>
      <w:sz w:val="22"/>
      <w:szCs w:val="22"/>
    </w:rPr>
  </w:style>
  <w:style w:type="character" w:customStyle="1" w:styleId="st42">
    <w:name w:val="st42"/>
    <w:uiPriority w:val="99"/>
    <w:rsid w:val="0088642A"/>
    <w:rPr>
      <w:rFonts w:ascii="Times New Roman" w:hAnsi="Times New Roman" w:cs="Times New Roman"/>
      <w:color w:val="000000"/>
    </w:rPr>
  </w:style>
  <w:style w:type="paragraph" w:styleId="a8">
    <w:name w:val="Balloon Text"/>
    <w:basedOn w:val="a"/>
    <w:link w:val="a9"/>
    <w:uiPriority w:val="99"/>
    <w:semiHidden/>
    <w:unhideWhenUsed/>
    <w:rsid w:val="008864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88642A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670</TotalTime>
  <Pages>3</Pages>
  <Words>4849</Words>
  <Characters>2764</Characters>
  <Application>Microsoft Office Word</Application>
  <DocSecurity>0</DocSecurity>
  <Lines>23</Lines>
  <Paragraphs>15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Лідія Олександрівна Жуковіна</dc:creator>
  <cp:keywords/>
  <dc:description/>
  <cp:lastModifiedBy>Лідія Олександрівна Жуковіна</cp:lastModifiedBy>
  <cp:revision>4</cp:revision>
  <cp:lastPrinted>2021-11-30T11:08:00Z</cp:lastPrinted>
  <dcterms:created xsi:type="dcterms:W3CDTF">2021-11-29T08:11:00Z</dcterms:created>
  <dcterms:modified xsi:type="dcterms:W3CDTF">2021-11-30T13:07:00Z</dcterms:modified>
</cp:coreProperties>
</file>