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FC" w:rsidRPr="00556EA9" w:rsidRDefault="00E350A0" w:rsidP="00F35A96">
      <w:pPr>
        <w:pStyle w:val="a3"/>
        <w:tabs>
          <w:tab w:val="clear" w:pos="4677"/>
          <w:tab w:val="clear" w:pos="9355"/>
        </w:tabs>
        <w:ind w:left="397" w:firstLine="397"/>
        <w:jc w:val="center"/>
        <w:rPr>
          <w:color w:val="002060"/>
          <w:sz w:val="32"/>
          <w:szCs w:val="32"/>
        </w:rPr>
      </w:pPr>
      <w:r w:rsidRPr="00556EA9">
        <w:rPr>
          <w:noProof/>
          <w:lang w:val="uk-UA" w:eastAsia="uk-UA"/>
        </w:rPr>
        <w:drawing>
          <wp:anchor distT="360045" distB="0" distL="114300" distR="114300" simplePos="0" relativeHeight="251657728"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DFC" w:rsidRPr="00556EA9" w:rsidRDefault="00D67DFC" w:rsidP="00F35A96">
      <w:pPr>
        <w:pStyle w:val="a3"/>
        <w:tabs>
          <w:tab w:val="clear" w:pos="4677"/>
          <w:tab w:val="clear" w:pos="9355"/>
        </w:tabs>
        <w:ind w:left="397" w:firstLine="397"/>
        <w:jc w:val="center"/>
        <w:rPr>
          <w:color w:val="002060"/>
          <w:sz w:val="32"/>
          <w:szCs w:val="32"/>
        </w:rPr>
      </w:pPr>
    </w:p>
    <w:p w:rsidR="00D67DFC" w:rsidRPr="00556EA9" w:rsidRDefault="00D67DFC" w:rsidP="00F35A96">
      <w:pPr>
        <w:pStyle w:val="a3"/>
        <w:tabs>
          <w:tab w:val="clear" w:pos="4677"/>
          <w:tab w:val="clear" w:pos="9355"/>
        </w:tabs>
        <w:ind w:left="397" w:firstLine="397"/>
        <w:jc w:val="center"/>
        <w:rPr>
          <w:color w:val="002060"/>
          <w:sz w:val="32"/>
          <w:szCs w:val="32"/>
        </w:rPr>
      </w:pPr>
    </w:p>
    <w:p w:rsidR="00D67DFC" w:rsidRPr="00556EA9" w:rsidRDefault="00D67DFC" w:rsidP="00F35A96">
      <w:pPr>
        <w:pStyle w:val="a3"/>
        <w:tabs>
          <w:tab w:val="clear" w:pos="4677"/>
          <w:tab w:val="clear" w:pos="9355"/>
        </w:tabs>
        <w:ind w:left="397" w:firstLine="397"/>
        <w:jc w:val="center"/>
        <w:rPr>
          <w:color w:val="1829A8"/>
          <w:spacing w:val="20"/>
          <w:sz w:val="34"/>
          <w:szCs w:val="34"/>
          <w:lang w:val="ru-RU"/>
        </w:rPr>
      </w:pPr>
      <w:r w:rsidRPr="00556EA9">
        <w:rPr>
          <w:color w:val="1829A8"/>
          <w:spacing w:val="20"/>
          <w:sz w:val="34"/>
          <w:szCs w:val="34"/>
          <w:lang w:val="uk-UA"/>
        </w:rPr>
        <w:t>ВЕРХОВНА РАДА УКРАЇНИ</w:t>
      </w:r>
    </w:p>
    <w:p w:rsidR="00D67DFC" w:rsidRPr="00556EA9" w:rsidRDefault="00D67DFC" w:rsidP="00F35A96">
      <w:pPr>
        <w:pStyle w:val="a3"/>
        <w:tabs>
          <w:tab w:val="clear" w:pos="4677"/>
          <w:tab w:val="clear" w:pos="9355"/>
        </w:tabs>
        <w:ind w:left="397" w:firstLine="397"/>
        <w:jc w:val="center"/>
        <w:rPr>
          <w:b/>
          <w:color w:val="1829A8"/>
          <w:spacing w:val="20"/>
          <w:sz w:val="24"/>
          <w:szCs w:val="24"/>
          <w:lang w:val="ru-RU"/>
        </w:rPr>
      </w:pPr>
      <w:r w:rsidRPr="00556EA9">
        <w:rPr>
          <w:b/>
          <w:color w:val="1829A8"/>
          <w:spacing w:val="20"/>
          <w:sz w:val="24"/>
          <w:szCs w:val="24"/>
          <w:lang w:val="uk-UA"/>
        </w:rPr>
        <w:t xml:space="preserve">Комітет з питань інтеграції України </w:t>
      </w:r>
      <w:r w:rsidR="00B20745">
        <w:rPr>
          <w:b/>
          <w:color w:val="1829A8"/>
          <w:spacing w:val="20"/>
          <w:sz w:val="24"/>
          <w:szCs w:val="24"/>
          <w:lang w:val="uk-UA"/>
        </w:rPr>
        <w:t>до</w:t>
      </w:r>
      <w:r w:rsidRPr="00556EA9">
        <w:rPr>
          <w:b/>
          <w:color w:val="1829A8"/>
          <w:spacing w:val="20"/>
          <w:sz w:val="24"/>
          <w:szCs w:val="24"/>
          <w:lang w:val="uk-UA"/>
        </w:rPr>
        <w:t xml:space="preserve"> Європейськ</w:t>
      </w:r>
      <w:r w:rsidR="00B20745">
        <w:rPr>
          <w:b/>
          <w:color w:val="1829A8"/>
          <w:spacing w:val="20"/>
          <w:sz w:val="24"/>
          <w:szCs w:val="24"/>
          <w:lang w:val="uk-UA"/>
        </w:rPr>
        <w:t>ого</w:t>
      </w:r>
      <w:r w:rsidRPr="00556EA9">
        <w:rPr>
          <w:b/>
          <w:color w:val="1829A8"/>
          <w:spacing w:val="20"/>
          <w:sz w:val="24"/>
          <w:szCs w:val="24"/>
          <w:lang w:val="uk-UA"/>
        </w:rPr>
        <w:t xml:space="preserve"> Союз</w:t>
      </w:r>
      <w:r w:rsidR="00B20745">
        <w:rPr>
          <w:b/>
          <w:color w:val="1829A8"/>
          <w:spacing w:val="20"/>
          <w:sz w:val="24"/>
          <w:szCs w:val="24"/>
          <w:lang w:val="uk-UA"/>
        </w:rPr>
        <w:t>у</w:t>
      </w:r>
    </w:p>
    <w:p w:rsidR="00D67DFC" w:rsidRPr="00556EA9" w:rsidRDefault="00D67DFC" w:rsidP="00F35A96">
      <w:pPr>
        <w:ind w:left="397" w:firstLine="397"/>
        <w:jc w:val="center"/>
        <w:rPr>
          <w:lang w:val="uk-UA"/>
        </w:rPr>
      </w:pPr>
      <w:r w:rsidRPr="00556EA9">
        <w:rPr>
          <w:color w:val="1829A8"/>
          <w:sz w:val="20"/>
          <w:szCs w:val="20"/>
          <w:lang w:val="uk-UA"/>
        </w:rPr>
        <w:t xml:space="preserve">01008, м.Київ-8, вул. М. Грушевського, 5, </w:t>
      </w:r>
      <w:proofErr w:type="spellStart"/>
      <w:r w:rsidRPr="00556EA9">
        <w:rPr>
          <w:color w:val="1829A8"/>
          <w:sz w:val="20"/>
          <w:szCs w:val="20"/>
          <w:lang w:val="uk-UA"/>
        </w:rPr>
        <w:t>тел</w:t>
      </w:r>
      <w:proofErr w:type="spellEnd"/>
      <w:r w:rsidRPr="00556EA9">
        <w:rPr>
          <w:color w:val="1829A8"/>
          <w:sz w:val="20"/>
          <w:szCs w:val="20"/>
          <w:lang w:val="uk-UA"/>
        </w:rPr>
        <w:t>.: 255-34-42, факс</w:t>
      </w:r>
      <w:r w:rsidRPr="00556EA9">
        <w:rPr>
          <w:color w:val="1829A8"/>
          <w:sz w:val="20"/>
          <w:szCs w:val="20"/>
          <w:lang w:val="ru-RU"/>
        </w:rPr>
        <w:t>:</w:t>
      </w:r>
      <w:r w:rsidRPr="00556EA9">
        <w:rPr>
          <w:color w:val="1829A8"/>
          <w:sz w:val="20"/>
          <w:szCs w:val="20"/>
          <w:lang w:val="uk-UA"/>
        </w:rPr>
        <w:t xml:space="preserve"> 255-33-13, </w:t>
      </w:r>
      <w:r w:rsidRPr="00556EA9">
        <w:rPr>
          <w:color w:val="1829A8"/>
          <w:sz w:val="20"/>
          <w:szCs w:val="20"/>
        </w:rPr>
        <w:t>e</w:t>
      </w:r>
      <w:r w:rsidRPr="00556EA9">
        <w:rPr>
          <w:color w:val="1829A8"/>
          <w:sz w:val="20"/>
          <w:szCs w:val="20"/>
          <w:lang w:val="ru-RU"/>
        </w:rPr>
        <w:t>-</w:t>
      </w:r>
      <w:r w:rsidRPr="00556EA9">
        <w:rPr>
          <w:color w:val="1829A8"/>
          <w:sz w:val="20"/>
          <w:szCs w:val="20"/>
        </w:rPr>
        <w:t>mail</w:t>
      </w:r>
      <w:r w:rsidRPr="00556EA9">
        <w:rPr>
          <w:color w:val="1829A8"/>
          <w:sz w:val="20"/>
          <w:szCs w:val="20"/>
          <w:lang w:val="ru-RU"/>
        </w:rPr>
        <w:t xml:space="preserve">: </w:t>
      </w:r>
      <w:proofErr w:type="spellStart"/>
      <w:r w:rsidRPr="00556EA9">
        <w:rPr>
          <w:color w:val="1829A8"/>
          <w:sz w:val="20"/>
          <w:szCs w:val="20"/>
        </w:rPr>
        <w:t>comeuroint</w:t>
      </w:r>
      <w:proofErr w:type="spellEnd"/>
      <w:r w:rsidRPr="00556EA9">
        <w:rPr>
          <w:color w:val="1829A8"/>
          <w:sz w:val="20"/>
          <w:szCs w:val="20"/>
          <w:lang w:val="ru-RU"/>
        </w:rPr>
        <w:t>@</w:t>
      </w:r>
      <w:r w:rsidRPr="00556EA9">
        <w:rPr>
          <w:color w:val="1829A8"/>
          <w:sz w:val="20"/>
          <w:szCs w:val="20"/>
        </w:rPr>
        <w:t>v</w:t>
      </w:r>
      <w:r w:rsidRPr="00556EA9">
        <w:rPr>
          <w:color w:val="1829A8"/>
          <w:sz w:val="20"/>
          <w:szCs w:val="20"/>
          <w:lang w:val="ru-RU"/>
        </w:rPr>
        <w:t>.</w:t>
      </w:r>
      <w:proofErr w:type="spellStart"/>
      <w:r w:rsidRPr="00556EA9">
        <w:rPr>
          <w:color w:val="1829A8"/>
          <w:sz w:val="20"/>
          <w:szCs w:val="20"/>
        </w:rPr>
        <w:t>rada</w:t>
      </w:r>
      <w:proofErr w:type="spellEnd"/>
      <w:r w:rsidRPr="00556EA9">
        <w:rPr>
          <w:color w:val="1829A8"/>
          <w:sz w:val="20"/>
          <w:szCs w:val="20"/>
          <w:lang w:val="ru-RU"/>
        </w:rPr>
        <w:t>.</w:t>
      </w:r>
      <w:proofErr w:type="spellStart"/>
      <w:r w:rsidRPr="00556EA9">
        <w:rPr>
          <w:color w:val="1829A8"/>
          <w:sz w:val="20"/>
          <w:szCs w:val="20"/>
        </w:rPr>
        <w:t>gov</w:t>
      </w:r>
      <w:proofErr w:type="spellEnd"/>
      <w:r w:rsidRPr="00556EA9">
        <w:rPr>
          <w:color w:val="1829A8"/>
          <w:sz w:val="20"/>
          <w:szCs w:val="20"/>
          <w:lang w:val="ru-RU"/>
        </w:rPr>
        <w:t>.</w:t>
      </w:r>
      <w:proofErr w:type="spellStart"/>
      <w:r w:rsidRPr="00556EA9">
        <w:rPr>
          <w:color w:val="1829A8"/>
          <w:sz w:val="20"/>
          <w:szCs w:val="20"/>
        </w:rPr>
        <w:t>ua</w:t>
      </w:r>
      <w:proofErr w:type="spellEnd"/>
    </w:p>
    <w:p w:rsidR="00D67DFC" w:rsidRPr="00556EA9" w:rsidRDefault="00D67DFC" w:rsidP="00F35A96">
      <w:pPr>
        <w:ind w:left="397" w:firstLine="397"/>
        <w:jc w:val="center"/>
        <w:rPr>
          <w:lang w:val="uk-UA"/>
        </w:rPr>
      </w:pPr>
    </w:p>
    <w:p w:rsidR="00D67DFC" w:rsidRPr="00556EA9" w:rsidRDefault="00D67DFC" w:rsidP="00F35A96">
      <w:pPr>
        <w:ind w:left="397" w:firstLine="397"/>
        <w:jc w:val="center"/>
        <w:rPr>
          <w:lang w:val="uk-UA"/>
        </w:rPr>
      </w:pPr>
    </w:p>
    <w:p w:rsidR="00224CCD" w:rsidRPr="00BD7F5A" w:rsidRDefault="00CA3A43" w:rsidP="00F35A96">
      <w:pPr>
        <w:ind w:left="397" w:firstLine="397"/>
        <w:jc w:val="center"/>
        <w:rPr>
          <w:b/>
          <w:lang w:val="uk-UA"/>
        </w:rPr>
      </w:pPr>
      <w:r w:rsidRPr="00BD7F5A">
        <w:rPr>
          <w:b/>
          <w:lang w:val="uk-UA"/>
        </w:rPr>
        <w:t>ВИСНОВОК</w:t>
      </w:r>
    </w:p>
    <w:p w:rsidR="00CA3A43" w:rsidRPr="00BD7F5A" w:rsidRDefault="008F2985" w:rsidP="00F35A96">
      <w:pPr>
        <w:ind w:left="397" w:firstLine="397"/>
        <w:jc w:val="center"/>
        <w:rPr>
          <w:b/>
          <w:lang w:val="uk-UA"/>
        </w:rPr>
      </w:pPr>
      <w:r w:rsidRPr="00BD7F5A">
        <w:rPr>
          <w:b/>
          <w:lang w:val="uk-UA"/>
        </w:rPr>
        <w:t>щ</w:t>
      </w:r>
      <w:r w:rsidR="00CA3A43" w:rsidRPr="00BD7F5A">
        <w:rPr>
          <w:b/>
          <w:lang w:val="uk-UA"/>
        </w:rPr>
        <w:t xml:space="preserve">одо </w:t>
      </w:r>
      <w:proofErr w:type="spellStart"/>
      <w:r w:rsidR="0055778B" w:rsidRPr="00BD7F5A">
        <w:rPr>
          <w:b/>
          <w:lang w:val="uk-UA"/>
        </w:rPr>
        <w:t>проєкт</w:t>
      </w:r>
      <w:r w:rsidR="00CA3A43" w:rsidRPr="00BD7F5A">
        <w:rPr>
          <w:b/>
          <w:lang w:val="uk-UA"/>
        </w:rPr>
        <w:t>у</w:t>
      </w:r>
      <w:proofErr w:type="spellEnd"/>
      <w:r w:rsidR="00CA3A43" w:rsidRPr="00BD7F5A">
        <w:rPr>
          <w:b/>
          <w:lang w:val="uk-UA"/>
        </w:rPr>
        <w:t xml:space="preserve"> Закону України</w:t>
      </w:r>
    </w:p>
    <w:p w:rsidR="00074F18" w:rsidRPr="00BD7F5A" w:rsidRDefault="007F54BD" w:rsidP="00F35A96">
      <w:pPr>
        <w:pStyle w:val="3"/>
        <w:spacing w:before="0" w:beforeAutospacing="0" w:after="0" w:afterAutospacing="0"/>
        <w:ind w:left="397" w:firstLine="397"/>
        <w:jc w:val="center"/>
        <w:rPr>
          <w:b w:val="0"/>
          <w:lang w:val="uk-UA"/>
        </w:rPr>
      </w:pPr>
      <w:r w:rsidRPr="00BD7F5A">
        <w:rPr>
          <w:b w:val="0"/>
          <w:lang w:val="uk-UA"/>
        </w:rPr>
        <w:t>«</w:t>
      </w:r>
      <w:r w:rsidR="003A1CBE" w:rsidRPr="00BD7F5A">
        <w:rPr>
          <w:b w:val="0"/>
          <w:lang w:val="uk-UA"/>
        </w:rPr>
        <w:t>П</w:t>
      </w:r>
      <w:r w:rsidR="0004768D" w:rsidRPr="00BD7F5A">
        <w:rPr>
          <w:b w:val="0"/>
          <w:lang w:val="uk-UA"/>
        </w:rPr>
        <w:t xml:space="preserve">ро </w:t>
      </w:r>
      <w:r w:rsidR="00B1023B" w:rsidRPr="00B1023B">
        <w:rPr>
          <w:b w:val="0"/>
          <w:lang w:val="uk-UA"/>
        </w:rPr>
        <w:t xml:space="preserve"> внесення змін до Податкового кодексу України та деяких інших законів України щодо забезпечення збалансованості бюджетних надходжен</w:t>
      </w:r>
      <w:r w:rsidR="00B1023B">
        <w:rPr>
          <w:b w:val="0"/>
          <w:lang w:val="uk-UA"/>
        </w:rPr>
        <w:t>ь»</w:t>
      </w:r>
    </w:p>
    <w:p w:rsidR="008E7343" w:rsidRPr="00BD7F5A" w:rsidRDefault="00BC184E" w:rsidP="00F35A96">
      <w:pPr>
        <w:pStyle w:val="3"/>
        <w:spacing w:before="0" w:beforeAutospacing="0" w:after="0" w:afterAutospacing="0"/>
        <w:ind w:left="397" w:firstLine="397"/>
        <w:jc w:val="center"/>
        <w:rPr>
          <w:b w:val="0"/>
          <w:lang w:val="uk-UA"/>
        </w:rPr>
      </w:pPr>
      <w:r w:rsidRPr="00BD7F5A">
        <w:rPr>
          <w:b w:val="0"/>
          <w:lang w:val="uk-UA"/>
        </w:rPr>
        <w:t>(реєстр. №</w:t>
      </w:r>
      <w:r w:rsidR="00193B91" w:rsidRPr="00BD7F5A">
        <w:rPr>
          <w:b w:val="0"/>
          <w:lang w:val="uk-UA"/>
        </w:rPr>
        <w:t xml:space="preserve"> </w:t>
      </w:r>
      <w:r w:rsidR="00155062" w:rsidRPr="00155062">
        <w:rPr>
          <w:b w:val="0"/>
          <w:lang w:val="uk-UA"/>
        </w:rPr>
        <w:t>4101</w:t>
      </w:r>
      <w:r w:rsidR="00913D32">
        <w:rPr>
          <w:b w:val="0"/>
          <w:lang w:val="uk-UA"/>
        </w:rPr>
        <w:t>-1</w:t>
      </w:r>
      <w:r w:rsidR="00155062" w:rsidRPr="00155062">
        <w:rPr>
          <w:b w:val="0"/>
          <w:lang w:val="uk-UA"/>
        </w:rPr>
        <w:t xml:space="preserve"> від </w:t>
      </w:r>
      <w:r w:rsidR="00913D32">
        <w:rPr>
          <w:b w:val="0"/>
          <w:lang w:val="uk-UA"/>
        </w:rPr>
        <w:t>01</w:t>
      </w:r>
      <w:r w:rsidR="00155062" w:rsidRPr="00155062">
        <w:rPr>
          <w:b w:val="0"/>
          <w:lang w:val="uk-UA"/>
        </w:rPr>
        <w:t>.</w:t>
      </w:r>
      <w:r w:rsidR="00913D32">
        <w:rPr>
          <w:b w:val="0"/>
          <w:lang w:val="uk-UA"/>
        </w:rPr>
        <w:t>10</w:t>
      </w:r>
      <w:r w:rsidR="00155062" w:rsidRPr="00155062">
        <w:rPr>
          <w:b w:val="0"/>
          <w:lang w:val="uk-UA"/>
        </w:rPr>
        <w:t>.2020</w:t>
      </w:r>
      <w:r w:rsidR="00351180" w:rsidRPr="00BD7F5A">
        <w:rPr>
          <w:b w:val="0"/>
          <w:lang w:val="uk-UA"/>
        </w:rPr>
        <w:t xml:space="preserve">, </w:t>
      </w:r>
      <w:proofErr w:type="spellStart"/>
      <w:r w:rsidR="00913D32">
        <w:rPr>
          <w:b w:val="0"/>
          <w:lang w:val="uk-UA"/>
        </w:rPr>
        <w:t>н.д</w:t>
      </w:r>
      <w:proofErr w:type="spellEnd"/>
      <w:r w:rsidR="00913D32">
        <w:rPr>
          <w:b w:val="0"/>
          <w:lang w:val="uk-UA"/>
        </w:rPr>
        <w:t xml:space="preserve">. </w:t>
      </w:r>
      <w:proofErr w:type="spellStart"/>
      <w:r w:rsidR="00913D32">
        <w:rPr>
          <w:b w:val="0"/>
          <w:lang w:val="uk-UA"/>
        </w:rPr>
        <w:t>Я.</w:t>
      </w:r>
      <w:r w:rsidR="00913D32" w:rsidRPr="00913D32">
        <w:rPr>
          <w:b w:val="0"/>
          <w:lang w:val="uk-UA"/>
        </w:rPr>
        <w:t>Железняк</w:t>
      </w:r>
      <w:proofErr w:type="spellEnd"/>
      <w:r w:rsidR="00351180" w:rsidRPr="00BD7F5A">
        <w:rPr>
          <w:b w:val="0"/>
          <w:lang w:val="uk-UA"/>
        </w:rPr>
        <w:t>)</w:t>
      </w:r>
    </w:p>
    <w:p w:rsidR="00074F18" w:rsidRPr="00556EA9" w:rsidRDefault="00074F18" w:rsidP="00F35A96">
      <w:pPr>
        <w:pStyle w:val="3"/>
        <w:spacing w:before="0" w:beforeAutospacing="0" w:after="0" w:afterAutospacing="0"/>
        <w:ind w:left="397" w:firstLine="397"/>
        <w:jc w:val="center"/>
        <w:rPr>
          <w:lang w:val="uk-UA"/>
        </w:rPr>
      </w:pPr>
    </w:p>
    <w:p w:rsidR="00CA3A43" w:rsidRPr="00556EA9" w:rsidRDefault="00CA3A43" w:rsidP="00F35A96">
      <w:pPr>
        <w:numPr>
          <w:ilvl w:val="0"/>
          <w:numId w:val="6"/>
        </w:numPr>
        <w:ind w:left="397" w:firstLine="397"/>
        <w:jc w:val="both"/>
        <w:rPr>
          <w:b/>
          <w:i/>
          <w:lang w:val="uk-UA"/>
        </w:rPr>
      </w:pPr>
      <w:r w:rsidRPr="00556EA9">
        <w:rPr>
          <w:b/>
          <w:i/>
          <w:lang w:val="uk-UA"/>
        </w:rPr>
        <w:t xml:space="preserve">Загальна характеристика </w:t>
      </w:r>
      <w:proofErr w:type="spellStart"/>
      <w:r w:rsidRPr="00556EA9">
        <w:rPr>
          <w:b/>
          <w:i/>
          <w:lang w:val="uk-UA"/>
        </w:rPr>
        <w:t>законо</w:t>
      </w:r>
      <w:r w:rsidR="0055778B" w:rsidRPr="00556EA9">
        <w:rPr>
          <w:b/>
          <w:i/>
          <w:lang w:val="uk-UA"/>
        </w:rPr>
        <w:t>проєкт</w:t>
      </w:r>
      <w:r w:rsidRPr="00556EA9">
        <w:rPr>
          <w:b/>
          <w:i/>
          <w:lang w:val="uk-UA"/>
        </w:rPr>
        <w:t>у</w:t>
      </w:r>
      <w:proofErr w:type="spellEnd"/>
      <w:r w:rsidRPr="00556EA9">
        <w:rPr>
          <w:b/>
          <w:i/>
          <w:lang w:val="uk-UA"/>
        </w:rPr>
        <w:t>.</w:t>
      </w:r>
    </w:p>
    <w:p w:rsidR="001B1968" w:rsidRDefault="00155062" w:rsidP="00F35A96">
      <w:pPr>
        <w:pStyle w:val="a7"/>
        <w:spacing w:after="0"/>
        <w:ind w:left="397" w:firstLine="397"/>
        <w:jc w:val="both"/>
        <w:rPr>
          <w:lang w:val="uk-UA"/>
        </w:rPr>
      </w:pPr>
      <w:r w:rsidRPr="00155062">
        <w:rPr>
          <w:lang w:val="uk-UA"/>
        </w:rPr>
        <w:t>Метою законопроекту є покращення умов ведення бізнесу в Україні з одночасним підвищенням показників України в міжнародних рейтингах, а також підвищення ефективності використання ресурсів економіки, зокрема:</w:t>
      </w:r>
      <w:r>
        <w:rPr>
          <w:lang w:val="uk-UA"/>
        </w:rPr>
        <w:t xml:space="preserve"> </w:t>
      </w:r>
      <w:r w:rsidRPr="00155062">
        <w:rPr>
          <w:lang w:val="uk-UA"/>
        </w:rPr>
        <w:t xml:space="preserve"> стимулювання економічної активності суб’єктів господарювання в умовах триваючих карантинних обмежень, спрямованих на запобігання поширенню на території України </w:t>
      </w:r>
      <w:proofErr w:type="spellStart"/>
      <w:r w:rsidRPr="00155062">
        <w:rPr>
          <w:lang w:val="uk-UA"/>
        </w:rPr>
        <w:t>коронавірусної</w:t>
      </w:r>
      <w:proofErr w:type="spellEnd"/>
      <w:r w:rsidRPr="00155062">
        <w:rPr>
          <w:lang w:val="uk-UA"/>
        </w:rPr>
        <w:t xml:space="preserve"> хвороби (COVID-19);</w:t>
      </w:r>
      <w:r>
        <w:rPr>
          <w:lang w:val="uk-UA"/>
        </w:rPr>
        <w:t xml:space="preserve"> </w:t>
      </w:r>
      <w:r w:rsidRPr="00155062">
        <w:rPr>
          <w:lang w:val="uk-UA"/>
        </w:rPr>
        <w:t>забезпечення збалансованості бюджетних надходжень;</w:t>
      </w:r>
      <w:r>
        <w:rPr>
          <w:lang w:val="uk-UA"/>
        </w:rPr>
        <w:t xml:space="preserve"> </w:t>
      </w:r>
      <w:r w:rsidRPr="00155062">
        <w:rPr>
          <w:lang w:val="uk-UA"/>
        </w:rPr>
        <w:t>вжиття заходів, спрямованих на зниження рівня податкового боргу платників податків</w:t>
      </w:r>
      <w:r>
        <w:rPr>
          <w:lang w:val="uk-UA"/>
        </w:rPr>
        <w:t>, а також</w:t>
      </w:r>
      <w:r w:rsidRPr="00155062">
        <w:rPr>
          <w:lang w:val="uk-UA"/>
        </w:rPr>
        <w:t xml:space="preserve"> усунення недоліків чинного законодавства</w:t>
      </w:r>
      <w:r w:rsidR="00B00B91" w:rsidRPr="00B00B91">
        <w:rPr>
          <w:lang w:val="uk-UA"/>
        </w:rPr>
        <w:t>.</w:t>
      </w:r>
    </w:p>
    <w:p w:rsidR="006F2C61" w:rsidRPr="00B00B91" w:rsidRDefault="006F2C61" w:rsidP="00F35A96">
      <w:pPr>
        <w:pStyle w:val="a7"/>
        <w:spacing w:after="0"/>
        <w:ind w:left="397" w:firstLine="397"/>
        <w:jc w:val="both"/>
        <w:rPr>
          <w:lang w:val="uk-UA"/>
        </w:rPr>
      </w:pPr>
    </w:p>
    <w:p w:rsidR="00CA3A43" w:rsidRPr="00556EA9" w:rsidRDefault="00CA3A43" w:rsidP="00F35A96">
      <w:pPr>
        <w:numPr>
          <w:ilvl w:val="0"/>
          <w:numId w:val="6"/>
        </w:numPr>
        <w:ind w:left="397" w:firstLine="397"/>
        <w:jc w:val="both"/>
        <w:rPr>
          <w:i/>
          <w:lang w:val="uk-UA"/>
        </w:rPr>
      </w:pPr>
      <w:r w:rsidRPr="00556EA9">
        <w:rPr>
          <w:b/>
          <w:i/>
          <w:lang w:val="uk-UA"/>
        </w:rPr>
        <w:t xml:space="preserve">Належність </w:t>
      </w:r>
      <w:proofErr w:type="spellStart"/>
      <w:r w:rsidRPr="00556EA9">
        <w:rPr>
          <w:b/>
          <w:i/>
          <w:lang w:val="uk-UA"/>
        </w:rPr>
        <w:t>законо</w:t>
      </w:r>
      <w:r w:rsidR="0055778B" w:rsidRPr="00556EA9">
        <w:rPr>
          <w:b/>
          <w:i/>
          <w:lang w:val="uk-UA"/>
        </w:rPr>
        <w:t>проєкт</w:t>
      </w:r>
      <w:r w:rsidRPr="00556EA9">
        <w:rPr>
          <w:b/>
          <w:i/>
          <w:lang w:val="uk-UA"/>
        </w:rPr>
        <w:t>у</w:t>
      </w:r>
      <w:proofErr w:type="spellEnd"/>
      <w:r w:rsidRPr="00556EA9">
        <w:rPr>
          <w:b/>
          <w:i/>
          <w:lang w:val="uk-UA"/>
        </w:rPr>
        <w:t xml:space="preserve"> до сфери </w:t>
      </w:r>
      <w:proofErr w:type="spellStart"/>
      <w:r w:rsidR="0004768D" w:rsidRPr="00556EA9">
        <w:rPr>
          <w:b/>
          <w:i/>
          <w:lang w:val="uk-UA"/>
        </w:rPr>
        <w:t>acquis</w:t>
      </w:r>
      <w:proofErr w:type="spellEnd"/>
      <w:r w:rsidRPr="00556EA9">
        <w:rPr>
          <w:b/>
          <w:i/>
          <w:lang w:val="uk-UA"/>
        </w:rPr>
        <w:t xml:space="preserve"> ЄС.</w:t>
      </w:r>
    </w:p>
    <w:p w:rsidR="00E83FFC" w:rsidRDefault="00CB0FD6" w:rsidP="00F35A96">
      <w:pPr>
        <w:pStyle w:val="a7"/>
        <w:spacing w:after="0"/>
        <w:ind w:left="397" w:firstLine="397"/>
        <w:jc w:val="both"/>
        <w:rPr>
          <w:lang w:val="uk-UA"/>
        </w:rPr>
      </w:pPr>
      <w:proofErr w:type="spellStart"/>
      <w:r w:rsidRPr="00556EA9">
        <w:rPr>
          <w:lang w:val="uk-UA"/>
        </w:rPr>
        <w:t>Законо</w:t>
      </w:r>
      <w:r w:rsidR="0055778B" w:rsidRPr="00556EA9">
        <w:rPr>
          <w:lang w:val="uk-UA"/>
        </w:rPr>
        <w:t>проєкт</w:t>
      </w:r>
      <w:proofErr w:type="spellEnd"/>
      <w:r w:rsidRPr="00556EA9">
        <w:rPr>
          <w:lang w:val="uk-UA"/>
        </w:rPr>
        <w:t xml:space="preserve"> за предметом правового регулювання охоплюється </w:t>
      </w:r>
      <w:r w:rsidR="00155062" w:rsidRPr="00155062">
        <w:rPr>
          <w:lang w:val="uk-UA"/>
        </w:rPr>
        <w:t>міжнародно-правовими зобов</w:t>
      </w:r>
      <w:r w:rsidR="00F35A96">
        <w:rPr>
          <w:lang w:val="uk-UA"/>
        </w:rPr>
        <w:t>’</w:t>
      </w:r>
      <w:r w:rsidR="00155062" w:rsidRPr="00155062">
        <w:rPr>
          <w:lang w:val="uk-UA"/>
        </w:rPr>
        <w:t xml:space="preserve">язаннями України у сфері європейської інтеграції, передбаченими у рамках Глави 4 «Оподаткування» Розділу ІV «Торгівля та питання </w:t>
      </w:r>
      <w:proofErr w:type="spellStart"/>
      <w:r w:rsidR="00155062" w:rsidRPr="00155062">
        <w:rPr>
          <w:lang w:val="uk-UA"/>
        </w:rPr>
        <w:t>пов</w:t>
      </w:r>
      <w:proofErr w:type="spellEnd"/>
      <w:r w:rsidR="00155062" w:rsidRPr="00155062">
        <w:rPr>
          <w:lang w:val="uk-UA"/>
        </w:rPr>
        <w:t xml:space="preserve"> </w:t>
      </w:r>
      <w:proofErr w:type="spellStart"/>
      <w:r w:rsidR="00155062" w:rsidRPr="00155062">
        <w:rPr>
          <w:lang w:val="uk-UA"/>
        </w:rPr>
        <w:t>язані</w:t>
      </w:r>
      <w:proofErr w:type="spellEnd"/>
      <w:r w:rsidR="00155062" w:rsidRPr="00155062">
        <w:rPr>
          <w:lang w:val="uk-UA"/>
        </w:rPr>
        <w:t xml:space="preserve"> з торгівлею» та Глави 10 «Конкуренція» Розділу V «Економічне та галузеве співробітництво»</w:t>
      </w:r>
      <w:r w:rsidR="00155062">
        <w:rPr>
          <w:lang w:val="uk-UA"/>
        </w:rPr>
        <w:t xml:space="preserve">, </w:t>
      </w:r>
      <w:r w:rsidR="00155062" w:rsidRPr="00155062">
        <w:rPr>
          <w:lang w:val="uk-UA"/>
        </w:rPr>
        <w:t>Главою 22 «Громадське здоров</w:t>
      </w:r>
      <w:r w:rsidR="00F35A96">
        <w:rPr>
          <w:lang w:val="uk-UA"/>
        </w:rPr>
        <w:t>’</w:t>
      </w:r>
      <w:r w:rsidR="00155062" w:rsidRPr="00155062">
        <w:rPr>
          <w:lang w:val="uk-UA"/>
        </w:rPr>
        <w:t>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E83FFC">
        <w:rPr>
          <w:lang w:val="uk-UA"/>
        </w:rPr>
        <w:t>, зокрема</w:t>
      </w:r>
      <w:r w:rsidR="00F35A96">
        <w:rPr>
          <w:lang w:val="uk-UA"/>
        </w:rPr>
        <w:t xml:space="preserve"> наступними актами права ЄС</w:t>
      </w:r>
      <w:r w:rsidR="00E83FFC">
        <w:rPr>
          <w:lang w:val="uk-UA"/>
        </w:rPr>
        <w:t>:</w:t>
      </w:r>
      <w:r w:rsidR="00E83FFC" w:rsidRPr="00E83FFC">
        <w:rPr>
          <w:lang w:val="uk-UA"/>
        </w:rPr>
        <w:t xml:space="preserve"> </w:t>
      </w:r>
    </w:p>
    <w:p w:rsidR="00E83FFC" w:rsidRPr="00E83FFC" w:rsidRDefault="00E83FFC" w:rsidP="00F35A96">
      <w:pPr>
        <w:pStyle w:val="a7"/>
        <w:spacing w:after="0"/>
        <w:ind w:left="397" w:firstLine="397"/>
        <w:jc w:val="both"/>
        <w:rPr>
          <w:lang w:val="uk-UA"/>
        </w:rPr>
      </w:pPr>
      <w:r w:rsidRPr="00E83FFC">
        <w:rPr>
          <w:lang w:val="uk-UA"/>
        </w:rPr>
        <w:t>1)</w:t>
      </w:r>
      <w:r w:rsidRPr="00E83FFC">
        <w:rPr>
          <w:lang w:val="uk-UA"/>
        </w:rPr>
        <w:tab/>
        <w:t xml:space="preserve">Директива Ради ЄС № 2006/112/ЄС від 28.11.2006 року про спільну систему податку на додану вартість (далі – Директива 2006/112/ЄС) (імплементація Директиви 2006/112/ЄС передбачена Додатком XXVIII до Угоди про асоціацію, а також пунктами 1490-1522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(далі – План заходів з виконання Угоди про асоціацію); </w:t>
      </w:r>
    </w:p>
    <w:p w:rsidR="00E83FFC" w:rsidRPr="00E83FFC" w:rsidRDefault="00E83FFC" w:rsidP="00F35A96">
      <w:pPr>
        <w:pStyle w:val="a7"/>
        <w:spacing w:after="0"/>
        <w:ind w:left="397" w:firstLine="397"/>
        <w:jc w:val="both"/>
        <w:rPr>
          <w:lang w:val="uk-UA"/>
        </w:rPr>
      </w:pPr>
      <w:r w:rsidRPr="00E83FFC">
        <w:rPr>
          <w:lang w:val="uk-UA"/>
        </w:rPr>
        <w:t>2)</w:t>
      </w:r>
      <w:r w:rsidRPr="00E83FFC">
        <w:rPr>
          <w:lang w:val="uk-UA"/>
        </w:rPr>
        <w:tab/>
        <w:t xml:space="preserve">Директива  Ради  № 2008/118/ЄС  від  16 грудня  2008 року  стосовно  загальних  умов акцизного збору (далі – Директива 2008/118/ЄС) </w:t>
      </w:r>
      <w:r w:rsidRPr="00E83FFC">
        <w:rPr>
          <w:lang w:val="uk-UA"/>
        </w:rPr>
        <w:lastRenderedPageBreak/>
        <w:t xml:space="preserve">(імплементація Директиви 2008/118/ЄС передбачена Додатком XXVIII до Угоди про асоціацію, а також пунктом 1476  Плану заходів з виконання Угоди про асоціацію); </w:t>
      </w:r>
    </w:p>
    <w:p w:rsidR="00E83FFC" w:rsidRPr="00E83FFC" w:rsidRDefault="00E83FFC" w:rsidP="00F35A96">
      <w:pPr>
        <w:pStyle w:val="a7"/>
        <w:spacing w:after="0"/>
        <w:ind w:left="397" w:firstLine="397"/>
        <w:jc w:val="both"/>
        <w:rPr>
          <w:lang w:val="uk-UA"/>
        </w:rPr>
      </w:pPr>
      <w:r w:rsidRPr="00E83FFC">
        <w:rPr>
          <w:lang w:val="uk-UA"/>
        </w:rPr>
        <w:t>3)</w:t>
      </w:r>
      <w:r w:rsidRPr="00E83FFC">
        <w:rPr>
          <w:lang w:val="uk-UA"/>
        </w:rPr>
        <w:tab/>
        <w:t xml:space="preserve">Директива  Ради  № 2011/64/ЄС  від  21 червня  2011 року  про  структуру  та  ставки акцизного збору на тютюнові вироби (кодифікована версія) (далі – Директива 2011/64/ЄС) (імплементація Директиви 2011/64/ЄС передбачена Додатком XXVIII до Угоди про асоціацію, а також пунктами 1464-1468, 1476, 1525-1532  Плану заходів з виконання Угоди про асоціацію); </w:t>
      </w:r>
    </w:p>
    <w:p w:rsidR="00E83FFC" w:rsidRPr="00E83FFC" w:rsidRDefault="00E83FFC" w:rsidP="00F35A96">
      <w:pPr>
        <w:pStyle w:val="a7"/>
        <w:spacing w:after="0"/>
        <w:ind w:left="397" w:firstLine="397"/>
        <w:jc w:val="both"/>
        <w:rPr>
          <w:lang w:val="uk-UA"/>
        </w:rPr>
      </w:pPr>
      <w:r w:rsidRPr="00E83FFC">
        <w:rPr>
          <w:lang w:val="uk-UA"/>
        </w:rPr>
        <w:t>4)</w:t>
      </w:r>
      <w:r w:rsidRPr="00E83FFC">
        <w:rPr>
          <w:lang w:val="uk-UA"/>
        </w:rPr>
        <w:tab/>
        <w:t xml:space="preserve">Директива Ради № 92/83/ЄЕС від 19.10.1992  року про гармонізацію структур акцизних зборів на спирт та алкогольні напої (далі – Директива 92/83/ЄС) (імплементація Директиви 92/83/ЄС передбачена Додатком XXVIII до Угоди про асоціацію, а також пунктами 1476 -1489 та пунктом 1524 Плану заходів з виконання Угоди про асоціацію); </w:t>
      </w:r>
    </w:p>
    <w:p w:rsidR="00E83FFC" w:rsidRPr="00E83FFC" w:rsidRDefault="00E83FFC" w:rsidP="00F35A96">
      <w:pPr>
        <w:pStyle w:val="a7"/>
        <w:spacing w:after="0"/>
        <w:ind w:left="397" w:firstLine="397"/>
        <w:jc w:val="both"/>
        <w:rPr>
          <w:lang w:val="uk-UA"/>
        </w:rPr>
      </w:pPr>
      <w:r w:rsidRPr="00E83FFC">
        <w:rPr>
          <w:lang w:val="uk-UA"/>
        </w:rPr>
        <w:t>5)</w:t>
      </w:r>
      <w:r w:rsidRPr="00E83FFC">
        <w:rPr>
          <w:lang w:val="uk-UA"/>
        </w:rPr>
        <w:tab/>
        <w:t xml:space="preserve">Директива Ради 1992/84/ЄЕС від 19 жовтня 1992 року про наближення ставок акцизних зборів на спирт та алкогольні напої (далі – Директива 92/84/ЄС); </w:t>
      </w:r>
    </w:p>
    <w:p w:rsidR="00E83FFC" w:rsidRPr="00E83FFC" w:rsidRDefault="00E83FFC" w:rsidP="00F35A96">
      <w:pPr>
        <w:pStyle w:val="a7"/>
        <w:spacing w:after="0"/>
        <w:ind w:left="397" w:firstLine="397"/>
        <w:jc w:val="both"/>
        <w:rPr>
          <w:lang w:val="uk-UA"/>
        </w:rPr>
      </w:pPr>
      <w:r w:rsidRPr="00E83FFC">
        <w:rPr>
          <w:lang w:val="uk-UA"/>
        </w:rPr>
        <w:t>6)</w:t>
      </w:r>
      <w:r w:rsidRPr="00E83FFC">
        <w:rPr>
          <w:lang w:val="uk-UA"/>
        </w:rPr>
        <w:tab/>
        <w:t xml:space="preserve">Директива  Ради  № 2003/96/ЄС  від  27 жовтня 2003 року про реструктуризацію системи Співтовариства щодо оподаткування </w:t>
      </w:r>
      <w:proofErr w:type="spellStart"/>
      <w:r w:rsidRPr="00E83FFC">
        <w:rPr>
          <w:lang w:val="uk-UA"/>
        </w:rPr>
        <w:t>енергопродуктів</w:t>
      </w:r>
      <w:proofErr w:type="spellEnd"/>
      <w:r w:rsidRPr="00E83FFC">
        <w:rPr>
          <w:lang w:val="uk-UA"/>
        </w:rPr>
        <w:t xml:space="preserve"> та електроенергії (далі – Директива 2003/96/ЄС) (імплементація Директиви 2003/96/ЄС передбачена Додатком XXVIII до Угоди про асоціацію, а також пунктом 1533 Плану заходів з виконання Угоди про асоціацію); </w:t>
      </w:r>
    </w:p>
    <w:p w:rsidR="00876892" w:rsidRDefault="00E83FFC" w:rsidP="00F35A96">
      <w:pPr>
        <w:pStyle w:val="a7"/>
        <w:spacing w:after="0"/>
        <w:ind w:left="397" w:firstLine="397"/>
        <w:jc w:val="both"/>
        <w:rPr>
          <w:lang w:val="uk-UA"/>
        </w:rPr>
      </w:pPr>
      <w:r w:rsidRPr="00E83FFC">
        <w:rPr>
          <w:lang w:val="uk-UA"/>
        </w:rPr>
        <w:t>7) Директива № 2009/65/ЄС Європейського Парламенту та Ради від 13 липня 2009 року про узгодження законів, підзаконних та адміністративних положень, що стосуються інститутів спільного (колективного) інвестування в цінні папери, що підлягають обігу (UCITS) (переглянута) (далі – Директива 2009/65/ЄС) (імплементація Директиви 2009/65/ЄС</w:t>
      </w:r>
      <w:r w:rsidR="00876892">
        <w:rPr>
          <w:lang w:val="uk-UA"/>
        </w:rPr>
        <w:t>;</w:t>
      </w:r>
    </w:p>
    <w:p w:rsidR="00F35A96" w:rsidRDefault="00876892" w:rsidP="00F35A96">
      <w:pPr>
        <w:pStyle w:val="a7"/>
        <w:spacing w:after="0"/>
        <w:ind w:left="397" w:firstLine="397"/>
        <w:jc w:val="both"/>
        <w:rPr>
          <w:lang w:val="uk-UA"/>
        </w:rPr>
      </w:pPr>
      <w:r w:rsidRPr="00876892">
        <w:rPr>
          <w:lang w:val="uk-UA"/>
        </w:rPr>
        <w:t>8) Директива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замінена Директивою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(далі – Директива 2009/65/ЄС)</w:t>
      </w:r>
      <w:r w:rsidR="00F35A96">
        <w:rPr>
          <w:lang w:val="uk-UA"/>
        </w:rPr>
        <w:t>.</w:t>
      </w:r>
    </w:p>
    <w:p w:rsidR="006F2C61" w:rsidRPr="00556EA9" w:rsidRDefault="006F2C61" w:rsidP="00F35A96">
      <w:pPr>
        <w:pStyle w:val="a7"/>
        <w:spacing w:after="0"/>
        <w:ind w:left="397" w:firstLine="397"/>
        <w:jc w:val="both"/>
        <w:rPr>
          <w:lang w:val="uk-UA"/>
        </w:rPr>
      </w:pPr>
    </w:p>
    <w:p w:rsidR="00FB0481" w:rsidRPr="00556EA9" w:rsidRDefault="00A50597" w:rsidP="00F35A96">
      <w:pPr>
        <w:numPr>
          <w:ilvl w:val="0"/>
          <w:numId w:val="6"/>
        </w:numPr>
        <w:ind w:left="397" w:firstLine="397"/>
        <w:jc w:val="both"/>
        <w:rPr>
          <w:b/>
          <w:i/>
          <w:lang w:val="uk-UA"/>
        </w:rPr>
      </w:pPr>
      <w:r w:rsidRPr="00556EA9">
        <w:rPr>
          <w:b/>
          <w:i/>
          <w:lang w:val="uk-UA"/>
        </w:rPr>
        <w:t xml:space="preserve">Відповідність </w:t>
      </w:r>
      <w:proofErr w:type="spellStart"/>
      <w:r w:rsidRPr="00556EA9">
        <w:rPr>
          <w:b/>
          <w:i/>
          <w:lang w:val="uk-UA"/>
        </w:rPr>
        <w:t>законо</w:t>
      </w:r>
      <w:r w:rsidR="0055778B" w:rsidRPr="00556EA9">
        <w:rPr>
          <w:b/>
          <w:i/>
          <w:lang w:val="uk-UA"/>
        </w:rPr>
        <w:t>проєкт</w:t>
      </w:r>
      <w:r w:rsidRPr="00556EA9">
        <w:rPr>
          <w:b/>
          <w:i/>
          <w:lang w:val="uk-UA"/>
        </w:rPr>
        <w:t>у</w:t>
      </w:r>
      <w:proofErr w:type="spellEnd"/>
      <w:r w:rsidRPr="00556EA9">
        <w:rPr>
          <w:b/>
          <w:i/>
          <w:lang w:val="uk-UA"/>
        </w:rPr>
        <w:t xml:space="preserve"> праву ЄС</w:t>
      </w:r>
      <w:r w:rsidR="00F61B31" w:rsidRPr="00556EA9">
        <w:rPr>
          <w:b/>
          <w:i/>
          <w:lang w:val="uk-UA"/>
        </w:rPr>
        <w:t xml:space="preserve"> та зобов’язанням України в рамках СОТ</w:t>
      </w:r>
      <w:r w:rsidRPr="00556EA9">
        <w:rPr>
          <w:b/>
          <w:i/>
          <w:lang w:val="uk-UA"/>
        </w:rPr>
        <w:t>.</w:t>
      </w:r>
      <w:r w:rsidR="00FB0481" w:rsidRPr="00556EA9">
        <w:rPr>
          <w:b/>
          <w:i/>
          <w:lang w:val="uk-UA"/>
        </w:rPr>
        <w:tab/>
      </w:r>
    </w:p>
    <w:p w:rsidR="00913D32" w:rsidRPr="00913D32" w:rsidRDefault="00913D32" w:rsidP="00876892">
      <w:pPr>
        <w:pStyle w:val="a7"/>
        <w:spacing w:after="0"/>
        <w:ind w:left="397" w:firstLine="397"/>
        <w:jc w:val="both"/>
        <w:rPr>
          <w:lang w:val="uk-UA"/>
        </w:rPr>
      </w:pPr>
      <w:r w:rsidRPr="00913D32">
        <w:rPr>
          <w:lang w:val="uk-UA"/>
        </w:rPr>
        <w:t xml:space="preserve">1. </w:t>
      </w:r>
      <w:proofErr w:type="spellStart"/>
      <w:r w:rsidRPr="00913D32">
        <w:rPr>
          <w:lang w:val="uk-UA"/>
        </w:rPr>
        <w:t>Законопроєктом</w:t>
      </w:r>
      <w:proofErr w:type="spellEnd"/>
      <w:r w:rsidRPr="00913D32">
        <w:rPr>
          <w:lang w:val="uk-UA"/>
        </w:rPr>
        <w:t xml:space="preserve"> </w:t>
      </w:r>
      <w:r>
        <w:rPr>
          <w:lang w:val="uk-UA"/>
        </w:rPr>
        <w:t>(</w:t>
      </w:r>
      <w:r w:rsidRPr="00913D32">
        <w:rPr>
          <w:lang w:val="uk-UA"/>
        </w:rPr>
        <w:t>в частині податку на додану вартість</w:t>
      </w:r>
      <w:r>
        <w:rPr>
          <w:lang w:val="uk-UA"/>
        </w:rPr>
        <w:t xml:space="preserve">) </w:t>
      </w:r>
      <w:r w:rsidRPr="00913D32">
        <w:rPr>
          <w:lang w:val="uk-UA"/>
        </w:rPr>
        <w:t xml:space="preserve">передбачене внесення змін до підпункту б) пункту 187.1 статті 187 Податкового кодексу України з метою уточнення термінології, зокрема дата виникнення податкових зобов’язань  визначатиметься як дата постачання товарів (відповідно до діючої редакції зазначеного положення Податкового кодексу України датою виникнення податкових зобов’язань є дата відвантаження товарів).  </w:t>
      </w:r>
      <w:proofErr w:type="spellStart"/>
      <w:r w:rsidRPr="00913D32">
        <w:rPr>
          <w:lang w:val="uk-UA"/>
        </w:rPr>
        <w:t>Законопроєкт</w:t>
      </w:r>
      <w:proofErr w:type="spellEnd"/>
      <w:r w:rsidRPr="00913D32">
        <w:rPr>
          <w:lang w:val="uk-UA"/>
        </w:rPr>
        <w:t xml:space="preserve"> в цій частині узгоджується із статтею 63 Директиви 2006/112/ЄС, відповідно до якої факт виникнення податкового зобов’язання має місце, а </w:t>
      </w:r>
      <w:r w:rsidRPr="00913D32">
        <w:rPr>
          <w:lang w:val="uk-UA"/>
        </w:rPr>
        <w:lastRenderedPageBreak/>
        <w:t xml:space="preserve">податкове зобов’язання з ПДВ виникає тоді, коли відбувається постачання товарів або надання послуг. </w:t>
      </w:r>
    </w:p>
    <w:p w:rsidR="00913D32" w:rsidRPr="00913D32" w:rsidRDefault="00913D32" w:rsidP="00876892">
      <w:pPr>
        <w:pStyle w:val="a7"/>
        <w:spacing w:after="0"/>
        <w:ind w:left="397" w:firstLine="397"/>
        <w:jc w:val="both"/>
        <w:rPr>
          <w:lang w:val="uk-UA"/>
        </w:rPr>
      </w:pPr>
      <w:proofErr w:type="spellStart"/>
      <w:r w:rsidRPr="00913D32">
        <w:rPr>
          <w:lang w:val="uk-UA"/>
        </w:rPr>
        <w:t>Законопроєктом</w:t>
      </w:r>
      <w:proofErr w:type="spellEnd"/>
      <w:r>
        <w:rPr>
          <w:lang w:val="uk-UA"/>
        </w:rPr>
        <w:t xml:space="preserve"> </w:t>
      </w:r>
      <w:r w:rsidRPr="00913D32">
        <w:rPr>
          <w:lang w:val="uk-UA"/>
        </w:rPr>
        <w:t xml:space="preserve">(в частині податку на додану вартість) також пропонується доповнити підпункт б) пункту 187.1 статті 187 Податкового кодексу України новим абзацом про те, що для документів, складених в електронній формі, датою оформлення електронного документа, що засвідчує факт постачання послуг платником податку, вважається дата складення такого електронного документа. З цього приводу варто зазначити, що положеннями Директиви 2006/112/ЄС не регулюється питання щодо дати оформлення електронного документа, що засвідчує факт постачання послуг платником податку. </w:t>
      </w:r>
    </w:p>
    <w:p w:rsidR="00913D32" w:rsidRPr="00913D32" w:rsidRDefault="00913D32" w:rsidP="00876892">
      <w:pPr>
        <w:pStyle w:val="a7"/>
        <w:spacing w:after="0"/>
        <w:ind w:left="397" w:firstLine="397"/>
        <w:jc w:val="both"/>
        <w:rPr>
          <w:lang w:val="uk-UA"/>
        </w:rPr>
      </w:pPr>
      <w:r w:rsidRPr="00913D32">
        <w:rPr>
          <w:lang w:val="uk-UA"/>
        </w:rPr>
        <w:t xml:space="preserve">2. З метою поширення оподаткування на тютюнові вироби, призначені для електричного нагрівання, законопроектом </w:t>
      </w:r>
      <w:r>
        <w:rPr>
          <w:lang w:val="uk-UA"/>
        </w:rPr>
        <w:t>(в</w:t>
      </w:r>
      <w:r w:rsidRPr="00913D32">
        <w:rPr>
          <w:lang w:val="uk-UA"/>
        </w:rPr>
        <w:t xml:space="preserve"> частині акцизного оподаткування</w:t>
      </w:r>
      <w:r>
        <w:rPr>
          <w:lang w:val="uk-UA"/>
        </w:rPr>
        <w:t xml:space="preserve">) </w:t>
      </w:r>
      <w:r w:rsidRPr="00913D32">
        <w:rPr>
          <w:lang w:val="uk-UA"/>
        </w:rPr>
        <w:t xml:space="preserve">пропонується </w:t>
      </w:r>
      <w:proofErr w:type="spellStart"/>
      <w:r w:rsidRPr="00913D32">
        <w:rPr>
          <w:lang w:val="uk-UA"/>
        </w:rPr>
        <w:t>внести</w:t>
      </w:r>
      <w:proofErr w:type="spellEnd"/>
      <w:r w:rsidRPr="00913D32">
        <w:rPr>
          <w:lang w:val="uk-UA"/>
        </w:rPr>
        <w:t xml:space="preserve"> зміни до визначення терміну «тютюнові вироби», передбаченого пунктом 14.1.252 статті 14 Податкового кодексу України, доповнивши його «тютюном для нагрівання», а також пропонується додати до статті 14 новий пункт 14.1.252-1, яким дати визначення терміну «</w:t>
      </w:r>
      <w:proofErr w:type="spellStart"/>
      <w:r w:rsidRPr="00913D32">
        <w:rPr>
          <w:lang w:val="uk-UA"/>
        </w:rPr>
        <w:t>тютюновмісні</w:t>
      </w:r>
      <w:proofErr w:type="spellEnd"/>
      <w:r w:rsidRPr="00913D32">
        <w:rPr>
          <w:lang w:val="uk-UA"/>
        </w:rPr>
        <w:t xml:space="preserve"> вироби для електричного нагрівання (ТВЕН) за допомогою підігрівача з електронним управлінням». </w:t>
      </w:r>
    </w:p>
    <w:p w:rsidR="00913D32" w:rsidRDefault="00913D32" w:rsidP="00876892">
      <w:pPr>
        <w:pStyle w:val="a7"/>
        <w:spacing w:after="0"/>
        <w:ind w:left="397" w:firstLine="397"/>
        <w:jc w:val="both"/>
        <w:rPr>
          <w:lang w:val="uk-UA"/>
        </w:rPr>
      </w:pPr>
      <w:r w:rsidRPr="00913D32">
        <w:rPr>
          <w:lang w:val="uk-UA"/>
        </w:rPr>
        <w:t xml:space="preserve">Категорії тютюнових виробів для цілей акцизного оподаткування в ЄС встановлені статтею 2 Директиви 2011/64/ЄС. Однак, відповідно до Робочого документа Європейська Комісії від 10.02.2020 року щодо здійснення оцінювання Директиви 2011/64/ЄС (SWD(2020) 33 </w:t>
      </w:r>
      <w:proofErr w:type="spellStart"/>
      <w:r w:rsidRPr="00913D32">
        <w:rPr>
          <w:lang w:val="uk-UA"/>
        </w:rPr>
        <w:t>final</w:t>
      </w:r>
      <w:proofErr w:type="spellEnd"/>
      <w:r w:rsidRPr="00913D32">
        <w:rPr>
          <w:lang w:val="uk-UA"/>
        </w:rPr>
        <w:t>)(1) такі новітні тютюнові вироби, як тютюн для нагрівання та електронні сигарети наразі чітко не охоплюються положеннями Директиви 2011/64/ЄС</w:t>
      </w:r>
      <w:r>
        <w:rPr>
          <w:lang w:val="uk-UA"/>
        </w:rPr>
        <w:t xml:space="preserve">. </w:t>
      </w:r>
      <w:r w:rsidRPr="00913D32">
        <w:rPr>
          <w:lang w:val="uk-UA"/>
        </w:rPr>
        <w:t xml:space="preserve">Таким чином, запропоновані законопроектом зміни в цій частині не суперечать статті 2 Директиви 2011/64/ЄС.  </w:t>
      </w:r>
    </w:p>
    <w:p w:rsidR="00876892" w:rsidRPr="00913D32" w:rsidRDefault="00876892" w:rsidP="00876892">
      <w:pPr>
        <w:pStyle w:val="a7"/>
        <w:spacing w:after="0"/>
        <w:ind w:left="397" w:firstLine="397"/>
        <w:jc w:val="both"/>
        <w:rPr>
          <w:lang w:val="uk-UA"/>
        </w:rPr>
      </w:pPr>
      <w:r w:rsidRPr="00876892">
        <w:rPr>
          <w:lang w:val="uk-UA"/>
        </w:rPr>
        <w:t xml:space="preserve">Законопроектом також вносяться зміни до визначення тютюнових виробів, якими передбачається, що тютюнові вироби для цілей цього Кодексу - сигарети з фільтром або без фільтру, цигарки, сигари, </w:t>
      </w:r>
      <w:proofErr w:type="spellStart"/>
      <w:r w:rsidRPr="00876892">
        <w:rPr>
          <w:lang w:val="uk-UA"/>
        </w:rPr>
        <w:t>сигарили</w:t>
      </w:r>
      <w:proofErr w:type="spellEnd"/>
      <w:r w:rsidRPr="00876892">
        <w:rPr>
          <w:lang w:val="uk-UA"/>
        </w:rPr>
        <w:t>,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 Таке визначення лише частково узгоджується з вимогами Директиви № 2014/40/ЄС, в якій «тютюнові вироби» це – вироби, які можуть бути споживані та до складу яких входить, навіть частково, тютюн, незалежно від того, чи є він генетично модифікований, чи ні.</w:t>
      </w:r>
    </w:p>
    <w:p w:rsidR="00913D32" w:rsidRPr="00913D32" w:rsidRDefault="00913D32" w:rsidP="00876892">
      <w:pPr>
        <w:pStyle w:val="a7"/>
        <w:spacing w:after="0"/>
        <w:ind w:left="397" w:firstLine="397"/>
        <w:jc w:val="both"/>
        <w:rPr>
          <w:lang w:val="uk-UA"/>
        </w:rPr>
      </w:pPr>
      <w:r w:rsidRPr="00913D32">
        <w:rPr>
          <w:lang w:val="uk-UA"/>
        </w:rPr>
        <w:t>3.</w:t>
      </w:r>
      <w:r w:rsidRPr="00913D32">
        <w:rPr>
          <w:lang w:val="uk-UA"/>
        </w:rPr>
        <w:tab/>
      </w:r>
      <w:proofErr w:type="spellStart"/>
      <w:r w:rsidRPr="00913D32">
        <w:rPr>
          <w:lang w:val="uk-UA"/>
        </w:rPr>
        <w:t>Законопроєктом</w:t>
      </w:r>
      <w:proofErr w:type="spellEnd"/>
      <w:r w:rsidRPr="00913D32">
        <w:rPr>
          <w:lang w:val="uk-UA"/>
        </w:rPr>
        <w:t xml:space="preserve">  (в частині акцизного оподаткування) пропонується з 1 січня 2021 року заборонити реалізацію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 </w:t>
      </w:r>
      <w:proofErr w:type="spellStart"/>
      <w:r w:rsidRPr="00913D32">
        <w:rPr>
          <w:lang w:val="uk-UA"/>
        </w:rPr>
        <w:t>Законопроєкт</w:t>
      </w:r>
      <w:proofErr w:type="spellEnd"/>
      <w:r w:rsidRPr="00913D32">
        <w:rPr>
          <w:lang w:val="uk-UA"/>
        </w:rPr>
        <w:t xml:space="preserve"> в цій частині не суперечить частині 1 статті 39 Директиви 2008/118/ЄС, якою встановлено, що держави-члени можуть вимагати, щоб на момент реалізації для споживання на їх території підакцизні товари мали податкові маркувальні знаки або національні ідентифікаційні маркувальні знаки. </w:t>
      </w:r>
    </w:p>
    <w:p w:rsidR="00913D32" w:rsidRPr="00913D32" w:rsidRDefault="00913D32" w:rsidP="00876892">
      <w:pPr>
        <w:pStyle w:val="a7"/>
        <w:spacing w:after="0"/>
        <w:ind w:left="397" w:firstLine="397"/>
        <w:jc w:val="both"/>
        <w:rPr>
          <w:lang w:val="uk-UA"/>
        </w:rPr>
      </w:pPr>
      <w:r w:rsidRPr="00913D32">
        <w:rPr>
          <w:lang w:val="uk-UA"/>
        </w:rPr>
        <w:t xml:space="preserve"> 4.</w:t>
      </w:r>
      <w:r w:rsidRPr="00913D32">
        <w:rPr>
          <w:lang w:val="uk-UA"/>
        </w:rPr>
        <w:tab/>
      </w:r>
      <w:proofErr w:type="spellStart"/>
      <w:r w:rsidRPr="00913D32">
        <w:rPr>
          <w:lang w:val="uk-UA"/>
        </w:rPr>
        <w:t>Законопроєктом</w:t>
      </w:r>
      <w:proofErr w:type="spellEnd"/>
      <w:r w:rsidRPr="00913D32">
        <w:rPr>
          <w:lang w:val="uk-UA"/>
        </w:rPr>
        <w:t xml:space="preserve"> </w:t>
      </w:r>
      <w:r>
        <w:rPr>
          <w:lang w:val="uk-UA"/>
        </w:rPr>
        <w:t>(</w:t>
      </w:r>
      <w:r w:rsidRPr="00913D32">
        <w:rPr>
          <w:lang w:val="uk-UA"/>
        </w:rPr>
        <w:t>в частині акцизного оподаткування)</w:t>
      </w:r>
      <w:r>
        <w:rPr>
          <w:lang w:val="uk-UA"/>
        </w:rPr>
        <w:t xml:space="preserve"> </w:t>
      </w:r>
      <w:r w:rsidRPr="00913D32">
        <w:rPr>
          <w:lang w:val="uk-UA"/>
        </w:rPr>
        <w:t xml:space="preserve">пропонується </w:t>
      </w:r>
      <w:proofErr w:type="spellStart"/>
      <w:r w:rsidRPr="00913D32">
        <w:rPr>
          <w:lang w:val="uk-UA"/>
        </w:rPr>
        <w:t>внести</w:t>
      </w:r>
      <w:proofErr w:type="spellEnd"/>
      <w:r w:rsidRPr="00913D32">
        <w:rPr>
          <w:lang w:val="uk-UA"/>
        </w:rPr>
        <w:t xml:space="preserve"> зміни до підпункту 14.1.227-1 пункту 14.1 статті 14 Податкового кодексу </w:t>
      </w:r>
      <w:r w:rsidRPr="00913D32">
        <w:rPr>
          <w:lang w:val="uk-UA"/>
        </w:rPr>
        <w:lastRenderedPageBreak/>
        <w:t xml:space="preserve">України, доповнивши термін «середньозважена роздрібна ціна продажу сигарет» уточненням про те, що це ціна, розрахована із суми загальної вартості всіх сигарет з урахуванням усіх податків,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 Запропонована </w:t>
      </w:r>
      <w:proofErr w:type="spellStart"/>
      <w:r w:rsidRPr="00913D32">
        <w:rPr>
          <w:lang w:val="uk-UA"/>
        </w:rPr>
        <w:t>законопроєктом</w:t>
      </w:r>
      <w:proofErr w:type="spellEnd"/>
      <w:r w:rsidRPr="00913D32">
        <w:rPr>
          <w:lang w:val="uk-UA"/>
        </w:rPr>
        <w:t xml:space="preserve"> зміна відповідає частині 2 статті 8 Директиви 2011/64/ЄС, відповідно до якої середньозважена роздрібна ціна продажу розраховується із загальної вартості всіх сигарет, випущених для споживання, яка ґрунтується на роздрібній ціні з урахуванням всіх податків, поділеної на загальну кількість сигарет, випущених для споживання. Вона визначається не пізніше 1 березня кожного року на підставі даних, що стосуються всіх таких випусків тютюнових виробів для споживання за попередній календарний рік. </w:t>
      </w:r>
    </w:p>
    <w:p w:rsidR="00913D32" w:rsidRPr="00913D32" w:rsidRDefault="00913D32" w:rsidP="00876892">
      <w:pPr>
        <w:pStyle w:val="a7"/>
        <w:spacing w:after="0"/>
        <w:ind w:left="397" w:firstLine="397"/>
        <w:jc w:val="both"/>
        <w:rPr>
          <w:lang w:val="uk-UA"/>
        </w:rPr>
      </w:pPr>
      <w:r w:rsidRPr="00913D32">
        <w:rPr>
          <w:lang w:val="uk-UA"/>
        </w:rPr>
        <w:t xml:space="preserve"> 5.</w:t>
      </w:r>
      <w:r w:rsidRPr="00913D32">
        <w:rPr>
          <w:lang w:val="uk-UA"/>
        </w:rPr>
        <w:tab/>
      </w:r>
      <w:proofErr w:type="spellStart"/>
      <w:r w:rsidRPr="00913D32">
        <w:rPr>
          <w:lang w:val="uk-UA"/>
        </w:rPr>
        <w:t>Законопроєктом</w:t>
      </w:r>
      <w:proofErr w:type="spellEnd"/>
      <w:r w:rsidRPr="00913D32">
        <w:rPr>
          <w:lang w:val="uk-UA"/>
        </w:rPr>
        <w:t xml:space="preserve"> </w:t>
      </w:r>
      <w:r w:rsidR="00B1023B" w:rsidRPr="00B1023B">
        <w:rPr>
          <w:lang w:val="uk-UA"/>
        </w:rPr>
        <w:t>(в частині акцизного оподаткування)</w:t>
      </w:r>
      <w:r w:rsidR="00B1023B">
        <w:rPr>
          <w:lang w:val="uk-UA"/>
        </w:rPr>
        <w:t xml:space="preserve"> </w:t>
      </w:r>
      <w:r w:rsidRPr="00913D32">
        <w:rPr>
          <w:lang w:val="uk-UA"/>
        </w:rPr>
        <w:t xml:space="preserve">пропонується </w:t>
      </w:r>
      <w:proofErr w:type="spellStart"/>
      <w:r w:rsidRPr="00913D32">
        <w:rPr>
          <w:lang w:val="uk-UA"/>
        </w:rPr>
        <w:t>внести</w:t>
      </w:r>
      <w:proofErr w:type="spellEnd"/>
      <w:r w:rsidRPr="00913D32">
        <w:rPr>
          <w:lang w:val="uk-UA"/>
        </w:rPr>
        <w:t xml:space="preserve"> зміни до Підрозділу 5 Перехідних положень Податкового кодексу України, визначивши, що суб’єкти, які здійснюють виробництво та обіг підакцизних рідких палив, зобов’язані: </w:t>
      </w:r>
    </w:p>
    <w:p w:rsidR="00913D32" w:rsidRPr="00913D32" w:rsidRDefault="00913D32" w:rsidP="00876892">
      <w:pPr>
        <w:pStyle w:val="a7"/>
        <w:spacing w:after="0"/>
        <w:ind w:left="397" w:firstLine="397"/>
        <w:jc w:val="both"/>
        <w:rPr>
          <w:lang w:val="uk-UA"/>
        </w:rPr>
      </w:pPr>
      <w:r w:rsidRPr="00913D32">
        <w:rPr>
          <w:lang w:val="uk-UA"/>
        </w:rPr>
        <w:t xml:space="preserve">- 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 </w:t>
      </w:r>
    </w:p>
    <w:p w:rsidR="00913D32" w:rsidRPr="00913D32" w:rsidRDefault="00913D32" w:rsidP="00876892">
      <w:pPr>
        <w:pStyle w:val="a7"/>
        <w:spacing w:after="0"/>
        <w:ind w:left="397" w:firstLine="397"/>
        <w:jc w:val="both"/>
        <w:rPr>
          <w:lang w:val="uk-UA"/>
        </w:rPr>
      </w:pPr>
      <w:r w:rsidRPr="00913D32">
        <w:rPr>
          <w:lang w:val="uk-UA"/>
        </w:rPr>
        <w:t xml:space="preserve">- 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913D32" w:rsidRPr="00913D32" w:rsidRDefault="00913D32" w:rsidP="00876892">
      <w:pPr>
        <w:pStyle w:val="a7"/>
        <w:spacing w:after="0"/>
        <w:ind w:left="397" w:firstLine="397"/>
        <w:jc w:val="both"/>
        <w:rPr>
          <w:lang w:val="uk-UA"/>
        </w:rPr>
      </w:pPr>
      <w:r w:rsidRPr="00913D32">
        <w:rPr>
          <w:lang w:val="uk-UA"/>
        </w:rPr>
        <w:t xml:space="preserve">Відповідно до частини 2 статті 15 Директиви 2008/118/ЄС виробництво, переробка і зберігання підакцизних товарів у режимі призупиненого оподаткування здійснюються на податковому складі.  </w:t>
      </w:r>
    </w:p>
    <w:p w:rsidR="00913D32" w:rsidRPr="00913D32" w:rsidRDefault="00913D32" w:rsidP="00876892">
      <w:pPr>
        <w:pStyle w:val="a7"/>
        <w:spacing w:after="0"/>
        <w:ind w:left="397" w:firstLine="397"/>
        <w:jc w:val="both"/>
        <w:rPr>
          <w:lang w:val="uk-UA"/>
        </w:rPr>
      </w:pPr>
      <w:r w:rsidRPr="00913D32">
        <w:rPr>
          <w:lang w:val="uk-UA"/>
        </w:rPr>
        <w:t xml:space="preserve">Відкриття та експлуатація податкового складу ліцензованим управляючим має здійснюватися на підставі отримання дозволу від уповноважених органів влади держави-члена, в якій розташовується склад. Вимоги для отримання такого дозволу визначаються уповноваженими органами з метою перешкоджання будь-якому можливому шахрайству чи зловживанню. Ліцензований управляючий складом повинен, зокрема, вести облік для кожного податкового складу про наявність та переміщення підакцизних товарів (стаття 16 Директиви 2008/118/ЄС). Таким чином, вимоги, передбачені </w:t>
      </w:r>
      <w:proofErr w:type="spellStart"/>
      <w:r w:rsidRPr="00913D32">
        <w:rPr>
          <w:lang w:val="uk-UA"/>
        </w:rPr>
        <w:t>законопроєктом</w:t>
      </w:r>
      <w:proofErr w:type="spellEnd"/>
      <w:r w:rsidRPr="00913D32">
        <w:rPr>
          <w:lang w:val="uk-UA"/>
        </w:rPr>
        <w:t xml:space="preserve"> в цій частині для суб’єктів, які здійснюють виробництво та обіг підакцизних рідких палив, не суперечать положенням статей 15 та 16 Директиви 2008/118/ЄС. </w:t>
      </w:r>
    </w:p>
    <w:p w:rsidR="00913D32" w:rsidRPr="00913D32" w:rsidRDefault="00913D32" w:rsidP="00876892">
      <w:pPr>
        <w:pStyle w:val="a7"/>
        <w:spacing w:after="0"/>
        <w:ind w:left="397" w:firstLine="397"/>
        <w:jc w:val="both"/>
        <w:rPr>
          <w:lang w:val="uk-UA"/>
        </w:rPr>
      </w:pPr>
      <w:r w:rsidRPr="00913D32">
        <w:rPr>
          <w:lang w:val="uk-UA"/>
        </w:rPr>
        <w:t>6.</w:t>
      </w:r>
      <w:r w:rsidRPr="00913D32">
        <w:rPr>
          <w:lang w:val="uk-UA"/>
        </w:rPr>
        <w:tab/>
      </w:r>
      <w:proofErr w:type="spellStart"/>
      <w:r w:rsidRPr="00913D32">
        <w:rPr>
          <w:lang w:val="uk-UA"/>
        </w:rPr>
        <w:t>Законопроєктом</w:t>
      </w:r>
      <w:proofErr w:type="spellEnd"/>
      <w:r w:rsidRPr="00913D32">
        <w:rPr>
          <w:lang w:val="uk-UA"/>
        </w:rPr>
        <w:t xml:space="preserve"> </w:t>
      </w:r>
      <w:r w:rsidR="00B1023B" w:rsidRPr="00B1023B">
        <w:rPr>
          <w:lang w:val="uk-UA"/>
        </w:rPr>
        <w:t xml:space="preserve"> (в частині акцизного оподаткування) </w:t>
      </w:r>
      <w:r w:rsidRPr="00913D32">
        <w:rPr>
          <w:lang w:val="uk-UA"/>
        </w:rPr>
        <w:t xml:space="preserve">пропонується </w:t>
      </w:r>
      <w:proofErr w:type="spellStart"/>
      <w:r w:rsidRPr="00913D32">
        <w:rPr>
          <w:lang w:val="uk-UA"/>
        </w:rPr>
        <w:t>внести</w:t>
      </w:r>
      <w:proofErr w:type="spellEnd"/>
      <w:r w:rsidRPr="00913D32">
        <w:rPr>
          <w:lang w:val="uk-UA"/>
        </w:rPr>
        <w:t xml:space="preserve"> зміни до Підрозділу 5 Перехідних положень Податкового кодексу України з метою запровадження перехідного періоду для включення підакцизних палив до системи  СЕАРП та СЕ. Протягом перехідного періоду </w:t>
      </w:r>
      <w:r w:rsidRPr="00913D32">
        <w:rPr>
          <w:lang w:val="uk-UA"/>
        </w:rPr>
        <w:lastRenderedPageBreak/>
        <w:t xml:space="preserve">суб’єкти, які здійснюють виробництво та обіг підакцизних рідких палив, отримають одноразове право подати заявку на поповнення обсягів залишку пального для власного споживання та для промислової переробки (крім виробництва певних підакцизних товарів), а також звільняються на час дії перехідного періоду від застосування штрафів за порушення строків реєстрації акцизних накладних та за </w:t>
      </w:r>
      <w:proofErr w:type="spellStart"/>
      <w:r w:rsidRPr="00913D32">
        <w:rPr>
          <w:lang w:val="uk-UA"/>
        </w:rPr>
        <w:t>необладнання</w:t>
      </w:r>
      <w:proofErr w:type="spellEnd"/>
      <w:r w:rsidRPr="00913D32">
        <w:rPr>
          <w:lang w:val="uk-UA"/>
        </w:rPr>
        <w:t xml:space="preserve"> резервуарів, в яких міститься пальне, </w:t>
      </w:r>
      <w:proofErr w:type="spellStart"/>
      <w:r w:rsidRPr="00913D32">
        <w:rPr>
          <w:lang w:val="uk-UA"/>
        </w:rPr>
        <w:t>витратомірамилічильникам</w:t>
      </w:r>
      <w:proofErr w:type="spellEnd"/>
      <w:r w:rsidRPr="00913D32">
        <w:rPr>
          <w:lang w:val="uk-UA"/>
        </w:rPr>
        <w:t xml:space="preserve">. </w:t>
      </w:r>
      <w:proofErr w:type="spellStart"/>
      <w:r w:rsidRPr="00913D32">
        <w:rPr>
          <w:lang w:val="uk-UA"/>
        </w:rPr>
        <w:t>Законопроєкт</w:t>
      </w:r>
      <w:proofErr w:type="spellEnd"/>
      <w:r w:rsidRPr="00913D32">
        <w:rPr>
          <w:lang w:val="uk-UA"/>
        </w:rPr>
        <w:t xml:space="preserve"> в цій частині не суперечить за своєю метою статтям 18, 18а та 18b Директиви 2003/96/ЄС, відповідної до яких державам-членам ЄС, що мали складнощі з імплементацією нових заходів з оподаткування </w:t>
      </w:r>
      <w:proofErr w:type="spellStart"/>
      <w:r w:rsidRPr="00913D32">
        <w:rPr>
          <w:lang w:val="uk-UA"/>
        </w:rPr>
        <w:t>енергопродуктів</w:t>
      </w:r>
      <w:proofErr w:type="spellEnd"/>
      <w:r w:rsidRPr="00913D32">
        <w:rPr>
          <w:lang w:val="uk-UA"/>
        </w:rPr>
        <w:t xml:space="preserve">, були надані перехідні періоди до початку застосування нових вимог законодавства.   </w:t>
      </w:r>
    </w:p>
    <w:p w:rsidR="00913D32" w:rsidRPr="00913D32" w:rsidRDefault="00913D32" w:rsidP="00876892">
      <w:pPr>
        <w:pStyle w:val="a7"/>
        <w:spacing w:after="0"/>
        <w:ind w:left="397" w:firstLine="397"/>
        <w:jc w:val="both"/>
        <w:rPr>
          <w:lang w:val="uk-UA"/>
        </w:rPr>
      </w:pPr>
      <w:r w:rsidRPr="00913D32">
        <w:rPr>
          <w:lang w:val="uk-UA"/>
        </w:rPr>
        <w:t>7.</w:t>
      </w:r>
      <w:r w:rsidRPr="00913D32">
        <w:rPr>
          <w:lang w:val="uk-UA"/>
        </w:rPr>
        <w:tab/>
      </w:r>
      <w:proofErr w:type="spellStart"/>
      <w:r w:rsidRPr="00913D32">
        <w:rPr>
          <w:lang w:val="uk-UA"/>
        </w:rPr>
        <w:t>Законопроєктом</w:t>
      </w:r>
      <w:proofErr w:type="spellEnd"/>
      <w:r w:rsidRPr="00913D32">
        <w:rPr>
          <w:lang w:val="uk-UA"/>
        </w:rPr>
        <w:t xml:space="preserve"> </w:t>
      </w:r>
      <w:r w:rsidR="00B1023B" w:rsidRPr="00B1023B">
        <w:rPr>
          <w:lang w:val="uk-UA"/>
        </w:rPr>
        <w:t xml:space="preserve"> (в частині акцизного оподаткування) </w:t>
      </w:r>
      <w:r w:rsidRPr="00913D32">
        <w:rPr>
          <w:lang w:val="uk-UA"/>
        </w:rPr>
        <w:t xml:space="preserve">пропонується </w:t>
      </w:r>
      <w:proofErr w:type="spellStart"/>
      <w:r w:rsidRPr="00913D32">
        <w:rPr>
          <w:lang w:val="uk-UA"/>
        </w:rPr>
        <w:t>внести</w:t>
      </w:r>
      <w:proofErr w:type="spellEnd"/>
      <w:r w:rsidRPr="00913D32">
        <w:rPr>
          <w:lang w:val="uk-UA"/>
        </w:rPr>
        <w:t xml:space="preserve"> зміни до пункту 231.3 статті 231 Податкового кодексу України, доповнивши його новим абзацом про те, що зведена акцизна накладна також може бути складена за кожним кодом товарної </w:t>
      </w:r>
      <w:proofErr w:type="spellStart"/>
      <w:r w:rsidRPr="00913D32">
        <w:rPr>
          <w:lang w:val="uk-UA"/>
        </w:rPr>
        <w:t>підкатегорії</w:t>
      </w:r>
      <w:proofErr w:type="spellEnd"/>
      <w:r w:rsidRPr="00913D32">
        <w:rPr>
          <w:lang w:val="uk-UA"/>
        </w:rPr>
        <w:t xml:space="preserve"> згідно з УКТЗЕД та окремо за кожним акцизним складом/акцизним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w:t>
      </w:r>
      <w:proofErr w:type="spellStart"/>
      <w:r w:rsidRPr="00913D32">
        <w:rPr>
          <w:lang w:val="uk-UA"/>
        </w:rPr>
        <w:t>Законопроєкт</w:t>
      </w:r>
      <w:proofErr w:type="spellEnd"/>
      <w:r w:rsidRPr="00913D32">
        <w:rPr>
          <w:lang w:val="uk-UA"/>
        </w:rPr>
        <w:t xml:space="preserve"> в цій частині не суперечить частинам 4 та 5 статті 7 Директиви 2008/118/ЄС, відповідно до яких кожна держава-член встановлює свої власні правила та умови, відповідно до яких визначаються втрати підакцизних товарів, такі як повне знищення або непоправна втрата підакцизних товарів, що перебувають під режимом призупиненого оподаткування, з причини властивої власній природі товару, настання непередбачуваних обставин або </w:t>
      </w:r>
      <w:proofErr w:type="spellStart"/>
      <w:r w:rsidRPr="00913D32">
        <w:rPr>
          <w:lang w:val="uk-UA"/>
        </w:rPr>
        <w:t>форсмажору</w:t>
      </w:r>
      <w:proofErr w:type="spellEnd"/>
      <w:r w:rsidRPr="00913D32">
        <w:rPr>
          <w:lang w:val="uk-UA"/>
        </w:rPr>
        <w:t xml:space="preserve"> чи внаслідок дозволу уповноважених органів держави-члена. Такі втрати не вважається випуском для споживання. </w:t>
      </w:r>
    </w:p>
    <w:p w:rsidR="00913D32" w:rsidRPr="00913D32" w:rsidRDefault="00913D32" w:rsidP="00876892">
      <w:pPr>
        <w:pStyle w:val="a7"/>
        <w:spacing w:after="0"/>
        <w:ind w:left="397" w:firstLine="397"/>
        <w:jc w:val="both"/>
        <w:rPr>
          <w:lang w:val="uk-UA"/>
        </w:rPr>
      </w:pPr>
      <w:r w:rsidRPr="00913D32">
        <w:rPr>
          <w:lang w:val="uk-UA"/>
        </w:rPr>
        <w:t xml:space="preserve">8. </w:t>
      </w:r>
      <w:proofErr w:type="spellStart"/>
      <w:r w:rsidRPr="00913D32">
        <w:rPr>
          <w:lang w:val="uk-UA"/>
        </w:rPr>
        <w:t>Законопроєктом</w:t>
      </w:r>
      <w:proofErr w:type="spellEnd"/>
      <w:r w:rsidRPr="00913D32">
        <w:rPr>
          <w:lang w:val="uk-UA"/>
        </w:rPr>
        <w:t xml:space="preserve"> </w:t>
      </w:r>
      <w:r w:rsidR="00B1023B">
        <w:rPr>
          <w:lang w:val="uk-UA"/>
        </w:rPr>
        <w:t>(в</w:t>
      </w:r>
      <w:r w:rsidR="00B1023B" w:rsidRPr="00B1023B">
        <w:rPr>
          <w:lang w:val="uk-UA"/>
        </w:rPr>
        <w:t xml:space="preserve"> частині корпоративного оподаткування</w:t>
      </w:r>
      <w:r w:rsidR="00B1023B">
        <w:rPr>
          <w:lang w:val="uk-UA"/>
        </w:rPr>
        <w:t>)</w:t>
      </w:r>
      <w:r w:rsidR="00B1023B" w:rsidRPr="00B1023B">
        <w:rPr>
          <w:lang w:val="uk-UA"/>
        </w:rPr>
        <w:t xml:space="preserve"> </w:t>
      </w:r>
      <w:r w:rsidRPr="00913D32">
        <w:rPr>
          <w:lang w:val="uk-UA"/>
        </w:rPr>
        <w:t>пропонується викласти в новій редакції підпункт 14.1.49 пункту 14.1 статті 14 Податкового кодексу України, змінивши чинний термін «дивіденди»</w:t>
      </w:r>
      <w:r w:rsidR="00B1023B">
        <w:rPr>
          <w:lang w:val="uk-UA"/>
        </w:rPr>
        <w:t>.</w:t>
      </w:r>
      <w:r w:rsidRPr="00913D32">
        <w:rPr>
          <w:lang w:val="uk-UA"/>
        </w:rPr>
        <w:t xml:space="preserve"> Перелік актів у Додатках XXXV та XXXVІ до Угоди включає законодавчі акти ЄС у сфері бухгалтерського обліку і аудиту та сфері корпоративного управління, а також Принципи ОЕСР щодо корпоративного управління, однак вони не містять визначення терміну «дивіденди»( ). З огляду на зазначене </w:t>
      </w:r>
      <w:proofErr w:type="spellStart"/>
      <w:r w:rsidRPr="00913D32">
        <w:rPr>
          <w:lang w:val="uk-UA"/>
        </w:rPr>
        <w:t>законопроєкт</w:t>
      </w:r>
      <w:proofErr w:type="spellEnd"/>
      <w:r w:rsidRPr="00913D32">
        <w:rPr>
          <w:lang w:val="uk-UA"/>
        </w:rPr>
        <w:t xml:space="preserve"> в цій частині не суперечить зобов’язанням України за Угодою про асоціацію. </w:t>
      </w:r>
    </w:p>
    <w:p w:rsidR="006F2C61" w:rsidRDefault="00F35A96" w:rsidP="00F35A96">
      <w:pPr>
        <w:pStyle w:val="a7"/>
        <w:spacing w:after="0"/>
        <w:ind w:left="397" w:firstLine="397"/>
        <w:jc w:val="both"/>
        <w:rPr>
          <w:lang w:val="uk-UA"/>
        </w:rPr>
      </w:pPr>
      <w:r w:rsidRPr="00E80E26">
        <w:rPr>
          <w:b/>
          <w:color w:val="000000" w:themeColor="text1"/>
          <w:lang w:val="uk-UA"/>
        </w:rPr>
        <w:t xml:space="preserve">Виходячи з вищезазначеного, положення </w:t>
      </w:r>
      <w:proofErr w:type="spellStart"/>
      <w:r w:rsidRPr="00E80E26">
        <w:rPr>
          <w:b/>
          <w:color w:val="000000" w:themeColor="text1"/>
          <w:lang w:val="uk-UA"/>
        </w:rPr>
        <w:t>проєкту</w:t>
      </w:r>
      <w:proofErr w:type="spellEnd"/>
      <w:r w:rsidRPr="00E80E26">
        <w:rPr>
          <w:b/>
          <w:color w:val="000000" w:themeColor="text1"/>
          <w:lang w:val="uk-UA"/>
        </w:rPr>
        <w:t xml:space="preserve"> закону </w:t>
      </w:r>
      <w:r w:rsidR="000E779D" w:rsidRPr="00E80E26">
        <w:rPr>
          <w:b/>
          <w:color w:val="000000" w:themeColor="text1"/>
          <w:lang w:val="uk-UA"/>
        </w:rPr>
        <w:t xml:space="preserve">не </w:t>
      </w:r>
      <w:r w:rsidRPr="00E80E26">
        <w:rPr>
          <w:b/>
          <w:color w:val="000000" w:themeColor="text1"/>
          <w:lang w:val="uk-UA"/>
        </w:rPr>
        <w:t xml:space="preserve">суперечить актам права ЄС і </w:t>
      </w:r>
      <w:r w:rsidR="00B1023B">
        <w:rPr>
          <w:b/>
          <w:color w:val="000000" w:themeColor="text1"/>
          <w:lang w:val="uk-UA"/>
        </w:rPr>
        <w:t>міжнародно-правовим з</w:t>
      </w:r>
      <w:r w:rsidRPr="00E80E26">
        <w:rPr>
          <w:b/>
          <w:color w:val="000000" w:themeColor="text1"/>
          <w:lang w:val="uk-UA"/>
        </w:rPr>
        <w:t xml:space="preserve">обов’язанням України </w:t>
      </w:r>
      <w:r w:rsidR="00B1023B">
        <w:rPr>
          <w:b/>
          <w:color w:val="000000" w:themeColor="text1"/>
          <w:lang w:val="uk-UA"/>
        </w:rPr>
        <w:t>в сфері європейської інтеграції</w:t>
      </w:r>
      <w:r w:rsidR="008D2C76">
        <w:rPr>
          <w:b/>
          <w:color w:val="000000" w:themeColor="text1"/>
          <w:lang w:val="uk-UA"/>
        </w:rPr>
        <w:t xml:space="preserve">, </w:t>
      </w:r>
      <w:r w:rsidR="008D2C76" w:rsidRPr="008D2C76">
        <w:rPr>
          <w:b/>
          <w:color w:val="000000" w:themeColor="text1"/>
          <w:lang w:val="uk-UA"/>
        </w:rPr>
        <w:t>за винятком окремих положень, які потребують доопрацювання відповідно до зауважень та пропозицій, зазначених у підпункт</w:t>
      </w:r>
      <w:r w:rsidR="008D2C76">
        <w:rPr>
          <w:b/>
          <w:color w:val="000000" w:themeColor="text1"/>
          <w:lang w:val="uk-UA"/>
        </w:rPr>
        <w:t>і</w:t>
      </w:r>
      <w:r w:rsidR="008D2C76" w:rsidRPr="008D2C76">
        <w:rPr>
          <w:b/>
          <w:color w:val="000000" w:themeColor="text1"/>
          <w:lang w:val="uk-UA"/>
        </w:rPr>
        <w:t xml:space="preserve"> </w:t>
      </w:r>
      <w:r w:rsidR="008D2C76">
        <w:rPr>
          <w:b/>
          <w:color w:val="000000" w:themeColor="text1"/>
          <w:lang w:val="uk-UA"/>
        </w:rPr>
        <w:t xml:space="preserve">2 пункту </w:t>
      </w:r>
      <w:r w:rsidR="008D2C76" w:rsidRPr="008D2C76">
        <w:rPr>
          <w:b/>
          <w:color w:val="000000" w:themeColor="text1"/>
          <w:lang w:val="uk-UA"/>
        </w:rPr>
        <w:t>3 цього висновку</w:t>
      </w:r>
      <w:r w:rsidRPr="00E80E26">
        <w:rPr>
          <w:b/>
          <w:color w:val="000000" w:themeColor="text1"/>
          <w:lang w:val="uk-UA"/>
        </w:rPr>
        <w:t xml:space="preserve">.  </w:t>
      </w:r>
      <w:r w:rsidR="006F7663" w:rsidRPr="00E80E26">
        <w:rPr>
          <w:b/>
          <w:color w:val="000000" w:themeColor="text1"/>
          <w:lang w:val="uk-UA"/>
        </w:rPr>
        <w:t xml:space="preserve"> </w:t>
      </w:r>
      <w:bookmarkStart w:id="0" w:name="_GoBack"/>
      <w:bookmarkEnd w:id="0"/>
    </w:p>
    <w:sectPr w:rsidR="006F2C61" w:rsidSect="00D67DFC">
      <w:footerReference w:type="default" r:id="rId9"/>
      <w:footerReference w:type="first" r:id="rId10"/>
      <w:pgSz w:w="11906" w:h="16838"/>
      <w:pgMar w:top="720" w:right="851" w:bottom="720"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A66" w:rsidRDefault="006C0A66">
      <w:r>
        <w:separator/>
      </w:r>
    </w:p>
  </w:endnote>
  <w:endnote w:type="continuationSeparator" w:id="0">
    <w:p w:rsidR="006C0A66" w:rsidRDefault="006C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D67DFC" w:rsidP="00D67DFC">
    <w:pPr>
      <w:pStyle w:val="a5"/>
    </w:pPr>
  </w:p>
  <w:p w:rsidR="00D67DFC" w:rsidRPr="00D67DFC" w:rsidRDefault="00D67DFC" w:rsidP="00D67DF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Pr="00D67DFC" w:rsidRDefault="00D67DFC">
    <w:pPr>
      <w:pStyle w:val="a5"/>
      <w:rPr>
        <w:sz w:val="24"/>
        <w:szCs w:val="24"/>
        <w:lang w:val="ru-RU"/>
      </w:rPr>
    </w:pPr>
    <w:r w:rsidRPr="00D67DFC">
      <w:rPr>
        <w:sz w:val="24"/>
        <w:szCs w:val="24"/>
        <w:lang w:val="ru-RU"/>
      </w:rPr>
      <w:t xml:space="preserve">Комітет </w:t>
    </w:r>
    <w:proofErr w:type="spellStart"/>
    <w:r w:rsidRPr="00D67DFC">
      <w:rPr>
        <w:sz w:val="24"/>
        <w:szCs w:val="24"/>
        <w:lang w:val="ru-RU"/>
      </w:rPr>
      <w:t>розглянув</w:t>
    </w:r>
    <w:proofErr w:type="spellEnd"/>
    <w:r w:rsidRPr="00D67DFC">
      <w:rPr>
        <w:sz w:val="24"/>
        <w:szCs w:val="24"/>
        <w:lang w:val="ru-RU"/>
      </w:rPr>
      <w:t xml:space="preserve"> </w:t>
    </w:r>
    <w:proofErr w:type="spellStart"/>
    <w:r w:rsidR="00AD284D">
      <w:rPr>
        <w:sz w:val="24"/>
        <w:szCs w:val="24"/>
        <w:lang w:val="ru-RU"/>
      </w:rPr>
      <w:t>проєкт</w:t>
    </w:r>
    <w:proofErr w:type="spellEnd"/>
    <w:r w:rsidRPr="00D67DFC">
      <w:rPr>
        <w:sz w:val="24"/>
        <w:szCs w:val="24"/>
        <w:lang w:val="ru-RU"/>
      </w:rPr>
      <w:t xml:space="preserve"> Закону на </w:t>
    </w:r>
    <w:proofErr w:type="spellStart"/>
    <w:r w:rsidRPr="00D67DFC">
      <w:rPr>
        <w:sz w:val="24"/>
        <w:szCs w:val="24"/>
        <w:lang w:val="ru-RU"/>
      </w:rPr>
      <w:t>своєму</w:t>
    </w:r>
    <w:proofErr w:type="spellEnd"/>
    <w:r w:rsidRPr="00D67DFC">
      <w:rPr>
        <w:sz w:val="24"/>
        <w:szCs w:val="24"/>
        <w:lang w:val="ru-RU"/>
      </w:rPr>
      <w:t xml:space="preserve"> </w:t>
    </w:r>
    <w:proofErr w:type="spellStart"/>
    <w:r w:rsidRPr="00D67DFC">
      <w:rPr>
        <w:sz w:val="24"/>
        <w:szCs w:val="24"/>
        <w:lang w:val="ru-RU"/>
      </w:rPr>
      <w:t>засіданні</w:t>
    </w:r>
    <w:proofErr w:type="spellEnd"/>
    <w:r w:rsidRPr="00D67DFC">
      <w:rPr>
        <w:sz w:val="24"/>
        <w:szCs w:val="24"/>
        <w:lang w:val="ru-RU"/>
      </w:rPr>
      <w:t xml:space="preserve"> </w:t>
    </w:r>
    <w:r w:rsidR="008769CE">
      <w:rPr>
        <w:sz w:val="24"/>
        <w:szCs w:val="24"/>
        <w:lang w:val="ru-RU"/>
      </w:rPr>
      <w:t>1</w:t>
    </w:r>
    <w:r w:rsidR="00B36AAB">
      <w:rPr>
        <w:sz w:val="24"/>
        <w:szCs w:val="24"/>
        <w:lang w:val="ru-RU"/>
      </w:rPr>
      <w:t>7</w:t>
    </w:r>
    <w:r w:rsidRPr="00D67DFC">
      <w:rPr>
        <w:sz w:val="24"/>
        <w:szCs w:val="24"/>
        <w:lang w:val="ru-RU"/>
      </w:rPr>
      <w:t xml:space="preserve"> </w:t>
    </w:r>
    <w:r w:rsidR="008769CE">
      <w:rPr>
        <w:sz w:val="24"/>
        <w:szCs w:val="24"/>
        <w:lang w:val="ru-RU"/>
      </w:rPr>
      <w:t>лютого</w:t>
    </w:r>
    <w:r w:rsidRPr="00D67DFC">
      <w:rPr>
        <w:sz w:val="24"/>
        <w:szCs w:val="24"/>
        <w:lang w:val="ru-RU"/>
      </w:rPr>
      <w:t xml:space="preserve"> 202</w:t>
    </w:r>
    <w:r w:rsidR="008769CE">
      <w:rPr>
        <w:sz w:val="24"/>
        <w:szCs w:val="24"/>
        <w:lang w:val="ru-RU"/>
      </w:rPr>
      <w:t>1</w:t>
    </w:r>
    <w:r w:rsidRPr="00D67DFC">
      <w:rPr>
        <w:sz w:val="24"/>
        <w:szCs w:val="24"/>
        <w:lang w:val="ru-RU"/>
      </w:rPr>
      <w:t xml:space="preserve"> року (протокол № </w:t>
    </w:r>
    <w:r w:rsidR="008769CE">
      <w:rPr>
        <w:sz w:val="24"/>
        <w:szCs w:val="24"/>
        <w:lang w:val="ru-RU"/>
      </w:rPr>
      <w:t>6</w:t>
    </w:r>
    <w:r w:rsidR="00B36AAB">
      <w:rPr>
        <w:sz w:val="24"/>
        <w:szCs w:val="24"/>
        <w:lang w:val="ru-RU"/>
      </w:rPr>
      <w:t>3</w:t>
    </w:r>
    <w:r w:rsidRPr="00D67DFC">
      <w:rPr>
        <w:sz w:val="24"/>
        <w:szCs w:val="24"/>
        <w:lang w:val="ru-RU"/>
      </w:rPr>
      <w:t xml:space="preserve">) </w:t>
    </w:r>
    <w:proofErr w:type="spellStart"/>
    <w:r w:rsidRPr="00D67DFC">
      <w:rPr>
        <w:sz w:val="24"/>
        <w:szCs w:val="24"/>
        <w:lang w:val="ru-RU"/>
      </w:rPr>
      <w:t>відповідно</w:t>
    </w:r>
    <w:proofErr w:type="spellEnd"/>
    <w:r w:rsidRPr="00D67DFC">
      <w:rPr>
        <w:sz w:val="24"/>
        <w:szCs w:val="24"/>
        <w:lang w:val="ru-RU"/>
      </w:rPr>
      <w:t xml:space="preserve"> до </w:t>
    </w:r>
    <w:proofErr w:type="spellStart"/>
    <w:r w:rsidRPr="00D67DFC">
      <w:rPr>
        <w:sz w:val="24"/>
        <w:szCs w:val="24"/>
        <w:lang w:val="ru-RU"/>
      </w:rPr>
      <w:t>статті</w:t>
    </w:r>
    <w:proofErr w:type="spellEnd"/>
    <w:r w:rsidRPr="00D67DFC">
      <w:rPr>
        <w:sz w:val="24"/>
        <w:szCs w:val="24"/>
        <w:lang w:val="ru-RU"/>
      </w:rPr>
      <w:t xml:space="preserve"> 93 Регламенту </w:t>
    </w:r>
    <w:proofErr w:type="spellStart"/>
    <w:r w:rsidRPr="00D67DFC">
      <w:rPr>
        <w:sz w:val="24"/>
        <w:szCs w:val="24"/>
        <w:lang w:val="ru-RU"/>
      </w:rPr>
      <w:t>Верховної</w:t>
    </w:r>
    <w:proofErr w:type="spellEnd"/>
    <w:r w:rsidRPr="00D67DFC">
      <w:rPr>
        <w:sz w:val="24"/>
        <w:szCs w:val="24"/>
        <w:lang w:val="ru-RU"/>
      </w:rPr>
      <w:t xml:space="preserve"> Ради </w:t>
    </w:r>
    <w:proofErr w:type="spellStart"/>
    <w:r w:rsidRPr="00D67DFC">
      <w:rPr>
        <w:sz w:val="24"/>
        <w:szCs w:val="24"/>
        <w:lang w:val="ru-RU"/>
      </w:rPr>
      <w:t>України</w:t>
    </w:r>
    <w:proofErr w:type="spellEnd"/>
    <w:r w:rsidRPr="00D67DFC">
      <w:rPr>
        <w:sz w:val="24"/>
        <w:szCs w:val="24"/>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A66" w:rsidRDefault="006C0A66">
      <w:r>
        <w:separator/>
      </w:r>
    </w:p>
  </w:footnote>
  <w:footnote w:type="continuationSeparator" w:id="0">
    <w:p w:rsidR="006C0A66" w:rsidRDefault="006C0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16A73440"/>
    <w:multiLevelType w:val="hybridMultilevel"/>
    <w:tmpl w:val="C274618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EC873E3"/>
    <w:multiLevelType w:val="hybridMultilevel"/>
    <w:tmpl w:val="DC9AAD90"/>
    <w:lvl w:ilvl="0" w:tplc="540A5860">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00B16A4"/>
    <w:multiLevelType w:val="hybridMultilevel"/>
    <w:tmpl w:val="2F52DA1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7"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5C2E0EA9"/>
    <w:multiLevelType w:val="hybridMultilevel"/>
    <w:tmpl w:val="42D42664"/>
    <w:lvl w:ilvl="0" w:tplc="526423A2">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22" w:hanging="360"/>
      </w:pPr>
      <w:rPr>
        <w:rFonts w:ascii="Courier New" w:hAnsi="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0"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3"/>
  </w:num>
  <w:num w:numId="3">
    <w:abstractNumId w:val="6"/>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7"/>
  </w:num>
  <w:num w:numId="7">
    <w:abstractNumId w:val="11"/>
  </w:num>
  <w:num w:numId="8">
    <w:abstractNumId w:val="10"/>
  </w:num>
  <w:num w:numId="9">
    <w:abstractNumId w:val="2"/>
  </w:num>
  <w:num w:numId="10">
    <w:abstractNumId w:val="4"/>
  </w:num>
  <w:num w:numId="11">
    <w:abstractNumId w:val="5"/>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21F0"/>
    <w:rsid w:val="00002BE4"/>
    <w:rsid w:val="000042B5"/>
    <w:rsid w:val="000056E1"/>
    <w:rsid w:val="000071D4"/>
    <w:rsid w:val="00024839"/>
    <w:rsid w:val="000250B7"/>
    <w:rsid w:val="000262DA"/>
    <w:rsid w:val="0003402A"/>
    <w:rsid w:val="0003442A"/>
    <w:rsid w:val="0004768D"/>
    <w:rsid w:val="00050960"/>
    <w:rsid w:val="000631BF"/>
    <w:rsid w:val="000665E6"/>
    <w:rsid w:val="00074F18"/>
    <w:rsid w:val="00080198"/>
    <w:rsid w:val="0008782A"/>
    <w:rsid w:val="00090D31"/>
    <w:rsid w:val="00093E77"/>
    <w:rsid w:val="000A04D4"/>
    <w:rsid w:val="000A407B"/>
    <w:rsid w:val="000B111F"/>
    <w:rsid w:val="000B59C2"/>
    <w:rsid w:val="000B6D98"/>
    <w:rsid w:val="000C0CD7"/>
    <w:rsid w:val="000D3D88"/>
    <w:rsid w:val="000E2EC7"/>
    <w:rsid w:val="000E4B56"/>
    <w:rsid w:val="000E779D"/>
    <w:rsid w:val="0010119B"/>
    <w:rsid w:val="0011046A"/>
    <w:rsid w:val="00120611"/>
    <w:rsid w:val="00132F0C"/>
    <w:rsid w:val="00136106"/>
    <w:rsid w:val="001469E1"/>
    <w:rsid w:val="00155062"/>
    <w:rsid w:val="001556B7"/>
    <w:rsid w:val="00155A65"/>
    <w:rsid w:val="00163A8F"/>
    <w:rsid w:val="00172FBB"/>
    <w:rsid w:val="001730DA"/>
    <w:rsid w:val="0018016B"/>
    <w:rsid w:val="00182449"/>
    <w:rsid w:val="00185F2D"/>
    <w:rsid w:val="00193B91"/>
    <w:rsid w:val="00197E68"/>
    <w:rsid w:val="001A05A8"/>
    <w:rsid w:val="001A4F8E"/>
    <w:rsid w:val="001B1968"/>
    <w:rsid w:val="001B2F43"/>
    <w:rsid w:val="001C08A8"/>
    <w:rsid w:val="001D5D98"/>
    <w:rsid w:val="001D78C6"/>
    <w:rsid w:val="001E14BB"/>
    <w:rsid w:val="001E5BEF"/>
    <w:rsid w:val="0020177C"/>
    <w:rsid w:val="00204686"/>
    <w:rsid w:val="00206A0B"/>
    <w:rsid w:val="00207A27"/>
    <w:rsid w:val="002118E0"/>
    <w:rsid w:val="00223A43"/>
    <w:rsid w:val="00224CCD"/>
    <w:rsid w:val="00231C1D"/>
    <w:rsid w:val="002325C0"/>
    <w:rsid w:val="002365F4"/>
    <w:rsid w:val="0025788A"/>
    <w:rsid w:val="00265B6C"/>
    <w:rsid w:val="0026766B"/>
    <w:rsid w:val="00270CC8"/>
    <w:rsid w:val="00272EED"/>
    <w:rsid w:val="002754CE"/>
    <w:rsid w:val="00275F40"/>
    <w:rsid w:val="002807CE"/>
    <w:rsid w:val="002842B4"/>
    <w:rsid w:val="00293E83"/>
    <w:rsid w:val="00295446"/>
    <w:rsid w:val="002A3F6E"/>
    <w:rsid w:val="002C0FAB"/>
    <w:rsid w:val="002C4268"/>
    <w:rsid w:val="002C5B52"/>
    <w:rsid w:val="002D4F67"/>
    <w:rsid w:val="002E0062"/>
    <w:rsid w:val="002E3EE1"/>
    <w:rsid w:val="002E5577"/>
    <w:rsid w:val="002F0E04"/>
    <w:rsid w:val="002F39F2"/>
    <w:rsid w:val="0030151A"/>
    <w:rsid w:val="00311200"/>
    <w:rsid w:val="0032130E"/>
    <w:rsid w:val="003274D2"/>
    <w:rsid w:val="00341803"/>
    <w:rsid w:val="00342F1D"/>
    <w:rsid w:val="0034482D"/>
    <w:rsid w:val="00346B92"/>
    <w:rsid w:val="00347313"/>
    <w:rsid w:val="00351180"/>
    <w:rsid w:val="00352C34"/>
    <w:rsid w:val="00354657"/>
    <w:rsid w:val="0037439A"/>
    <w:rsid w:val="0037546E"/>
    <w:rsid w:val="003815A9"/>
    <w:rsid w:val="003815DE"/>
    <w:rsid w:val="00383EFA"/>
    <w:rsid w:val="00390CCD"/>
    <w:rsid w:val="00393D0B"/>
    <w:rsid w:val="003948CE"/>
    <w:rsid w:val="00396B08"/>
    <w:rsid w:val="003977A1"/>
    <w:rsid w:val="003A1CBE"/>
    <w:rsid w:val="003A2271"/>
    <w:rsid w:val="003A4FE3"/>
    <w:rsid w:val="003B486D"/>
    <w:rsid w:val="003B59F1"/>
    <w:rsid w:val="003B77F3"/>
    <w:rsid w:val="003C23DF"/>
    <w:rsid w:val="003C23F1"/>
    <w:rsid w:val="003C55E1"/>
    <w:rsid w:val="003C7404"/>
    <w:rsid w:val="003F16D2"/>
    <w:rsid w:val="003F7BFD"/>
    <w:rsid w:val="00405393"/>
    <w:rsid w:val="00411DBD"/>
    <w:rsid w:val="0041564A"/>
    <w:rsid w:val="00415E31"/>
    <w:rsid w:val="00423995"/>
    <w:rsid w:val="004269B7"/>
    <w:rsid w:val="004274F7"/>
    <w:rsid w:val="00430405"/>
    <w:rsid w:val="0043641D"/>
    <w:rsid w:val="004454AC"/>
    <w:rsid w:val="0044567A"/>
    <w:rsid w:val="004464B6"/>
    <w:rsid w:val="0045072C"/>
    <w:rsid w:val="00453955"/>
    <w:rsid w:val="00454EAD"/>
    <w:rsid w:val="0045649D"/>
    <w:rsid w:val="00456907"/>
    <w:rsid w:val="0046356D"/>
    <w:rsid w:val="004657DA"/>
    <w:rsid w:val="00477BCF"/>
    <w:rsid w:val="00490795"/>
    <w:rsid w:val="00493A3D"/>
    <w:rsid w:val="004A507B"/>
    <w:rsid w:val="004B6A8E"/>
    <w:rsid w:val="004B7D93"/>
    <w:rsid w:val="004E46C4"/>
    <w:rsid w:val="00502478"/>
    <w:rsid w:val="00523C61"/>
    <w:rsid w:val="00531F28"/>
    <w:rsid w:val="00532A71"/>
    <w:rsid w:val="00532AA9"/>
    <w:rsid w:val="00536E37"/>
    <w:rsid w:val="00543EE4"/>
    <w:rsid w:val="00544CF0"/>
    <w:rsid w:val="005463CF"/>
    <w:rsid w:val="00556EA9"/>
    <w:rsid w:val="0055778B"/>
    <w:rsid w:val="005619C6"/>
    <w:rsid w:val="0056665D"/>
    <w:rsid w:val="005767E1"/>
    <w:rsid w:val="005820C9"/>
    <w:rsid w:val="00582D1E"/>
    <w:rsid w:val="005844A8"/>
    <w:rsid w:val="00585C2C"/>
    <w:rsid w:val="005915E3"/>
    <w:rsid w:val="005958B1"/>
    <w:rsid w:val="00596F13"/>
    <w:rsid w:val="005A6229"/>
    <w:rsid w:val="005A68AB"/>
    <w:rsid w:val="005B4C5D"/>
    <w:rsid w:val="005B6840"/>
    <w:rsid w:val="005C0BF3"/>
    <w:rsid w:val="005C2492"/>
    <w:rsid w:val="005C2FD5"/>
    <w:rsid w:val="005C4411"/>
    <w:rsid w:val="005C74E4"/>
    <w:rsid w:val="005D1531"/>
    <w:rsid w:val="005D1B15"/>
    <w:rsid w:val="005D3993"/>
    <w:rsid w:val="005D7C2B"/>
    <w:rsid w:val="005E51AE"/>
    <w:rsid w:val="005E64C4"/>
    <w:rsid w:val="005F01D6"/>
    <w:rsid w:val="005F28DD"/>
    <w:rsid w:val="005F434E"/>
    <w:rsid w:val="005F46F4"/>
    <w:rsid w:val="005F5D8E"/>
    <w:rsid w:val="005F694A"/>
    <w:rsid w:val="005F7650"/>
    <w:rsid w:val="00605892"/>
    <w:rsid w:val="006064E2"/>
    <w:rsid w:val="00607E3A"/>
    <w:rsid w:val="006257BC"/>
    <w:rsid w:val="006301F5"/>
    <w:rsid w:val="006340CF"/>
    <w:rsid w:val="0063772A"/>
    <w:rsid w:val="00646A14"/>
    <w:rsid w:val="0066003B"/>
    <w:rsid w:val="0066123B"/>
    <w:rsid w:val="00670392"/>
    <w:rsid w:val="00673102"/>
    <w:rsid w:val="006765E4"/>
    <w:rsid w:val="00683E44"/>
    <w:rsid w:val="00685365"/>
    <w:rsid w:val="00687538"/>
    <w:rsid w:val="00692EE6"/>
    <w:rsid w:val="00694C02"/>
    <w:rsid w:val="00696539"/>
    <w:rsid w:val="006A28B8"/>
    <w:rsid w:val="006B1B48"/>
    <w:rsid w:val="006B1C70"/>
    <w:rsid w:val="006C0A66"/>
    <w:rsid w:val="006C3333"/>
    <w:rsid w:val="006C3752"/>
    <w:rsid w:val="006C7FE4"/>
    <w:rsid w:val="006D2553"/>
    <w:rsid w:val="006D4C7F"/>
    <w:rsid w:val="006E3F53"/>
    <w:rsid w:val="006E56F6"/>
    <w:rsid w:val="006F1426"/>
    <w:rsid w:val="006F266F"/>
    <w:rsid w:val="006F2C61"/>
    <w:rsid w:val="006F411E"/>
    <w:rsid w:val="006F7663"/>
    <w:rsid w:val="00701A81"/>
    <w:rsid w:val="00703A7C"/>
    <w:rsid w:val="00707AE1"/>
    <w:rsid w:val="00711BFB"/>
    <w:rsid w:val="00712D89"/>
    <w:rsid w:val="00716B34"/>
    <w:rsid w:val="00724EEF"/>
    <w:rsid w:val="00725B4E"/>
    <w:rsid w:val="007375C4"/>
    <w:rsid w:val="00742600"/>
    <w:rsid w:val="007426CC"/>
    <w:rsid w:val="007450FA"/>
    <w:rsid w:val="00745B1F"/>
    <w:rsid w:val="00745DF4"/>
    <w:rsid w:val="007615F5"/>
    <w:rsid w:val="00764E6B"/>
    <w:rsid w:val="00771843"/>
    <w:rsid w:val="00783628"/>
    <w:rsid w:val="007944E8"/>
    <w:rsid w:val="007B0A44"/>
    <w:rsid w:val="007B4012"/>
    <w:rsid w:val="007B4B32"/>
    <w:rsid w:val="007B56CC"/>
    <w:rsid w:val="007B5D06"/>
    <w:rsid w:val="007D0C7C"/>
    <w:rsid w:val="007D4B76"/>
    <w:rsid w:val="007E1F1E"/>
    <w:rsid w:val="007E31C2"/>
    <w:rsid w:val="007F0F7B"/>
    <w:rsid w:val="007F4196"/>
    <w:rsid w:val="007F54BD"/>
    <w:rsid w:val="007F5662"/>
    <w:rsid w:val="007F7040"/>
    <w:rsid w:val="00805AD1"/>
    <w:rsid w:val="0081061E"/>
    <w:rsid w:val="00814BBF"/>
    <w:rsid w:val="00815707"/>
    <w:rsid w:val="00823E9C"/>
    <w:rsid w:val="00824BF8"/>
    <w:rsid w:val="008410C7"/>
    <w:rsid w:val="00842E27"/>
    <w:rsid w:val="008517E3"/>
    <w:rsid w:val="00852A65"/>
    <w:rsid w:val="00856FAF"/>
    <w:rsid w:val="00861718"/>
    <w:rsid w:val="00875370"/>
    <w:rsid w:val="00875CD7"/>
    <w:rsid w:val="00876892"/>
    <w:rsid w:val="008769CE"/>
    <w:rsid w:val="0088567E"/>
    <w:rsid w:val="00892B33"/>
    <w:rsid w:val="00894C57"/>
    <w:rsid w:val="008A0F09"/>
    <w:rsid w:val="008B1A8B"/>
    <w:rsid w:val="008C1E00"/>
    <w:rsid w:val="008D2C76"/>
    <w:rsid w:val="008D2D6F"/>
    <w:rsid w:val="008D34BC"/>
    <w:rsid w:val="008E0705"/>
    <w:rsid w:val="008E3E0C"/>
    <w:rsid w:val="008E7343"/>
    <w:rsid w:val="008F2985"/>
    <w:rsid w:val="008F2C65"/>
    <w:rsid w:val="008F3867"/>
    <w:rsid w:val="008F574A"/>
    <w:rsid w:val="009116A0"/>
    <w:rsid w:val="00912B8A"/>
    <w:rsid w:val="00913D32"/>
    <w:rsid w:val="0091667A"/>
    <w:rsid w:val="0092010C"/>
    <w:rsid w:val="009219F1"/>
    <w:rsid w:val="00922EC9"/>
    <w:rsid w:val="009231F7"/>
    <w:rsid w:val="00925DA0"/>
    <w:rsid w:val="00926277"/>
    <w:rsid w:val="00930053"/>
    <w:rsid w:val="0093302F"/>
    <w:rsid w:val="0094625B"/>
    <w:rsid w:val="00946E29"/>
    <w:rsid w:val="0095214E"/>
    <w:rsid w:val="00954F22"/>
    <w:rsid w:val="009656A8"/>
    <w:rsid w:val="00973E19"/>
    <w:rsid w:val="00980136"/>
    <w:rsid w:val="00990CC0"/>
    <w:rsid w:val="009A4530"/>
    <w:rsid w:val="009A4AD0"/>
    <w:rsid w:val="009A7CAA"/>
    <w:rsid w:val="009B5C3E"/>
    <w:rsid w:val="009C2791"/>
    <w:rsid w:val="009C27B7"/>
    <w:rsid w:val="009C3D02"/>
    <w:rsid w:val="009D1D3F"/>
    <w:rsid w:val="009D21CB"/>
    <w:rsid w:val="009D3D1F"/>
    <w:rsid w:val="009D63B7"/>
    <w:rsid w:val="009E799B"/>
    <w:rsid w:val="009F02F9"/>
    <w:rsid w:val="009F1E9D"/>
    <w:rsid w:val="009F5123"/>
    <w:rsid w:val="00A06D0E"/>
    <w:rsid w:val="00A20A07"/>
    <w:rsid w:val="00A2516E"/>
    <w:rsid w:val="00A268A6"/>
    <w:rsid w:val="00A32411"/>
    <w:rsid w:val="00A34E78"/>
    <w:rsid w:val="00A456C9"/>
    <w:rsid w:val="00A45BCC"/>
    <w:rsid w:val="00A47FE6"/>
    <w:rsid w:val="00A50597"/>
    <w:rsid w:val="00A547FE"/>
    <w:rsid w:val="00A55723"/>
    <w:rsid w:val="00A566A8"/>
    <w:rsid w:val="00A640E6"/>
    <w:rsid w:val="00A66A67"/>
    <w:rsid w:val="00A67F79"/>
    <w:rsid w:val="00A70964"/>
    <w:rsid w:val="00A825C3"/>
    <w:rsid w:val="00A82CB1"/>
    <w:rsid w:val="00A86B86"/>
    <w:rsid w:val="00A92596"/>
    <w:rsid w:val="00A978F2"/>
    <w:rsid w:val="00A97ACD"/>
    <w:rsid w:val="00AA27CB"/>
    <w:rsid w:val="00AA2CDB"/>
    <w:rsid w:val="00AA6D4E"/>
    <w:rsid w:val="00AC0BEB"/>
    <w:rsid w:val="00AC78A7"/>
    <w:rsid w:val="00AD284D"/>
    <w:rsid w:val="00AD2953"/>
    <w:rsid w:val="00AD5FAC"/>
    <w:rsid w:val="00AE692D"/>
    <w:rsid w:val="00B00B91"/>
    <w:rsid w:val="00B02B13"/>
    <w:rsid w:val="00B04C60"/>
    <w:rsid w:val="00B06A51"/>
    <w:rsid w:val="00B1023B"/>
    <w:rsid w:val="00B20745"/>
    <w:rsid w:val="00B3317E"/>
    <w:rsid w:val="00B3551B"/>
    <w:rsid w:val="00B36AAB"/>
    <w:rsid w:val="00B41F02"/>
    <w:rsid w:val="00B4267D"/>
    <w:rsid w:val="00B4337F"/>
    <w:rsid w:val="00B5163A"/>
    <w:rsid w:val="00B5211C"/>
    <w:rsid w:val="00B53FE2"/>
    <w:rsid w:val="00B61EE2"/>
    <w:rsid w:val="00B700D0"/>
    <w:rsid w:val="00B72D42"/>
    <w:rsid w:val="00B7682F"/>
    <w:rsid w:val="00B77932"/>
    <w:rsid w:val="00B84C6C"/>
    <w:rsid w:val="00B87AD1"/>
    <w:rsid w:val="00B87E20"/>
    <w:rsid w:val="00B96880"/>
    <w:rsid w:val="00B97C2C"/>
    <w:rsid w:val="00BA1AF9"/>
    <w:rsid w:val="00BA2B23"/>
    <w:rsid w:val="00BA4BFA"/>
    <w:rsid w:val="00BA627A"/>
    <w:rsid w:val="00BB3DCC"/>
    <w:rsid w:val="00BB7356"/>
    <w:rsid w:val="00BC184E"/>
    <w:rsid w:val="00BC3FD1"/>
    <w:rsid w:val="00BD15A2"/>
    <w:rsid w:val="00BD6DE2"/>
    <w:rsid w:val="00BD7F5A"/>
    <w:rsid w:val="00BE2190"/>
    <w:rsid w:val="00BF2F4F"/>
    <w:rsid w:val="00BF3181"/>
    <w:rsid w:val="00C061EC"/>
    <w:rsid w:val="00C14629"/>
    <w:rsid w:val="00C14B01"/>
    <w:rsid w:val="00C14F92"/>
    <w:rsid w:val="00C24D82"/>
    <w:rsid w:val="00C250F5"/>
    <w:rsid w:val="00C32B26"/>
    <w:rsid w:val="00C41A79"/>
    <w:rsid w:val="00C45F4D"/>
    <w:rsid w:val="00C47420"/>
    <w:rsid w:val="00C50856"/>
    <w:rsid w:val="00C51FE8"/>
    <w:rsid w:val="00C6266C"/>
    <w:rsid w:val="00C62A3E"/>
    <w:rsid w:val="00C72DB6"/>
    <w:rsid w:val="00C73F90"/>
    <w:rsid w:val="00C807FD"/>
    <w:rsid w:val="00C861A4"/>
    <w:rsid w:val="00C86E17"/>
    <w:rsid w:val="00CA3A43"/>
    <w:rsid w:val="00CA5F61"/>
    <w:rsid w:val="00CA69CE"/>
    <w:rsid w:val="00CA70F0"/>
    <w:rsid w:val="00CB0325"/>
    <w:rsid w:val="00CB0FD6"/>
    <w:rsid w:val="00CB138A"/>
    <w:rsid w:val="00CB445E"/>
    <w:rsid w:val="00CB7E2A"/>
    <w:rsid w:val="00CC4E3D"/>
    <w:rsid w:val="00CC676F"/>
    <w:rsid w:val="00CC6CCA"/>
    <w:rsid w:val="00CD01BF"/>
    <w:rsid w:val="00CE3073"/>
    <w:rsid w:val="00CE647C"/>
    <w:rsid w:val="00CF1FCA"/>
    <w:rsid w:val="00CF4AB6"/>
    <w:rsid w:val="00D01C1B"/>
    <w:rsid w:val="00D20E8E"/>
    <w:rsid w:val="00D3616F"/>
    <w:rsid w:val="00D366C9"/>
    <w:rsid w:val="00D37BB9"/>
    <w:rsid w:val="00D471D8"/>
    <w:rsid w:val="00D50738"/>
    <w:rsid w:val="00D51A4A"/>
    <w:rsid w:val="00D658B7"/>
    <w:rsid w:val="00D67944"/>
    <w:rsid w:val="00D67DFC"/>
    <w:rsid w:val="00D7018B"/>
    <w:rsid w:val="00D70345"/>
    <w:rsid w:val="00D70496"/>
    <w:rsid w:val="00D82DD8"/>
    <w:rsid w:val="00D83783"/>
    <w:rsid w:val="00D8473B"/>
    <w:rsid w:val="00D87953"/>
    <w:rsid w:val="00D935CC"/>
    <w:rsid w:val="00D9716C"/>
    <w:rsid w:val="00DA0F5A"/>
    <w:rsid w:val="00DA22C2"/>
    <w:rsid w:val="00DA3B9F"/>
    <w:rsid w:val="00DB011F"/>
    <w:rsid w:val="00DB086E"/>
    <w:rsid w:val="00DB32C5"/>
    <w:rsid w:val="00DB6069"/>
    <w:rsid w:val="00DC5F1F"/>
    <w:rsid w:val="00DC6AA6"/>
    <w:rsid w:val="00DD0EB6"/>
    <w:rsid w:val="00DD53B0"/>
    <w:rsid w:val="00DD5C01"/>
    <w:rsid w:val="00DE51DC"/>
    <w:rsid w:val="00DE5D4B"/>
    <w:rsid w:val="00DF73D5"/>
    <w:rsid w:val="00E02752"/>
    <w:rsid w:val="00E04011"/>
    <w:rsid w:val="00E10FB4"/>
    <w:rsid w:val="00E1434B"/>
    <w:rsid w:val="00E215B9"/>
    <w:rsid w:val="00E26806"/>
    <w:rsid w:val="00E350A0"/>
    <w:rsid w:val="00E36331"/>
    <w:rsid w:val="00E47EB7"/>
    <w:rsid w:val="00E50D38"/>
    <w:rsid w:val="00E64763"/>
    <w:rsid w:val="00E66D3A"/>
    <w:rsid w:val="00E7221D"/>
    <w:rsid w:val="00E73A41"/>
    <w:rsid w:val="00E80E26"/>
    <w:rsid w:val="00E83FFC"/>
    <w:rsid w:val="00E95DDA"/>
    <w:rsid w:val="00E96C3B"/>
    <w:rsid w:val="00EA04D9"/>
    <w:rsid w:val="00EA2005"/>
    <w:rsid w:val="00EA3735"/>
    <w:rsid w:val="00EA403C"/>
    <w:rsid w:val="00EA735F"/>
    <w:rsid w:val="00EB0644"/>
    <w:rsid w:val="00EC6D75"/>
    <w:rsid w:val="00ED0C1E"/>
    <w:rsid w:val="00ED1436"/>
    <w:rsid w:val="00ED1B7A"/>
    <w:rsid w:val="00ED1C73"/>
    <w:rsid w:val="00ED2733"/>
    <w:rsid w:val="00ED34AA"/>
    <w:rsid w:val="00EE7880"/>
    <w:rsid w:val="00F037ED"/>
    <w:rsid w:val="00F04B53"/>
    <w:rsid w:val="00F140AF"/>
    <w:rsid w:val="00F16DB4"/>
    <w:rsid w:val="00F21E11"/>
    <w:rsid w:val="00F27340"/>
    <w:rsid w:val="00F32E5E"/>
    <w:rsid w:val="00F339BE"/>
    <w:rsid w:val="00F35A96"/>
    <w:rsid w:val="00F35BDA"/>
    <w:rsid w:val="00F35FCF"/>
    <w:rsid w:val="00F4007F"/>
    <w:rsid w:val="00F42025"/>
    <w:rsid w:val="00F47515"/>
    <w:rsid w:val="00F504D6"/>
    <w:rsid w:val="00F51249"/>
    <w:rsid w:val="00F52AF7"/>
    <w:rsid w:val="00F55ACC"/>
    <w:rsid w:val="00F56348"/>
    <w:rsid w:val="00F61B31"/>
    <w:rsid w:val="00F640DE"/>
    <w:rsid w:val="00F65553"/>
    <w:rsid w:val="00F65800"/>
    <w:rsid w:val="00F74232"/>
    <w:rsid w:val="00F763BA"/>
    <w:rsid w:val="00F80986"/>
    <w:rsid w:val="00F8778D"/>
    <w:rsid w:val="00F921F3"/>
    <w:rsid w:val="00F92539"/>
    <w:rsid w:val="00F929FA"/>
    <w:rsid w:val="00F9392D"/>
    <w:rsid w:val="00FA51A8"/>
    <w:rsid w:val="00FA5FAA"/>
    <w:rsid w:val="00FA60CD"/>
    <w:rsid w:val="00FA614F"/>
    <w:rsid w:val="00FB0481"/>
    <w:rsid w:val="00FB430B"/>
    <w:rsid w:val="00FB43CB"/>
    <w:rsid w:val="00FB51D5"/>
    <w:rsid w:val="00FB5DC5"/>
    <w:rsid w:val="00FC3335"/>
    <w:rsid w:val="00FD0946"/>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FF376A-255F-4766-BA75-17A808BC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F35A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F35A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qFormat/>
    <w:rsid w:val="00DB086E"/>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name">
    <w:name w:val="notice_name"/>
    <w:basedOn w:val="a0"/>
    <w:rsid w:val="000B6D98"/>
  </w:style>
  <w:style w:type="paragraph" w:customStyle="1" w:styleId="12">
    <w:name w:val="Абзац списку1"/>
    <w:basedOn w:val="a"/>
    <w:rsid w:val="00351180"/>
    <w:pPr>
      <w:spacing w:after="120"/>
      <w:ind w:left="720"/>
      <w:contextualSpacing/>
      <w:jc w:val="center"/>
    </w:pPr>
    <w:rPr>
      <w:rFonts w:ascii="Calibri" w:hAnsi="Calibri"/>
      <w:sz w:val="22"/>
      <w:szCs w:val="22"/>
      <w:lang w:val="uk-UA" w:eastAsia="en-US"/>
    </w:rPr>
  </w:style>
  <w:style w:type="paragraph" w:styleId="HTML">
    <w:name w:val="HTML Preformatted"/>
    <w:basedOn w:val="a"/>
    <w:link w:val="HTML0"/>
    <w:rsid w:val="003F1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eastAsia="MS Mincho" w:hAnsi="Courier New" w:cs="Courier New"/>
      <w:color w:val="000000"/>
      <w:lang w:val="uk-UA"/>
    </w:rPr>
  </w:style>
  <w:style w:type="character" w:customStyle="1" w:styleId="HTML0">
    <w:name w:val="Стандартний HTML Знак"/>
    <w:link w:val="HTML"/>
    <w:rsid w:val="003F16D2"/>
    <w:rPr>
      <w:rFonts w:ascii="Courier New" w:eastAsia="MS Mincho" w:hAnsi="Courier New" w:cs="Courier New"/>
      <w:color w:val="000000"/>
      <w:sz w:val="28"/>
      <w:szCs w:val="28"/>
      <w:lang w:val="uk-UA" w:eastAsia="ru-RU" w:bidi="ar-SA"/>
    </w:rPr>
  </w:style>
  <w:style w:type="character" w:styleId="ac">
    <w:name w:val="footnote reference"/>
    <w:semiHidden/>
    <w:rsid w:val="003F16D2"/>
    <w:rPr>
      <w:vertAlign w:val="superscript"/>
    </w:rPr>
  </w:style>
  <w:style w:type="paragraph" w:styleId="ad">
    <w:name w:val="Normal (Web)"/>
    <w:basedOn w:val="a"/>
    <w:rsid w:val="00F140AF"/>
    <w:pPr>
      <w:spacing w:before="100" w:beforeAutospacing="1" w:after="100" w:afterAutospacing="1"/>
    </w:pPr>
    <w:rPr>
      <w:rFonts w:eastAsia="MS Mincho"/>
      <w:sz w:val="24"/>
      <w:szCs w:val="24"/>
      <w:lang w:val="ru-RU" w:eastAsia="ja-JP"/>
    </w:rPr>
  </w:style>
  <w:style w:type="paragraph" w:customStyle="1" w:styleId="22">
    <w:name w:val="Обычный2"/>
    <w:basedOn w:val="a"/>
    <w:rsid w:val="00F140AF"/>
    <w:pPr>
      <w:spacing w:before="100" w:beforeAutospacing="1" w:after="100" w:afterAutospacing="1"/>
    </w:pPr>
    <w:rPr>
      <w:rFonts w:eastAsia="Calibri"/>
      <w:sz w:val="24"/>
      <w:szCs w:val="24"/>
      <w:lang w:val="en-GB" w:eastAsia="en-GB"/>
    </w:rPr>
  </w:style>
  <w:style w:type="character" w:customStyle="1" w:styleId="normalchar">
    <w:name w:val="normal__char"/>
    <w:rsid w:val="00F140AF"/>
    <w:rPr>
      <w:rFonts w:cs="Times New Roman"/>
    </w:rPr>
  </w:style>
  <w:style w:type="paragraph" w:customStyle="1" w:styleId="13">
    <w:name w:val="Абзац списка1"/>
    <w:basedOn w:val="a"/>
    <w:qFormat/>
    <w:rsid w:val="001B1968"/>
    <w:pPr>
      <w:spacing w:after="200" w:line="276" w:lineRule="auto"/>
      <w:ind w:left="720"/>
      <w:contextualSpacing/>
    </w:pPr>
    <w:rPr>
      <w:rFonts w:ascii="Calibri" w:eastAsia="Calibri" w:hAnsi="Calibri"/>
      <w:sz w:val="22"/>
      <w:szCs w:val="22"/>
      <w:lang w:val="ru-RU" w:eastAsia="en-US"/>
    </w:rPr>
  </w:style>
  <w:style w:type="paragraph" w:customStyle="1" w:styleId="ae">
    <w:name w:val="Нормальний текст"/>
    <w:basedOn w:val="a"/>
    <w:rsid w:val="001B1968"/>
    <w:pPr>
      <w:spacing w:before="120"/>
      <w:ind w:firstLine="567"/>
      <w:jc w:val="both"/>
    </w:pPr>
    <w:rPr>
      <w:rFonts w:ascii="Antiqua" w:eastAsia="Calibri" w:hAnsi="Antiqua"/>
      <w:sz w:val="26"/>
      <w:szCs w:val="20"/>
      <w:lang w:val="uk-UA"/>
    </w:rPr>
  </w:style>
  <w:style w:type="paragraph" w:styleId="af">
    <w:name w:val="footnote text"/>
    <w:basedOn w:val="a"/>
    <w:semiHidden/>
    <w:rsid w:val="00A66A67"/>
    <w:rPr>
      <w:sz w:val="20"/>
      <w:szCs w:val="20"/>
    </w:rPr>
  </w:style>
  <w:style w:type="character" w:customStyle="1" w:styleId="apple-converted-space">
    <w:name w:val="apple-converted-space"/>
    <w:rsid w:val="005F5D8E"/>
  </w:style>
  <w:style w:type="paragraph" w:customStyle="1" w:styleId="normal0020table">
    <w:name w:val="normal_0020table"/>
    <w:basedOn w:val="a"/>
    <w:rsid w:val="005F5D8E"/>
    <w:pPr>
      <w:spacing w:before="100" w:beforeAutospacing="1" w:after="100" w:afterAutospacing="1"/>
    </w:pPr>
    <w:rPr>
      <w:sz w:val="24"/>
      <w:szCs w:val="24"/>
      <w:lang w:val="en-GB" w:eastAsia="en-GB"/>
    </w:rPr>
  </w:style>
  <w:style w:type="character" w:customStyle="1" w:styleId="normal0020tablechar">
    <w:name w:val="normal_0020table__char"/>
    <w:rsid w:val="005F5D8E"/>
  </w:style>
  <w:style w:type="character" w:customStyle="1" w:styleId="rvts23">
    <w:name w:val="rvts23"/>
    <w:rsid w:val="005F5D8E"/>
  </w:style>
  <w:style w:type="character" w:customStyle="1" w:styleId="rvts0">
    <w:name w:val="rvts0"/>
    <w:rsid w:val="00A47FE6"/>
  </w:style>
  <w:style w:type="paragraph" w:customStyle="1" w:styleId="rvps2">
    <w:name w:val="rvps2"/>
    <w:basedOn w:val="a"/>
    <w:rsid w:val="0095214E"/>
    <w:pPr>
      <w:spacing w:before="100" w:beforeAutospacing="1" w:after="100" w:afterAutospacing="1"/>
    </w:pPr>
    <w:rPr>
      <w:sz w:val="24"/>
      <w:szCs w:val="24"/>
      <w:lang w:val="uk-UA" w:eastAsia="uk-UA"/>
    </w:rPr>
  </w:style>
  <w:style w:type="character" w:styleId="af0">
    <w:name w:val="Hyperlink"/>
    <w:uiPriority w:val="99"/>
    <w:unhideWhenUsed/>
    <w:rsid w:val="0095214E"/>
    <w:rPr>
      <w:color w:val="0000FF"/>
      <w:u w:val="single"/>
    </w:rPr>
  </w:style>
  <w:style w:type="paragraph" w:customStyle="1" w:styleId="af1">
    <w:name w:val="Назва документа"/>
    <w:basedOn w:val="a"/>
    <w:next w:val="ae"/>
    <w:rsid w:val="00A67F79"/>
    <w:pPr>
      <w:keepNext/>
      <w:keepLines/>
      <w:spacing w:before="240" w:after="240"/>
      <w:jc w:val="center"/>
    </w:pPr>
    <w:rPr>
      <w:rFonts w:ascii="Antiqua" w:hAnsi="Antiqua"/>
      <w:b/>
      <w:sz w:val="26"/>
      <w:szCs w:val="20"/>
      <w:lang w:val="uk-UA"/>
    </w:rPr>
  </w:style>
  <w:style w:type="paragraph" w:customStyle="1" w:styleId="rvps6">
    <w:name w:val="rvps6"/>
    <w:basedOn w:val="a"/>
    <w:rsid w:val="001A05A8"/>
    <w:pPr>
      <w:spacing w:before="100" w:beforeAutospacing="1" w:after="100" w:afterAutospacing="1"/>
    </w:pPr>
    <w:rPr>
      <w:sz w:val="24"/>
      <w:szCs w:val="24"/>
      <w:lang w:val="uk-UA" w:eastAsia="uk-UA"/>
    </w:rPr>
  </w:style>
  <w:style w:type="character" w:customStyle="1" w:styleId="rvts11">
    <w:name w:val="rvts11"/>
    <w:rsid w:val="001A05A8"/>
  </w:style>
  <w:style w:type="character" w:customStyle="1" w:styleId="rvts9">
    <w:name w:val="rvts9"/>
    <w:rsid w:val="001A05A8"/>
  </w:style>
  <w:style w:type="character" w:customStyle="1" w:styleId="rvts37">
    <w:name w:val="rvts37"/>
    <w:rsid w:val="001A05A8"/>
  </w:style>
  <w:style w:type="paragraph" w:customStyle="1" w:styleId="rvps14">
    <w:name w:val="rvps14"/>
    <w:basedOn w:val="a"/>
    <w:rsid w:val="001A05A8"/>
    <w:pPr>
      <w:spacing w:before="100" w:beforeAutospacing="1" w:after="100" w:afterAutospacing="1"/>
    </w:pPr>
    <w:rPr>
      <w:sz w:val="24"/>
      <w:szCs w:val="24"/>
      <w:lang w:val="uk-UA" w:eastAsia="uk-UA"/>
    </w:rPr>
  </w:style>
  <w:style w:type="character" w:customStyle="1" w:styleId="rvts82">
    <w:name w:val="rvts82"/>
    <w:rsid w:val="001A05A8"/>
  </w:style>
  <w:style w:type="paragraph" w:customStyle="1" w:styleId="rvps7">
    <w:name w:val="rvps7"/>
    <w:basedOn w:val="a"/>
    <w:rsid w:val="001A05A8"/>
    <w:pPr>
      <w:spacing w:before="100" w:beforeAutospacing="1" w:after="100" w:afterAutospacing="1"/>
    </w:pPr>
    <w:rPr>
      <w:sz w:val="24"/>
      <w:szCs w:val="24"/>
      <w:lang w:val="uk-UA" w:eastAsia="uk-UA"/>
    </w:rPr>
  </w:style>
  <w:style w:type="character" w:customStyle="1" w:styleId="a4">
    <w:name w:val="Верхній колонтитул Знак"/>
    <w:link w:val="a3"/>
    <w:uiPriority w:val="99"/>
    <w:rsid w:val="00D67DFC"/>
    <w:rPr>
      <w:sz w:val="28"/>
      <w:szCs w:val="28"/>
      <w:lang w:val="en-US" w:eastAsia="ru-RU"/>
    </w:rPr>
  </w:style>
  <w:style w:type="character" w:customStyle="1" w:styleId="a6">
    <w:name w:val="Нижній колонтитул Знак"/>
    <w:link w:val="a5"/>
    <w:uiPriority w:val="99"/>
    <w:rsid w:val="00D67DFC"/>
    <w:rPr>
      <w:sz w:val="28"/>
      <w:szCs w:val="28"/>
      <w:lang w:val="en-US" w:eastAsia="ru-RU"/>
    </w:rPr>
  </w:style>
  <w:style w:type="character" w:styleId="af2">
    <w:name w:val="annotation reference"/>
    <w:rsid w:val="00C62A3E"/>
    <w:rPr>
      <w:sz w:val="16"/>
      <w:szCs w:val="16"/>
    </w:rPr>
  </w:style>
  <w:style w:type="paragraph" w:styleId="af3">
    <w:name w:val="annotation text"/>
    <w:basedOn w:val="a"/>
    <w:link w:val="af4"/>
    <w:rsid w:val="00C62A3E"/>
    <w:rPr>
      <w:sz w:val="20"/>
      <w:szCs w:val="20"/>
    </w:rPr>
  </w:style>
  <w:style w:type="character" w:customStyle="1" w:styleId="af4">
    <w:name w:val="Текст примітки Знак"/>
    <w:link w:val="af3"/>
    <w:rsid w:val="00C62A3E"/>
    <w:rPr>
      <w:lang w:val="en-US" w:eastAsia="ru-RU"/>
    </w:rPr>
  </w:style>
  <w:style w:type="paragraph" w:styleId="af5">
    <w:name w:val="annotation subject"/>
    <w:basedOn w:val="af3"/>
    <w:next w:val="af3"/>
    <w:link w:val="af6"/>
    <w:rsid w:val="00C62A3E"/>
    <w:rPr>
      <w:b/>
      <w:bCs/>
    </w:rPr>
  </w:style>
  <w:style w:type="character" w:customStyle="1" w:styleId="af6">
    <w:name w:val="Тема примітки Знак"/>
    <w:link w:val="af5"/>
    <w:rsid w:val="00C62A3E"/>
    <w:rPr>
      <w:b/>
      <w:bCs/>
      <w:lang w:val="en-US" w:eastAsia="ru-RU"/>
    </w:rPr>
  </w:style>
  <w:style w:type="character" w:customStyle="1" w:styleId="10">
    <w:name w:val="Заголовок 1 Знак"/>
    <w:basedOn w:val="a0"/>
    <w:link w:val="1"/>
    <w:rsid w:val="00F35A96"/>
    <w:rPr>
      <w:rFonts w:asciiTheme="majorHAnsi" w:eastAsiaTheme="majorEastAsia" w:hAnsiTheme="majorHAnsi" w:cstheme="majorBidi"/>
      <w:color w:val="2E74B5" w:themeColor="accent1" w:themeShade="BF"/>
      <w:sz w:val="32"/>
      <w:szCs w:val="32"/>
      <w:lang w:val="en-US" w:eastAsia="ru-RU"/>
    </w:rPr>
  </w:style>
  <w:style w:type="character" w:customStyle="1" w:styleId="20">
    <w:name w:val="Заголовок 2 Знак"/>
    <w:basedOn w:val="a0"/>
    <w:link w:val="2"/>
    <w:semiHidden/>
    <w:rsid w:val="00F35A96"/>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5897">
      <w:bodyDiv w:val="1"/>
      <w:marLeft w:val="0"/>
      <w:marRight w:val="0"/>
      <w:marTop w:val="0"/>
      <w:marBottom w:val="0"/>
      <w:divBdr>
        <w:top w:val="none" w:sz="0" w:space="0" w:color="auto"/>
        <w:left w:val="none" w:sz="0" w:space="0" w:color="auto"/>
        <w:bottom w:val="none" w:sz="0" w:space="0" w:color="auto"/>
        <w:right w:val="none" w:sz="0" w:space="0" w:color="auto"/>
      </w:divBdr>
    </w:div>
    <w:div w:id="65422314">
      <w:bodyDiv w:val="1"/>
      <w:marLeft w:val="0"/>
      <w:marRight w:val="0"/>
      <w:marTop w:val="0"/>
      <w:marBottom w:val="0"/>
      <w:divBdr>
        <w:top w:val="none" w:sz="0" w:space="0" w:color="auto"/>
        <w:left w:val="none" w:sz="0" w:space="0" w:color="auto"/>
        <w:bottom w:val="none" w:sz="0" w:space="0" w:color="auto"/>
        <w:right w:val="none" w:sz="0" w:space="0" w:color="auto"/>
      </w:divBdr>
    </w:div>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247930883">
      <w:bodyDiv w:val="1"/>
      <w:marLeft w:val="0"/>
      <w:marRight w:val="0"/>
      <w:marTop w:val="0"/>
      <w:marBottom w:val="0"/>
      <w:divBdr>
        <w:top w:val="none" w:sz="0" w:space="0" w:color="auto"/>
        <w:left w:val="none" w:sz="0" w:space="0" w:color="auto"/>
        <w:bottom w:val="none" w:sz="0" w:space="0" w:color="auto"/>
        <w:right w:val="none" w:sz="0" w:space="0" w:color="auto"/>
      </w:divBdr>
    </w:div>
    <w:div w:id="301664000">
      <w:bodyDiv w:val="1"/>
      <w:marLeft w:val="0"/>
      <w:marRight w:val="0"/>
      <w:marTop w:val="0"/>
      <w:marBottom w:val="0"/>
      <w:divBdr>
        <w:top w:val="none" w:sz="0" w:space="0" w:color="auto"/>
        <w:left w:val="none" w:sz="0" w:space="0" w:color="auto"/>
        <w:bottom w:val="none" w:sz="0" w:space="0" w:color="auto"/>
        <w:right w:val="none" w:sz="0" w:space="0" w:color="auto"/>
      </w:divBdr>
    </w:div>
    <w:div w:id="338194833">
      <w:bodyDiv w:val="1"/>
      <w:marLeft w:val="0"/>
      <w:marRight w:val="0"/>
      <w:marTop w:val="0"/>
      <w:marBottom w:val="0"/>
      <w:divBdr>
        <w:top w:val="none" w:sz="0" w:space="0" w:color="auto"/>
        <w:left w:val="none" w:sz="0" w:space="0" w:color="auto"/>
        <w:bottom w:val="none" w:sz="0" w:space="0" w:color="auto"/>
        <w:right w:val="none" w:sz="0" w:space="0" w:color="auto"/>
      </w:divBdr>
    </w:div>
    <w:div w:id="345637879">
      <w:bodyDiv w:val="1"/>
      <w:marLeft w:val="0"/>
      <w:marRight w:val="0"/>
      <w:marTop w:val="0"/>
      <w:marBottom w:val="0"/>
      <w:divBdr>
        <w:top w:val="none" w:sz="0" w:space="0" w:color="auto"/>
        <w:left w:val="none" w:sz="0" w:space="0" w:color="auto"/>
        <w:bottom w:val="none" w:sz="0" w:space="0" w:color="auto"/>
        <w:right w:val="none" w:sz="0" w:space="0" w:color="auto"/>
      </w:divBdr>
      <w:divsChild>
        <w:div w:id="556623728">
          <w:marLeft w:val="0"/>
          <w:marRight w:val="0"/>
          <w:marTop w:val="0"/>
          <w:marBottom w:val="0"/>
          <w:divBdr>
            <w:top w:val="none" w:sz="0" w:space="0" w:color="auto"/>
            <w:left w:val="none" w:sz="0" w:space="0" w:color="auto"/>
            <w:bottom w:val="none" w:sz="0" w:space="0" w:color="auto"/>
            <w:right w:val="none" w:sz="0" w:space="0" w:color="auto"/>
          </w:divBdr>
        </w:div>
        <w:div w:id="611740641">
          <w:marLeft w:val="0"/>
          <w:marRight w:val="0"/>
          <w:marTop w:val="0"/>
          <w:marBottom w:val="0"/>
          <w:divBdr>
            <w:top w:val="none" w:sz="0" w:space="0" w:color="auto"/>
            <w:left w:val="none" w:sz="0" w:space="0" w:color="auto"/>
            <w:bottom w:val="none" w:sz="0" w:space="0" w:color="auto"/>
            <w:right w:val="none" w:sz="0" w:space="0" w:color="auto"/>
          </w:divBdr>
        </w:div>
        <w:div w:id="711341440">
          <w:marLeft w:val="0"/>
          <w:marRight w:val="0"/>
          <w:marTop w:val="0"/>
          <w:marBottom w:val="0"/>
          <w:divBdr>
            <w:top w:val="none" w:sz="0" w:space="0" w:color="auto"/>
            <w:left w:val="none" w:sz="0" w:space="0" w:color="auto"/>
            <w:bottom w:val="none" w:sz="0" w:space="0" w:color="auto"/>
            <w:right w:val="none" w:sz="0" w:space="0" w:color="auto"/>
          </w:divBdr>
        </w:div>
        <w:div w:id="842084483">
          <w:marLeft w:val="0"/>
          <w:marRight w:val="0"/>
          <w:marTop w:val="0"/>
          <w:marBottom w:val="0"/>
          <w:divBdr>
            <w:top w:val="none" w:sz="0" w:space="0" w:color="auto"/>
            <w:left w:val="none" w:sz="0" w:space="0" w:color="auto"/>
            <w:bottom w:val="none" w:sz="0" w:space="0" w:color="auto"/>
            <w:right w:val="none" w:sz="0" w:space="0" w:color="auto"/>
          </w:divBdr>
        </w:div>
        <w:div w:id="1130053100">
          <w:marLeft w:val="0"/>
          <w:marRight w:val="0"/>
          <w:marTop w:val="0"/>
          <w:marBottom w:val="0"/>
          <w:divBdr>
            <w:top w:val="none" w:sz="0" w:space="0" w:color="auto"/>
            <w:left w:val="none" w:sz="0" w:space="0" w:color="auto"/>
            <w:bottom w:val="none" w:sz="0" w:space="0" w:color="auto"/>
            <w:right w:val="none" w:sz="0" w:space="0" w:color="auto"/>
          </w:divBdr>
        </w:div>
        <w:div w:id="1654018855">
          <w:marLeft w:val="0"/>
          <w:marRight w:val="0"/>
          <w:marTop w:val="0"/>
          <w:marBottom w:val="0"/>
          <w:divBdr>
            <w:top w:val="none" w:sz="0" w:space="0" w:color="auto"/>
            <w:left w:val="none" w:sz="0" w:space="0" w:color="auto"/>
            <w:bottom w:val="none" w:sz="0" w:space="0" w:color="auto"/>
            <w:right w:val="none" w:sz="0" w:space="0" w:color="auto"/>
          </w:divBdr>
        </w:div>
        <w:div w:id="2067409974">
          <w:marLeft w:val="0"/>
          <w:marRight w:val="0"/>
          <w:marTop w:val="0"/>
          <w:marBottom w:val="0"/>
          <w:divBdr>
            <w:top w:val="none" w:sz="0" w:space="0" w:color="auto"/>
            <w:left w:val="none" w:sz="0" w:space="0" w:color="auto"/>
            <w:bottom w:val="none" w:sz="0" w:space="0" w:color="auto"/>
            <w:right w:val="none" w:sz="0" w:space="0" w:color="auto"/>
          </w:divBdr>
        </w:div>
      </w:divsChild>
    </w:div>
    <w:div w:id="475071553">
      <w:bodyDiv w:val="1"/>
      <w:marLeft w:val="0"/>
      <w:marRight w:val="0"/>
      <w:marTop w:val="0"/>
      <w:marBottom w:val="0"/>
      <w:divBdr>
        <w:top w:val="none" w:sz="0" w:space="0" w:color="auto"/>
        <w:left w:val="none" w:sz="0" w:space="0" w:color="auto"/>
        <w:bottom w:val="none" w:sz="0" w:space="0" w:color="auto"/>
        <w:right w:val="none" w:sz="0" w:space="0" w:color="auto"/>
      </w:divBdr>
    </w:div>
    <w:div w:id="667682631">
      <w:bodyDiv w:val="1"/>
      <w:marLeft w:val="0"/>
      <w:marRight w:val="0"/>
      <w:marTop w:val="0"/>
      <w:marBottom w:val="0"/>
      <w:divBdr>
        <w:top w:val="none" w:sz="0" w:space="0" w:color="auto"/>
        <w:left w:val="none" w:sz="0" w:space="0" w:color="auto"/>
        <w:bottom w:val="none" w:sz="0" w:space="0" w:color="auto"/>
        <w:right w:val="none" w:sz="0" w:space="0" w:color="auto"/>
      </w:divBdr>
    </w:div>
    <w:div w:id="697318030">
      <w:bodyDiv w:val="1"/>
      <w:marLeft w:val="0"/>
      <w:marRight w:val="0"/>
      <w:marTop w:val="0"/>
      <w:marBottom w:val="0"/>
      <w:divBdr>
        <w:top w:val="none" w:sz="0" w:space="0" w:color="auto"/>
        <w:left w:val="none" w:sz="0" w:space="0" w:color="auto"/>
        <w:bottom w:val="none" w:sz="0" w:space="0" w:color="auto"/>
        <w:right w:val="none" w:sz="0" w:space="0" w:color="auto"/>
      </w:divBdr>
    </w:div>
    <w:div w:id="929697571">
      <w:bodyDiv w:val="1"/>
      <w:marLeft w:val="0"/>
      <w:marRight w:val="0"/>
      <w:marTop w:val="0"/>
      <w:marBottom w:val="0"/>
      <w:divBdr>
        <w:top w:val="none" w:sz="0" w:space="0" w:color="auto"/>
        <w:left w:val="none" w:sz="0" w:space="0" w:color="auto"/>
        <w:bottom w:val="none" w:sz="0" w:space="0" w:color="auto"/>
        <w:right w:val="none" w:sz="0" w:space="0" w:color="auto"/>
      </w:divBdr>
    </w:div>
    <w:div w:id="966855182">
      <w:bodyDiv w:val="1"/>
      <w:marLeft w:val="0"/>
      <w:marRight w:val="0"/>
      <w:marTop w:val="0"/>
      <w:marBottom w:val="0"/>
      <w:divBdr>
        <w:top w:val="none" w:sz="0" w:space="0" w:color="auto"/>
        <w:left w:val="none" w:sz="0" w:space="0" w:color="auto"/>
        <w:bottom w:val="none" w:sz="0" w:space="0" w:color="auto"/>
        <w:right w:val="none" w:sz="0" w:space="0" w:color="auto"/>
      </w:divBdr>
    </w:div>
    <w:div w:id="1013654443">
      <w:bodyDiv w:val="1"/>
      <w:marLeft w:val="0"/>
      <w:marRight w:val="0"/>
      <w:marTop w:val="0"/>
      <w:marBottom w:val="0"/>
      <w:divBdr>
        <w:top w:val="none" w:sz="0" w:space="0" w:color="auto"/>
        <w:left w:val="none" w:sz="0" w:space="0" w:color="auto"/>
        <w:bottom w:val="none" w:sz="0" w:space="0" w:color="auto"/>
        <w:right w:val="none" w:sz="0" w:space="0" w:color="auto"/>
      </w:divBdr>
    </w:div>
    <w:div w:id="1049917087">
      <w:bodyDiv w:val="1"/>
      <w:marLeft w:val="0"/>
      <w:marRight w:val="0"/>
      <w:marTop w:val="0"/>
      <w:marBottom w:val="0"/>
      <w:divBdr>
        <w:top w:val="none" w:sz="0" w:space="0" w:color="auto"/>
        <w:left w:val="none" w:sz="0" w:space="0" w:color="auto"/>
        <w:bottom w:val="none" w:sz="0" w:space="0" w:color="auto"/>
        <w:right w:val="none" w:sz="0" w:space="0" w:color="auto"/>
      </w:divBdr>
    </w:div>
    <w:div w:id="1067145744">
      <w:bodyDiv w:val="1"/>
      <w:marLeft w:val="0"/>
      <w:marRight w:val="0"/>
      <w:marTop w:val="0"/>
      <w:marBottom w:val="0"/>
      <w:divBdr>
        <w:top w:val="none" w:sz="0" w:space="0" w:color="auto"/>
        <w:left w:val="none" w:sz="0" w:space="0" w:color="auto"/>
        <w:bottom w:val="none" w:sz="0" w:space="0" w:color="auto"/>
        <w:right w:val="none" w:sz="0" w:space="0" w:color="auto"/>
      </w:divBdr>
    </w:div>
    <w:div w:id="1218398872">
      <w:bodyDiv w:val="1"/>
      <w:marLeft w:val="0"/>
      <w:marRight w:val="0"/>
      <w:marTop w:val="0"/>
      <w:marBottom w:val="0"/>
      <w:divBdr>
        <w:top w:val="none" w:sz="0" w:space="0" w:color="auto"/>
        <w:left w:val="none" w:sz="0" w:space="0" w:color="auto"/>
        <w:bottom w:val="none" w:sz="0" w:space="0" w:color="auto"/>
        <w:right w:val="none" w:sz="0" w:space="0" w:color="auto"/>
      </w:divBdr>
    </w:div>
    <w:div w:id="1298220962">
      <w:bodyDiv w:val="1"/>
      <w:marLeft w:val="0"/>
      <w:marRight w:val="0"/>
      <w:marTop w:val="0"/>
      <w:marBottom w:val="0"/>
      <w:divBdr>
        <w:top w:val="none" w:sz="0" w:space="0" w:color="auto"/>
        <w:left w:val="none" w:sz="0" w:space="0" w:color="auto"/>
        <w:bottom w:val="none" w:sz="0" w:space="0" w:color="auto"/>
        <w:right w:val="none" w:sz="0" w:space="0" w:color="auto"/>
      </w:divBdr>
    </w:div>
    <w:div w:id="1351641642">
      <w:bodyDiv w:val="1"/>
      <w:marLeft w:val="0"/>
      <w:marRight w:val="0"/>
      <w:marTop w:val="0"/>
      <w:marBottom w:val="0"/>
      <w:divBdr>
        <w:top w:val="none" w:sz="0" w:space="0" w:color="auto"/>
        <w:left w:val="none" w:sz="0" w:space="0" w:color="auto"/>
        <w:bottom w:val="none" w:sz="0" w:space="0" w:color="auto"/>
        <w:right w:val="none" w:sz="0" w:space="0" w:color="auto"/>
      </w:divBdr>
    </w:div>
    <w:div w:id="1558472366">
      <w:bodyDiv w:val="1"/>
      <w:marLeft w:val="0"/>
      <w:marRight w:val="0"/>
      <w:marTop w:val="0"/>
      <w:marBottom w:val="0"/>
      <w:divBdr>
        <w:top w:val="none" w:sz="0" w:space="0" w:color="auto"/>
        <w:left w:val="none" w:sz="0" w:space="0" w:color="auto"/>
        <w:bottom w:val="none" w:sz="0" w:space="0" w:color="auto"/>
        <w:right w:val="none" w:sz="0" w:space="0" w:color="auto"/>
      </w:divBdr>
    </w:div>
    <w:div w:id="1577352997">
      <w:bodyDiv w:val="1"/>
      <w:marLeft w:val="0"/>
      <w:marRight w:val="0"/>
      <w:marTop w:val="0"/>
      <w:marBottom w:val="0"/>
      <w:divBdr>
        <w:top w:val="none" w:sz="0" w:space="0" w:color="auto"/>
        <w:left w:val="none" w:sz="0" w:space="0" w:color="auto"/>
        <w:bottom w:val="none" w:sz="0" w:space="0" w:color="auto"/>
        <w:right w:val="none" w:sz="0" w:space="0" w:color="auto"/>
      </w:divBdr>
    </w:div>
    <w:div w:id="1607037756">
      <w:bodyDiv w:val="1"/>
      <w:marLeft w:val="0"/>
      <w:marRight w:val="0"/>
      <w:marTop w:val="0"/>
      <w:marBottom w:val="0"/>
      <w:divBdr>
        <w:top w:val="none" w:sz="0" w:space="0" w:color="auto"/>
        <w:left w:val="none" w:sz="0" w:space="0" w:color="auto"/>
        <w:bottom w:val="none" w:sz="0" w:space="0" w:color="auto"/>
        <w:right w:val="none" w:sz="0" w:space="0" w:color="auto"/>
      </w:divBdr>
      <w:divsChild>
        <w:div w:id="61291639">
          <w:marLeft w:val="0"/>
          <w:marRight w:val="0"/>
          <w:marTop w:val="0"/>
          <w:marBottom w:val="0"/>
          <w:divBdr>
            <w:top w:val="none" w:sz="0" w:space="0" w:color="auto"/>
            <w:left w:val="none" w:sz="0" w:space="0" w:color="auto"/>
            <w:bottom w:val="none" w:sz="0" w:space="0" w:color="auto"/>
            <w:right w:val="none" w:sz="0" w:space="0" w:color="auto"/>
          </w:divBdr>
        </w:div>
        <w:div w:id="1077634488">
          <w:marLeft w:val="0"/>
          <w:marRight w:val="0"/>
          <w:marTop w:val="0"/>
          <w:marBottom w:val="0"/>
          <w:divBdr>
            <w:top w:val="none" w:sz="0" w:space="0" w:color="auto"/>
            <w:left w:val="none" w:sz="0" w:space="0" w:color="auto"/>
            <w:bottom w:val="none" w:sz="0" w:space="0" w:color="auto"/>
            <w:right w:val="none" w:sz="0" w:space="0" w:color="auto"/>
          </w:divBdr>
        </w:div>
        <w:div w:id="1216814598">
          <w:marLeft w:val="0"/>
          <w:marRight w:val="0"/>
          <w:marTop w:val="0"/>
          <w:marBottom w:val="0"/>
          <w:divBdr>
            <w:top w:val="none" w:sz="0" w:space="0" w:color="auto"/>
            <w:left w:val="none" w:sz="0" w:space="0" w:color="auto"/>
            <w:bottom w:val="none" w:sz="0" w:space="0" w:color="auto"/>
            <w:right w:val="none" w:sz="0" w:space="0" w:color="auto"/>
          </w:divBdr>
        </w:div>
        <w:div w:id="1653168972">
          <w:marLeft w:val="0"/>
          <w:marRight w:val="0"/>
          <w:marTop w:val="0"/>
          <w:marBottom w:val="0"/>
          <w:divBdr>
            <w:top w:val="none" w:sz="0" w:space="0" w:color="auto"/>
            <w:left w:val="none" w:sz="0" w:space="0" w:color="auto"/>
            <w:bottom w:val="none" w:sz="0" w:space="0" w:color="auto"/>
            <w:right w:val="none" w:sz="0" w:space="0" w:color="auto"/>
          </w:divBdr>
        </w:div>
      </w:divsChild>
    </w:div>
    <w:div w:id="1646659336">
      <w:bodyDiv w:val="1"/>
      <w:marLeft w:val="0"/>
      <w:marRight w:val="0"/>
      <w:marTop w:val="0"/>
      <w:marBottom w:val="0"/>
      <w:divBdr>
        <w:top w:val="none" w:sz="0" w:space="0" w:color="auto"/>
        <w:left w:val="none" w:sz="0" w:space="0" w:color="auto"/>
        <w:bottom w:val="none" w:sz="0" w:space="0" w:color="auto"/>
        <w:right w:val="none" w:sz="0" w:space="0" w:color="auto"/>
      </w:divBdr>
    </w:div>
    <w:div w:id="1706713158">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742674433">
      <w:bodyDiv w:val="1"/>
      <w:marLeft w:val="0"/>
      <w:marRight w:val="0"/>
      <w:marTop w:val="0"/>
      <w:marBottom w:val="0"/>
      <w:divBdr>
        <w:top w:val="none" w:sz="0" w:space="0" w:color="auto"/>
        <w:left w:val="none" w:sz="0" w:space="0" w:color="auto"/>
        <w:bottom w:val="none" w:sz="0" w:space="0" w:color="auto"/>
        <w:right w:val="none" w:sz="0" w:space="0" w:color="auto"/>
      </w:divBdr>
    </w:div>
    <w:div w:id="1759674319">
      <w:bodyDiv w:val="1"/>
      <w:marLeft w:val="0"/>
      <w:marRight w:val="0"/>
      <w:marTop w:val="0"/>
      <w:marBottom w:val="0"/>
      <w:divBdr>
        <w:top w:val="none" w:sz="0" w:space="0" w:color="auto"/>
        <w:left w:val="none" w:sz="0" w:space="0" w:color="auto"/>
        <w:bottom w:val="none" w:sz="0" w:space="0" w:color="auto"/>
        <w:right w:val="none" w:sz="0" w:space="0" w:color="auto"/>
      </w:divBdr>
    </w:div>
    <w:div w:id="1761559396">
      <w:bodyDiv w:val="1"/>
      <w:marLeft w:val="0"/>
      <w:marRight w:val="0"/>
      <w:marTop w:val="0"/>
      <w:marBottom w:val="0"/>
      <w:divBdr>
        <w:top w:val="none" w:sz="0" w:space="0" w:color="auto"/>
        <w:left w:val="none" w:sz="0" w:space="0" w:color="auto"/>
        <w:bottom w:val="none" w:sz="0" w:space="0" w:color="auto"/>
        <w:right w:val="none" w:sz="0" w:space="0" w:color="auto"/>
      </w:divBdr>
    </w:div>
    <w:div w:id="1769158719">
      <w:bodyDiv w:val="1"/>
      <w:marLeft w:val="0"/>
      <w:marRight w:val="0"/>
      <w:marTop w:val="0"/>
      <w:marBottom w:val="0"/>
      <w:divBdr>
        <w:top w:val="none" w:sz="0" w:space="0" w:color="auto"/>
        <w:left w:val="none" w:sz="0" w:space="0" w:color="auto"/>
        <w:bottom w:val="none" w:sz="0" w:space="0" w:color="auto"/>
        <w:right w:val="none" w:sz="0" w:space="0" w:color="auto"/>
      </w:divBdr>
    </w:div>
    <w:div w:id="1790051600">
      <w:bodyDiv w:val="1"/>
      <w:marLeft w:val="0"/>
      <w:marRight w:val="0"/>
      <w:marTop w:val="0"/>
      <w:marBottom w:val="0"/>
      <w:divBdr>
        <w:top w:val="none" w:sz="0" w:space="0" w:color="auto"/>
        <w:left w:val="none" w:sz="0" w:space="0" w:color="auto"/>
        <w:bottom w:val="none" w:sz="0" w:space="0" w:color="auto"/>
        <w:right w:val="none" w:sz="0" w:space="0" w:color="auto"/>
      </w:divBdr>
    </w:div>
    <w:div w:id="1873611382">
      <w:bodyDiv w:val="1"/>
      <w:marLeft w:val="0"/>
      <w:marRight w:val="0"/>
      <w:marTop w:val="0"/>
      <w:marBottom w:val="0"/>
      <w:divBdr>
        <w:top w:val="none" w:sz="0" w:space="0" w:color="auto"/>
        <w:left w:val="none" w:sz="0" w:space="0" w:color="auto"/>
        <w:bottom w:val="none" w:sz="0" w:space="0" w:color="auto"/>
        <w:right w:val="none" w:sz="0" w:space="0" w:color="auto"/>
      </w:divBdr>
    </w:div>
    <w:div w:id="1973444165">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01423980">
      <w:bodyDiv w:val="1"/>
      <w:marLeft w:val="0"/>
      <w:marRight w:val="0"/>
      <w:marTop w:val="0"/>
      <w:marBottom w:val="0"/>
      <w:divBdr>
        <w:top w:val="none" w:sz="0" w:space="0" w:color="auto"/>
        <w:left w:val="none" w:sz="0" w:space="0" w:color="auto"/>
        <w:bottom w:val="none" w:sz="0" w:space="0" w:color="auto"/>
        <w:right w:val="none" w:sz="0" w:space="0" w:color="auto"/>
      </w:divBdr>
    </w:div>
    <w:div w:id="2037192756">
      <w:bodyDiv w:val="1"/>
      <w:marLeft w:val="0"/>
      <w:marRight w:val="0"/>
      <w:marTop w:val="0"/>
      <w:marBottom w:val="0"/>
      <w:divBdr>
        <w:top w:val="none" w:sz="0" w:space="0" w:color="auto"/>
        <w:left w:val="none" w:sz="0" w:space="0" w:color="auto"/>
        <w:bottom w:val="none" w:sz="0" w:space="0" w:color="auto"/>
        <w:right w:val="none" w:sz="0" w:space="0" w:color="auto"/>
      </w:divBdr>
    </w:div>
    <w:div w:id="2041010194">
      <w:bodyDiv w:val="1"/>
      <w:marLeft w:val="0"/>
      <w:marRight w:val="0"/>
      <w:marTop w:val="0"/>
      <w:marBottom w:val="0"/>
      <w:divBdr>
        <w:top w:val="none" w:sz="0" w:space="0" w:color="auto"/>
        <w:left w:val="none" w:sz="0" w:space="0" w:color="auto"/>
        <w:bottom w:val="none" w:sz="0" w:space="0" w:color="auto"/>
        <w:right w:val="none" w:sz="0" w:space="0" w:color="auto"/>
      </w:divBdr>
    </w:div>
    <w:div w:id="212619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89560-8995-4CE7-BF6B-75F9E9EB7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9133</Words>
  <Characters>5206</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Фостик Богдан Володимирович</cp:lastModifiedBy>
  <cp:revision>7</cp:revision>
  <cp:lastPrinted>2012-09-18T08:57:00Z</cp:lastPrinted>
  <dcterms:created xsi:type="dcterms:W3CDTF">2021-02-15T11:45:00Z</dcterms:created>
  <dcterms:modified xsi:type="dcterms:W3CDTF">2021-02-19T06:10:00Z</dcterms:modified>
</cp:coreProperties>
</file>