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C0049" w:rsidRPr="00F73D38" w:rsidTr="00974D4C">
        <w:tc>
          <w:tcPr>
            <w:tcW w:w="11957" w:type="dxa"/>
            <w:tcBorders>
              <w:top w:val="nil"/>
              <w:left w:val="nil"/>
              <w:bottom w:val="nil"/>
              <w:right w:val="nil"/>
            </w:tcBorders>
          </w:tcPr>
          <w:p w:rsidR="00CC0049" w:rsidRPr="00AD7F82" w:rsidRDefault="00CC0049" w:rsidP="00974D4C">
            <w:pPr>
              <w:pStyle w:val="a5"/>
              <w:rPr>
                <w:rFonts w:ascii="Times New Roman" w:hAnsi="Times New Roman"/>
                <w:color w:val="002060"/>
                <w:sz w:val="32"/>
                <w:szCs w:val="32"/>
              </w:rPr>
            </w:pPr>
          </w:p>
          <w:p w:rsidR="00CC0049" w:rsidRPr="00AD7F82" w:rsidRDefault="00CC0049" w:rsidP="00974D4C">
            <w:pPr>
              <w:pStyle w:val="a5"/>
              <w:rPr>
                <w:rFonts w:ascii="Times New Roman" w:hAnsi="Times New Roman"/>
                <w:color w:val="002060"/>
                <w:sz w:val="32"/>
                <w:szCs w:val="32"/>
              </w:rPr>
            </w:pPr>
          </w:p>
          <w:p w:rsidR="00CC0049" w:rsidRPr="00AD7F82" w:rsidRDefault="00CC0049" w:rsidP="00974D4C">
            <w:pPr>
              <w:pStyle w:val="a5"/>
              <w:rPr>
                <w:rFonts w:ascii="Times New Roman" w:hAnsi="Times New Roman"/>
                <w:color w:val="002060"/>
                <w:sz w:val="32"/>
                <w:szCs w:val="32"/>
              </w:rPr>
            </w:pPr>
          </w:p>
          <w:p w:rsidR="00CC0049" w:rsidRPr="0021032F" w:rsidRDefault="00CC0049" w:rsidP="00974D4C">
            <w:pPr>
              <w:pStyle w:val="a5"/>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2D2B31FB" wp14:editId="6D292347">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C0049" w:rsidRPr="00D22048" w:rsidRDefault="00CC0049" w:rsidP="00974D4C">
            <w:pPr>
              <w:pStyle w:val="a5"/>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інтеграції України з Європейським Союзом</w:t>
            </w:r>
          </w:p>
          <w:p w:rsidR="00CC0049" w:rsidRPr="009865D4" w:rsidRDefault="00CC0049" w:rsidP="00974D4C">
            <w:pPr>
              <w:pStyle w:val="a5"/>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 xml:space="preserve">1008, м.Київ-8, вул. М. Грушевського, 5, </w:t>
            </w:r>
            <w:proofErr w:type="spellStart"/>
            <w:r w:rsidRPr="00A833C8">
              <w:rPr>
                <w:rFonts w:ascii="Times New Roman" w:hAnsi="Times New Roman"/>
                <w:color w:val="1829A8"/>
                <w:sz w:val="20"/>
                <w:szCs w:val="20"/>
              </w:rPr>
              <w:t>тел</w:t>
            </w:r>
            <w:proofErr w:type="spellEnd"/>
            <w:r w:rsidRPr="00A833C8">
              <w:rPr>
                <w:rFonts w:ascii="Times New Roman" w:hAnsi="Times New Roman"/>
                <w:color w:val="1829A8"/>
                <w:sz w:val="20"/>
                <w:szCs w:val="20"/>
              </w:rPr>
              <w:t>.</w:t>
            </w:r>
            <w:r>
              <w:rPr>
                <w:rFonts w:ascii="Times New Roman" w:hAnsi="Times New Roman"/>
                <w:color w:val="1829A8"/>
                <w:sz w:val="20"/>
                <w:szCs w:val="20"/>
              </w:rPr>
              <w:t xml:space="preserve">: </w:t>
            </w:r>
            <w:r w:rsidRPr="00A833C8">
              <w:rPr>
                <w:rFonts w:ascii="Times New Roman" w:hAnsi="Times New Roman"/>
                <w:color w:val="1829A8"/>
                <w:sz w:val="20"/>
                <w:szCs w:val="20"/>
              </w:rPr>
              <w:t>2</w:t>
            </w:r>
            <w:r>
              <w:rPr>
                <w:rFonts w:ascii="Times New Roman" w:hAnsi="Times New Roman"/>
                <w:color w:val="1829A8"/>
                <w:sz w:val="20"/>
                <w:szCs w:val="20"/>
              </w:rPr>
              <w:t>55</w:t>
            </w:r>
            <w:r w:rsidRPr="00A833C8">
              <w:rPr>
                <w:rFonts w:ascii="Times New Roman" w:hAnsi="Times New Roman"/>
                <w:color w:val="1829A8"/>
                <w:sz w:val="20"/>
                <w:szCs w:val="20"/>
              </w:rPr>
              <w:t>-</w:t>
            </w:r>
            <w:r>
              <w:rPr>
                <w:rFonts w:ascii="Times New Roman" w:hAnsi="Times New Roman"/>
                <w:color w:val="1829A8"/>
                <w:sz w:val="20"/>
                <w:szCs w:val="20"/>
              </w:rPr>
              <w:t>34</w:t>
            </w:r>
            <w:r w:rsidRPr="00A833C8">
              <w:rPr>
                <w:rFonts w:ascii="Times New Roman" w:hAnsi="Times New Roman"/>
                <w:color w:val="1829A8"/>
                <w:sz w:val="20"/>
                <w:szCs w:val="20"/>
              </w:rPr>
              <w:t>-</w:t>
            </w:r>
            <w:r>
              <w:rPr>
                <w:rFonts w:ascii="Times New Roman" w:hAnsi="Times New Roman"/>
                <w:color w:val="1829A8"/>
                <w:sz w:val="20"/>
                <w:szCs w:val="20"/>
              </w:rPr>
              <w:t>42, факс</w:t>
            </w:r>
            <w:r w:rsidRPr="004C53C1">
              <w:rPr>
                <w:rFonts w:ascii="Times New Roman" w:hAnsi="Times New Roman"/>
                <w:color w:val="1829A8"/>
                <w:sz w:val="20"/>
                <w:szCs w:val="20"/>
              </w:rPr>
              <w:t>:</w:t>
            </w:r>
            <w:r>
              <w:rPr>
                <w:rFonts w:ascii="Times New Roman" w:hAnsi="Times New Roman"/>
                <w:color w:val="1829A8"/>
                <w:sz w:val="20"/>
                <w:szCs w:val="20"/>
              </w:rPr>
              <w:t xml:space="preserve"> 255-33-13, </w:t>
            </w:r>
            <w:r>
              <w:rPr>
                <w:rFonts w:ascii="Times New Roman" w:hAnsi="Times New Roman"/>
                <w:color w:val="1829A8"/>
                <w:sz w:val="20"/>
                <w:szCs w:val="20"/>
                <w:lang w:val="en-US"/>
              </w:rPr>
              <w:t>e</w:t>
            </w:r>
            <w:r w:rsidRPr="009865D4">
              <w:rPr>
                <w:rFonts w:ascii="Times New Roman" w:hAnsi="Times New Roman"/>
                <w:color w:val="1829A8"/>
                <w:sz w:val="20"/>
                <w:szCs w:val="20"/>
              </w:rPr>
              <w:t>-</w:t>
            </w:r>
            <w:r>
              <w:rPr>
                <w:rFonts w:ascii="Times New Roman" w:hAnsi="Times New Roman"/>
                <w:color w:val="1829A8"/>
                <w:sz w:val="20"/>
                <w:szCs w:val="20"/>
                <w:lang w:val="en-US"/>
              </w:rPr>
              <w:t>mail</w:t>
            </w:r>
            <w:r w:rsidRPr="009865D4">
              <w:rPr>
                <w:rFonts w:ascii="Times New Roman" w:hAnsi="Times New Roman"/>
                <w:color w:val="1829A8"/>
                <w:sz w:val="20"/>
                <w:szCs w:val="20"/>
              </w:rPr>
              <w:t xml:space="preserve">: </w:t>
            </w:r>
            <w:proofErr w:type="spellStart"/>
            <w:r>
              <w:rPr>
                <w:rFonts w:ascii="Times New Roman" w:hAnsi="Times New Roman"/>
                <w:color w:val="1829A8"/>
                <w:sz w:val="20"/>
                <w:szCs w:val="20"/>
                <w:lang w:val="en-US"/>
              </w:rPr>
              <w:t>comeuroint</w:t>
            </w:r>
            <w:proofErr w:type="spellEnd"/>
            <w:r w:rsidRPr="009865D4">
              <w:rPr>
                <w:rFonts w:ascii="Times New Roman" w:hAnsi="Times New Roman"/>
                <w:color w:val="1829A8"/>
                <w:sz w:val="20"/>
                <w:szCs w:val="20"/>
              </w:rPr>
              <w:t>@</w:t>
            </w:r>
            <w:r>
              <w:rPr>
                <w:rFonts w:ascii="Times New Roman" w:hAnsi="Times New Roman"/>
                <w:color w:val="1829A8"/>
                <w:sz w:val="20"/>
                <w:szCs w:val="20"/>
                <w:lang w:val="en-US"/>
              </w:rPr>
              <w:t>v</w:t>
            </w:r>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9865D4">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b"/>
        <w:tblW w:w="11887" w:type="dxa"/>
        <w:tblInd w:w="-1134"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C0049" w:rsidRPr="00053776" w:rsidTr="00974D4C">
        <w:tc>
          <w:tcPr>
            <w:tcW w:w="1087" w:type="dxa"/>
            <w:tcBorders>
              <w:top w:val="nil"/>
            </w:tcBorders>
          </w:tcPr>
          <w:p w:rsidR="00CC0049" w:rsidRPr="00053776" w:rsidRDefault="00CC0049" w:rsidP="00974D4C">
            <w:pPr>
              <w:pStyle w:val="a5"/>
              <w:rPr>
                <w:rFonts w:ascii="Times New Roman" w:hAnsi="Times New Roman"/>
                <w:color w:val="002060"/>
              </w:rPr>
            </w:pPr>
          </w:p>
        </w:tc>
        <w:tc>
          <w:tcPr>
            <w:tcW w:w="9714" w:type="dxa"/>
          </w:tcPr>
          <w:p w:rsidR="00CC0049" w:rsidRPr="00053776" w:rsidRDefault="00CC0049" w:rsidP="00974D4C">
            <w:pPr>
              <w:pStyle w:val="a5"/>
              <w:rPr>
                <w:rFonts w:ascii="Times New Roman" w:hAnsi="Times New Roman"/>
                <w:color w:val="002060"/>
              </w:rPr>
            </w:pPr>
          </w:p>
        </w:tc>
        <w:tc>
          <w:tcPr>
            <w:tcW w:w="1086" w:type="dxa"/>
            <w:tcBorders>
              <w:top w:val="nil"/>
            </w:tcBorders>
          </w:tcPr>
          <w:p w:rsidR="00CC0049" w:rsidRPr="00053776" w:rsidRDefault="00CC0049" w:rsidP="00974D4C">
            <w:pPr>
              <w:pStyle w:val="a5"/>
              <w:rPr>
                <w:rFonts w:ascii="Times New Roman" w:hAnsi="Times New Roman"/>
                <w:color w:val="002060"/>
              </w:rPr>
            </w:pPr>
          </w:p>
        </w:tc>
      </w:tr>
    </w:tbl>
    <w:p w:rsidR="008B0FBE" w:rsidRPr="00B05E9C" w:rsidRDefault="00F7668B" w:rsidP="001701BE">
      <w:pPr>
        <w:spacing w:after="0" w:line="276" w:lineRule="auto"/>
        <w:jc w:val="center"/>
        <w:rPr>
          <w:rFonts w:ascii="Times New Roman" w:hAnsi="Times New Roman" w:cs="Times New Roman"/>
          <w:b/>
          <w:sz w:val="28"/>
          <w:szCs w:val="28"/>
        </w:rPr>
      </w:pPr>
      <w:r w:rsidRPr="00B05E9C">
        <w:rPr>
          <w:rFonts w:ascii="Times New Roman" w:hAnsi="Times New Roman" w:cs="Times New Roman"/>
          <w:b/>
          <w:sz w:val="28"/>
          <w:szCs w:val="28"/>
        </w:rPr>
        <w:t>ВИСНОВОК</w:t>
      </w:r>
    </w:p>
    <w:p w:rsidR="00977952" w:rsidRPr="00B05E9C" w:rsidRDefault="00F7668B" w:rsidP="001701BE">
      <w:pPr>
        <w:spacing w:after="0" w:line="276" w:lineRule="auto"/>
        <w:jc w:val="center"/>
        <w:rPr>
          <w:rFonts w:ascii="Times New Roman" w:hAnsi="Times New Roman" w:cs="Times New Roman"/>
          <w:b/>
          <w:sz w:val="28"/>
          <w:szCs w:val="28"/>
        </w:rPr>
      </w:pPr>
      <w:r w:rsidRPr="00B05E9C">
        <w:rPr>
          <w:rFonts w:ascii="Times New Roman" w:hAnsi="Times New Roman" w:cs="Times New Roman"/>
          <w:b/>
          <w:sz w:val="28"/>
          <w:szCs w:val="28"/>
        </w:rPr>
        <w:t xml:space="preserve">щодо проекту </w:t>
      </w:r>
      <w:r w:rsidR="007301F7" w:rsidRPr="00B05E9C">
        <w:rPr>
          <w:rFonts w:ascii="Times New Roman" w:hAnsi="Times New Roman" w:cs="Times New Roman"/>
          <w:b/>
          <w:sz w:val="28"/>
          <w:szCs w:val="28"/>
        </w:rPr>
        <w:t xml:space="preserve">Закону </w:t>
      </w:r>
      <w:r w:rsidR="00977952" w:rsidRPr="00B05E9C">
        <w:rPr>
          <w:rFonts w:ascii="Times New Roman" w:hAnsi="Times New Roman" w:cs="Times New Roman"/>
          <w:b/>
          <w:sz w:val="28"/>
          <w:szCs w:val="28"/>
        </w:rPr>
        <w:t xml:space="preserve"> </w:t>
      </w:r>
    </w:p>
    <w:p w:rsidR="00F90345" w:rsidRPr="00B05E9C" w:rsidRDefault="00864CA3" w:rsidP="001701BE">
      <w:pPr>
        <w:spacing w:after="0" w:line="276" w:lineRule="auto"/>
        <w:jc w:val="center"/>
        <w:rPr>
          <w:rFonts w:ascii="Times New Roman" w:hAnsi="Times New Roman" w:cs="Times New Roman"/>
          <w:b/>
          <w:sz w:val="28"/>
          <w:szCs w:val="28"/>
        </w:rPr>
      </w:pPr>
      <w:r w:rsidRPr="00B05E9C">
        <w:rPr>
          <w:rFonts w:ascii="Times New Roman" w:hAnsi="Times New Roman" w:cs="Times New Roman"/>
          <w:b/>
          <w:sz w:val="28"/>
          <w:szCs w:val="28"/>
        </w:rPr>
        <w:t>про внесення змін до законодавчих актів України щодо дозвільної системи у сфері господарської діяльності та спрощення доступу на ринки</w:t>
      </w:r>
    </w:p>
    <w:p w:rsidR="00F7668B" w:rsidRPr="00B05E9C" w:rsidRDefault="00F7668B" w:rsidP="001701BE">
      <w:pPr>
        <w:spacing w:after="0" w:line="276" w:lineRule="auto"/>
        <w:jc w:val="center"/>
        <w:rPr>
          <w:rFonts w:ascii="Times New Roman" w:hAnsi="Times New Roman" w:cs="Times New Roman"/>
          <w:sz w:val="28"/>
          <w:szCs w:val="28"/>
        </w:rPr>
      </w:pPr>
      <w:r w:rsidRPr="00B05E9C">
        <w:rPr>
          <w:rFonts w:ascii="Times New Roman" w:hAnsi="Times New Roman" w:cs="Times New Roman"/>
          <w:sz w:val="28"/>
          <w:szCs w:val="28"/>
        </w:rPr>
        <w:t xml:space="preserve">(реєстр. № </w:t>
      </w:r>
      <w:r w:rsidR="00977952" w:rsidRPr="00B05E9C">
        <w:rPr>
          <w:rFonts w:ascii="Times New Roman" w:hAnsi="Times New Roman" w:cs="Times New Roman"/>
          <w:sz w:val="28"/>
          <w:szCs w:val="28"/>
        </w:rPr>
        <w:t>42</w:t>
      </w:r>
      <w:r w:rsidR="00864CA3" w:rsidRPr="00B05E9C">
        <w:rPr>
          <w:rFonts w:ascii="Times New Roman" w:hAnsi="Times New Roman" w:cs="Times New Roman"/>
          <w:sz w:val="28"/>
          <w:szCs w:val="28"/>
        </w:rPr>
        <w:t>19</w:t>
      </w:r>
      <w:r w:rsidRPr="00B05E9C">
        <w:rPr>
          <w:rFonts w:ascii="Times New Roman" w:hAnsi="Times New Roman" w:cs="Times New Roman"/>
          <w:sz w:val="28"/>
          <w:szCs w:val="28"/>
        </w:rPr>
        <w:t xml:space="preserve"> від </w:t>
      </w:r>
      <w:r w:rsidR="006E15AF" w:rsidRPr="00B05E9C">
        <w:rPr>
          <w:rFonts w:ascii="Times New Roman" w:hAnsi="Times New Roman" w:cs="Times New Roman"/>
          <w:sz w:val="28"/>
          <w:szCs w:val="28"/>
        </w:rPr>
        <w:t>1</w:t>
      </w:r>
      <w:r w:rsidR="00977952" w:rsidRPr="00B05E9C">
        <w:rPr>
          <w:rFonts w:ascii="Times New Roman" w:hAnsi="Times New Roman" w:cs="Times New Roman"/>
          <w:sz w:val="28"/>
          <w:szCs w:val="28"/>
        </w:rPr>
        <w:t>5.10</w:t>
      </w:r>
      <w:r w:rsidRPr="00B05E9C">
        <w:rPr>
          <w:rFonts w:ascii="Times New Roman" w:hAnsi="Times New Roman" w:cs="Times New Roman"/>
          <w:sz w:val="28"/>
          <w:szCs w:val="28"/>
        </w:rPr>
        <w:t>.2020,</w:t>
      </w:r>
      <w:r w:rsidR="0024458A" w:rsidRPr="00B05E9C">
        <w:rPr>
          <w:rFonts w:ascii="Times New Roman" w:hAnsi="Times New Roman" w:cs="Times New Roman"/>
          <w:sz w:val="28"/>
          <w:szCs w:val="28"/>
        </w:rPr>
        <w:t xml:space="preserve"> </w:t>
      </w:r>
      <w:proofErr w:type="spellStart"/>
      <w:r w:rsidR="0055610B" w:rsidRPr="00B05E9C">
        <w:rPr>
          <w:rFonts w:ascii="Times New Roman" w:hAnsi="Times New Roman" w:cs="Times New Roman"/>
          <w:sz w:val="28"/>
          <w:szCs w:val="28"/>
        </w:rPr>
        <w:t>н.д</w:t>
      </w:r>
      <w:proofErr w:type="spellEnd"/>
      <w:r w:rsidR="0055610B" w:rsidRPr="00B05E9C">
        <w:rPr>
          <w:rFonts w:ascii="Times New Roman" w:hAnsi="Times New Roman" w:cs="Times New Roman"/>
          <w:sz w:val="28"/>
          <w:szCs w:val="28"/>
        </w:rPr>
        <w:t xml:space="preserve">. </w:t>
      </w:r>
      <w:r w:rsidR="00864CA3" w:rsidRPr="00B05E9C">
        <w:rPr>
          <w:rFonts w:ascii="Times New Roman" w:hAnsi="Times New Roman" w:cs="Times New Roman"/>
          <w:sz w:val="28"/>
          <w:szCs w:val="28"/>
        </w:rPr>
        <w:t>Підласа Р.А., Шуляк О.О.</w:t>
      </w:r>
      <w:r w:rsidR="00977952" w:rsidRPr="00B05E9C">
        <w:rPr>
          <w:rFonts w:ascii="Times New Roman" w:hAnsi="Times New Roman" w:cs="Times New Roman"/>
          <w:sz w:val="28"/>
          <w:szCs w:val="28"/>
        </w:rPr>
        <w:t xml:space="preserve"> та інші</w:t>
      </w:r>
      <w:r w:rsidRPr="00B05E9C">
        <w:rPr>
          <w:rFonts w:ascii="Times New Roman" w:hAnsi="Times New Roman" w:cs="Times New Roman"/>
          <w:sz w:val="28"/>
          <w:szCs w:val="28"/>
        </w:rPr>
        <w:t>)</w:t>
      </w:r>
    </w:p>
    <w:p w:rsidR="00B86E61" w:rsidRPr="00B05E9C" w:rsidRDefault="00B86E61" w:rsidP="001701BE">
      <w:pPr>
        <w:spacing w:after="0" w:line="276" w:lineRule="auto"/>
        <w:ind w:firstLine="567"/>
        <w:jc w:val="both"/>
        <w:rPr>
          <w:rFonts w:ascii="Times New Roman" w:hAnsi="Times New Roman" w:cs="Times New Roman"/>
          <w:b/>
          <w:sz w:val="28"/>
          <w:szCs w:val="28"/>
        </w:rPr>
      </w:pPr>
    </w:p>
    <w:p w:rsidR="00CC0049" w:rsidRPr="00B05E9C" w:rsidRDefault="00CC0049" w:rsidP="001701BE">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xml:space="preserve">Комітет розглянув проект Закону на своєму засіданні </w:t>
      </w:r>
      <w:r w:rsidR="00977952" w:rsidRPr="001F43CA">
        <w:rPr>
          <w:rFonts w:ascii="Times New Roman" w:hAnsi="Times New Roman" w:cs="Times New Roman"/>
          <w:sz w:val="28"/>
          <w:szCs w:val="28"/>
          <w:lang w:val="ru-RU"/>
        </w:rPr>
        <w:t>11</w:t>
      </w:r>
      <w:r w:rsidRPr="001F43CA">
        <w:rPr>
          <w:rFonts w:ascii="Times New Roman" w:hAnsi="Times New Roman" w:cs="Times New Roman"/>
          <w:sz w:val="28"/>
          <w:szCs w:val="28"/>
        </w:rPr>
        <w:t xml:space="preserve"> </w:t>
      </w:r>
      <w:r w:rsidR="00E30DCA" w:rsidRPr="001F43CA">
        <w:rPr>
          <w:rFonts w:ascii="Times New Roman" w:hAnsi="Times New Roman" w:cs="Times New Roman"/>
          <w:sz w:val="28"/>
          <w:szCs w:val="28"/>
        </w:rPr>
        <w:t>листопада</w:t>
      </w:r>
      <w:r w:rsidRPr="001F43CA">
        <w:rPr>
          <w:rFonts w:ascii="Times New Roman" w:hAnsi="Times New Roman" w:cs="Times New Roman"/>
          <w:sz w:val="28"/>
          <w:szCs w:val="28"/>
        </w:rPr>
        <w:t xml:space="preserve"> 2020 року</w:t>
      </w:r>
      <w:r w:rsidR="00D30295" w:rsidRPr="001F43CA">
        <w:rPr>
          <w:rFonts w:ascii="Times New Roman" w:hAnsi="Times New Roman" w:cs="Times New Roman"/>
          <w:sz w:val="28"/>
          <w:szCs w:val="28"/>
        </w:rPr>
        <w:t xml:space="preserve"> (протокол № </w:t>
      </w:r>
      <w:r w:rsidR="005B4EA7" w:rsidRPr="001F43CA">
        <w:rPr>
          <w:rFonts w:ascii="Times New Roman" w:hAnsi="Times New Roman" w:cs="Times New Roman"/>
          <w:sz w:val="28"/>
          <w:szCs w:val="28"/>
          <w:lang w:val="ru-RU"/>
        </w:rPr>
        <w:t>5</w:t>
      </w:r>
      <w:r w:rsidR="00977952" w:rsidRPr="001F43CA">
        <w:rPr>
          <w:rFonts w:ascii="Times New Roman" w:hAnsi="Times New Roman" w:cs="Times New Roman"/>
          <w:sz w:val="28"/>
          <w:szCs w:val="28"/>
          <w:lang w:val="ru-RU"/>
        </w:rPr>
        <w:t>4</w:t>
      </w:r>
      <w:r w:rsidRPr="001F43CA">
        <w:rPr>
          <w:rFonts w:ascii="Times New Roman" w:hAnsi="Times New Roman" w:cs="Times New Roman"/>
          <w:sz w:val="28"/>
          <w:szCs w:val="28"/>
        </w:rPr>
        <w:t>)</w:t>
      </w:r>
      <w:r w:rsidRPr="00B05E9C">
        <w:rPr>
          <w:rFonts w:ascii="Times New Roman" w:hAnsi="Times New Roman" w:cs="Times New Roman"/>
          <w:sz w:val="28"/>
          <w:szCs w:val="28"/>
        </w:rPr>
        <w:t xml:space="preserve"> відповідно до статті 93 Регламенту Верховної Ради України.</w:t>
      </w:r>
    </w:p>
    <w:p w:rsidR="00CC0049" w:rsidRPr="00B05E9C" w:rsidRDefault="00CC0049" w:rsidP="001701BE">
      <w:pPr>
        <w:spacing w:after="0" w:line="276" w:lineRule="auto"/>
        <w:ind w:firstLine="567"/>
        <w:jc w:val="both"/>
        <w:rPr>
          <w:rFonts w:ascii="Times New Roman" w:hAnsi="Times New Roman" w:cs="Times New Roman"/>
          <w:sz w:val="28"/>
          <w:szCs w:val="28"/>
        </w:rPr>
      </w:pPr>
    </w:p>
    <w:p w:rsidR="00F7668B" w:rsidRPr="00B05E9C" w:rsidRDefault="00F7668B" w:rsidP="001701BE">
      <w:pPr>
        <w:spacing w:after="0" w:line="276" w:lineRule="auto"/>
        <w:ind w:firstLine="567"/>
        <w:jc w:val="both"/>
        <w:rPr>
          <w:rFonts w:ascii="Times New Roman" w:hAnsi="Times New Roman" w:cs="Times New Roman"/>
          <w:b/>
          <w:sz w:val="28"/>
          <w:szCs w:val="28"/>
        </w:rPr>
      </w:pPr>
      <w:r w:rsidRPr="00B05E9C">
        <w:rPr>
          <w:rFonts w:ascii="Times New Roman" w:hAnsi="Times New Roman" w:cs="Times New Roman"/>
          <w:b/>
          <w:sz w:val="28"/>
          <w:szCs w:val="28"/>
        </w:rPr>
        <w:t>1. Загальна характеристика законопроекту</w:t>
      </w:r>
    </w:p>
    <w:p w:rsidR="00283A96" w:rsidRPr="00B05E9C" w:rsidRDefault="00D30295" w:rsidP="001701BE">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xml:space="preserve">Метою законопроекту, як зазначено в пояснювальній записці до нього, </w:t>
      </w:r>
      <w:r w:rsidR="00283A96" w:rsidRPr="00B05E9C">
        <w:rPr>
          <w:rFonts w:ascii="Times New Roman" w:hAnsi="Times New Roman" w:cs="Times New Roman"/>
          <w:sz w:val="28"/>
          <w:szCs w:val="28"/>
        </w:rPr>
        <w:t xml:space="preserve">є </w:t>
      </w:r>
      <w:r w:rsidR="00864CA3" w:rsidRPr="00B05E9C">
        <w:rPr>
          <w:rFonts w:ascii="Times New Roman" w:hAnsi="Times New Roman" w:cs="Times New Roman"/>
          <w:sz w:val="28"/>
          <w:szCs w:val="28"/>
        </w:rPr>
        <w:t>створення належних правових умов для реалізації гарантованої законом свободи підприємницької діяльності у межах, визначених законом, шляхом звуження сфери втручання держави у господарські відносини.</w:t>
      </w:r>
    </w:p>
    <w:p w:rsidR="006E15AF" w:rsidRPr="00B05E9C" w:rsidRDefault="00864CA3" w:rsidP="00EB3886">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Завдання законопроекту полягають у кодифікації та модернізації законодавства щодо доступу суб’єктів господарювання на ринки, зменшення адміністративного навантаження на бізнес шляхом зменшення значної кількості дозволів, поширення принципу вільного доступу до ринків.</w:t>
      </w:r>
    </w:p>
    <w:p w:rsidR="00A64F08" w:rsidRPr="00B05E9C" w:rsidRDefault="00A64F08" w:rsidP="00A64F08">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xml:space="preserve">Прийняття проекту Закону забезпечить: </w:t>
      </w:r>
    </w:p>
    <w:p w:rsidR="00A64F08" w:rsidRPr="00B05E9C" w:rsidRDefault="00A64F08" w:rsidP="00A64F08">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кодифікацію законодавства щодо доступу бізнесу на ринки;</w:t>
      </w:r>
    </w:p>
    <w:p w:rsidR="00A64F08" w:rsidRPr="00B05E9C" w:rsidRDefault="00A64F08" w:rsidP="00A64F08">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можливість видачі е-дозволів;</w:t>
      </w:r>
    </w:p>
    <w:p w:rsidR="00A64F08" w:rsidRPr="00B05E9C" w:rsidRDefault="00A64F08" w:rsidP="00A64F08">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подальшу дерегуляцію у сфері господарської діяльності, покращення державного регулювання господарських відносин, наближення національного законодавства до стандартів ЄС;</w:t>
      </w:r>
    </w:p>
    <w:p w:rsidR="00A64F08" w:rsidRPr="00B05E9C" w:rsidRDefault="00A64F08" w:rsidP="00A64F08">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xml:space="preserve">– поширення принципу вільного доступу до ринків (запровадження рамкових норм декларування бізнесу); </w:t>
      </w:r>
    </w:p>
    <w:p w:rsidR="00A64F08" w:rsidRPr="00B05E9C" w:rsidRDefault="00A64F08" w:rsidP="00A64F08">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xml:space="preserve">– зменшення адміністративного навантаження на бізнес шляхом скасування 4 дозволів, 2 ліцензій, а також переведення 2 видів господарської діяльності на </w:t>
      </w:r>
      <w:proofErr w:type="spellStart"/>
      <w:r w:rsidRPr="00B05E9C">
        <w:rPr>
          <w:rFonts w:ascii="Times New Roman" w:hAnsi="Times New Roman" w:cs="Times New Roman"/>
          <w:sz w:val="28"/>
          <w:szCs w:val="28"/>
        </w:rPr>
        <w:t>заявницький</w:t>
      </w:r>
      <w:proofErr w:type="spellEnd"/>
      <w:r w:rsidRPr="00B05E9C">
        <w:rPr>
          <w:rFonts w:ascii="Times New Roman" w:hAnsi="Times New Roman" w:cs="Times New Roman"/>
          <w:sz w:val="28"/>
          <w:szCs w:val="28"/>
        </w:rPr>
        <w:t xml:space="preserve"> принцип її здійснення;</w:t>
      </w:r>
    </w:p>
    <w:p w:rsidR="00A64F08" w:rsidRPr="00B05E9C" w:rsidRDefault="00A64F08" w:rsidP="00A64F08">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усунення і мінімізацію підстав для корупції у системі дозвільних органів за рахунок скорочення обсягів їх втручання у господарські відносини.</w:t>
      </w:r>
    </w:p>
    <w:p w:rsidR="00F7668B" w:rsidRPr="00B05E9C" w:rsidRDefault="00F7668B" w:rsidP="001701BE">
      <w:pPr>
        <w:spacing w:after="0" w:line="276" w:lineRule="auto"/>
        <w:ind w:firstLine="567"/>
        <w:jc w:val="both"/>
        <w:rPr>
          <w:rFonts w:ascii="Times New Roman" w:hAnsi="Times New Roman" w:cs="Times New Roman"/>
          <w:b/>
          <w:sz w:val="28"/>
          <w:szCs w:val="28"/>
        </w:rPr>
      </w:pPr>
      <w:r w:rsidRPr="00B05E9C">
        <w:rPr>
          <w:rFonts w:ascii="Times New Roman" w:hAnsi="Times New Roman" w:cs="Times New Roman"/>
          <w:b/>
          <w:sz w:val="28"/>
          <w:szCs w:val="28"/>
        </w:rPr>
        <w:lastRenderedPageBreak/>
        <w:t>2. Належність законопроекту за предметом правового регулювання до сфери дії права Європейського Союзу</w:t>
      </w:r>
    </w:p>
    <w:p w:rsidR="006E15AF" w:rsidRPr="00B05E9C" w:rsidRDefault="006E15AF" w:rsidP="00CB2D69">
      <w:pPr>
        <w:spacing w:after="0" w:line="276" w:lineRule="auto"/>
        <w:ind w:firstLine="567"/>
        <w:jc w:val="both"/>
        <w:rPr>
          <w:rFonts w:ascii="Times New Roman" w:hAnsi="Times New Roman" w:cs="Times New Roman"/>
          <w:sz w:val="28"/>
          <w:szCs w:val="28"/>
        </w:rPr>
      </w:pPr>
      <w:r w:rsidRPr="00B05E9C">
        <w:rPr>
          <w:rFonts w:ascii="Times New Roman" w:hAnsi="Times New Roman" w:cs="Times New Roman"/>
          <w:sz w:val="28"/>
          <w:szCs w:val="28"/>
        </w:rPr>
        <w:t xml:space="preserve">Проект Закону за </w:t>
      </w:r>
      <w:r w:rsidR="00977952" w:rsidRPr="00B05E9C">
        <w:rPr>
          <w:rFonts w:ascii="Times New Roman" w:hAnsi="Times New Roman" w:cs="Times New Roman"/>
          <w:sz w:val="28"/>
          <w:szCs w:val="28"/>
        </w:rPr>
        <w:t xml:space="preserve">предметом правового регулювання </w:t>
      </w:r>
      <w:r w:rsidRPr="00B05E9C">
        <w:rPr>
          <w:rFonts w:ascii="Times New Roman" w:hAnsi="Times New Roman" w:cs="Times New Roman"/>
          <w:sz w:val="28"/>
          <w:szCs w:val="28"/>
        </w:rPr>
        <w:t xml:space="preserve">охоплюється зобов’язаннями України передбаченими у рамках </w:t>
      </w:r>
      <w:r w:rsidR="00CB2D69" w:rsidRPr="00B05E9C">
        <w:rPr>
          <w:rFonts w:ascii="Times New Roman" w:hAnsi="Times New Roman" w:cs="Times New Roman"/>
          <w:sz w:val="28"/>
          <w:szCs w:val="28"/>
        </w:rPr>
        <w:t xml:space="preserve">Глави 10 «Політика у сфері промисловості та підприємництва» та </w:t>
      </w:r>
      <w:r w:rsidR="0043428A" w:rsidRPr="00B05E9C">
        <w:rPr>
          <w:rFonts w:ascii="Times New Roman" w:hAnsi="Times New Roman" w:cs="Times New Roman"/>
          <w:sz w:val="28"/>
          <w:szCs w:val="28"/>
        </w:rPr>
        <w:t>Глави 21 «Співробітництво у галузі зайнятості, соціальної політики та рівних можливостей» розділу V</w:t>
      </w:r>
      <w:r w:rsidR="00725D2F" w:rsidRPr="00B05E9C">
        <w:rPr>
          <w:rFonts w:ascii="Times New Roman" w:hAnsi="Times New Roman" w:cs="Times New Roman"/>
          <w:sz w:val="28"/>
          <w:szCs w:val="28"/>
        </w:rPr>
        <w:t xml:space="preserve"> «Е</w:t>
      </w:r>
      <w:r w:rsidR="0043428A" w:rsidRPr="00B05E9C">
        <w:rPr>
          <w:rFonts w:ascii="Times New Roman" w:hAnsi="Times New Roman" w:cs="Times New Roman"/>
          <w:sz w:val="28"/>
          <w:szCs w:val="28"/>
        </w:rPr>
        <w:t>кономічне і галузеве</w:t>
      </w:r>
      <w:r w:rsidR="00725D2F" w:rsidRPr="00B05E9C">
        <w:rPr>
          <w:rFonts w:ascii="Times New Roman" w:hAnsi="Times New Roman" w:cs="Times New Roman"/>
          <w:sz w:val="28"/>
          <w:szCs w:val="28"/>
        </w:rPr>
        <w:t xml:space="preserve"> </w:t>
      </w:r>
      <w:r w:rsidR="0043428A" w:rsidRPr="00B05E9C">
        <w:rPr>
          <w:rFonts w:ascii="Times New Roman" w:hAnsi="Times New Roman" w:cs="Times New Roman"/>
          <w:sz w:val="28"/>
          <w:szCs w:val="28"/>
        </w:rPr>
        <w:t>співробітництво»</w:t>
      </w:r>
      <w:r w:rsidR="005F54AA" w:rsidRPr="00B05E9C">
        <w:rPr>
          <w:rFonts w:ascii="Times New Roman" w:hAnsi="Times New Roman" w:cs="Times New Roman"/>
          <w:sz w:val="28"/>
          <w:szCs w:val="28"/>
        </w:rPr>
        <w:t xml:space="preserve"> </w:t>
      </w:r>
      <w:r w:rsidRPr="00B05E9C">
        <w:rPr>
          <w:rFonts w:ascii="Times New Roman" w:hAnsi="Times New Roman" w:cs="Times New Roman"/>
          <w:sz w:val="28"/>
          <w:szCs w:val="28"/>
        </w:rPr>
        <w:t>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FA1B2F" w:rsidRPr="000B6E16" w:rsidRDefault="00FA1B2F" w:rsidP="001701BE">
      <w:pPr>
        <w:spacing w:after="0" w:line="276" w:lineRule="auto"/>
        <w:jc w:val="both"/>
        <w:rPr>
          <w:rFonts w:ascii="Times New Roman" w:hAnsi="Times New Roman" w:cs="Times New Roman"/>
          <w:sz w:val="28"/>
          <w:szCs w:val="28"/>
        </w:rPr>
      </w:pPr>
    </w:p>
    <w:p w:rsidR="008D4F02" w:rsidRPr="00B05E9C" w:rsidRDefault="008D4F02" w:rsidP="001701BE">
      <w:pPr>
        <w:spacing w:after="0" w:line="276" w:lineRule="auto"/>
        <w:ind w:firstLine="567"/>
        <w:jc w:val="both"/>
        <w:rPr>
          <w:rFonts w:ascii="Times New Roman" w:hAnsi="Times New Roman" w:cs="Times New Roman"/>
          <w:b/>
          <w:sz w:val="28"/>
          <w:szCs w:val="28"/>
        </w:rPr>
      </w:pPr>
      <w:r w:rsidRPr="00B05E9C">
        <w:rPr>
          <w:rFonts w:ascii="Times New Roman" w:hAnsi="Times New Roman" w:cs="Times New Roman"/>
          <w:b/>
          <w:sz w:val="28"/>
          <w:szCs w:val="28"/>
        </w:rPr>
        <w:t>3. Відповідність законопроекту праву ЄС</w:t>
      </w:r>
    </w:p>
    <w:p w:rsidR="000A7902" w:rsidRPr="00B05E9C" w:rsidRDefault="00C64F13" w:rsidP="001701BE">
      <w:pPr>
        <w:snapToGrid w:val="0"/>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 xml:space="preserve">За результатами правового аналізу проекту Закону щодо його відповідності </w:t>
      </w:r>
      <w:proofErr w:type="spellStart"/>
      <w:r w:rsidRPr="00B05E9C">
        <w:rPr>
          <w:rFonts w:ascii="Times New Roman" w:eastAsia="Times New Roman" w:hAnsi="Times New Roman" w:cs="Times New Roman"/>
          <w:sz w:val="28"/>
          <w:szCs w:val="28"/>
          <w:lang w:eastAsia="ru-RU"/>
        </w:rPr>
        <w:t>aquis</w:t>
      </w:r>
      <w:proofErr w:type="spellEnd"/>
      <w:r w:rsidRPr="00B05E9C">
        <w:rPr>
          <w:rFonts w:ascii="Times New Roman" w:eastAsia="Times New Roman" w:hAnsi="Times New Roman" w:cs="Times New Roman"/>
          <w:sz w:val="28"/>
          <w:szCs w:val="28"/>
          <w:lang w:eastAsia="ru-RU"/>
        </w:rPr>
        <w:t xml:space="preserve"> ЄС та Угоді про асоціацію слід зазначити таке.</w:t>
      </w:r>
    </w:p>
    <w:p w:rsidR="004775A7" w:rsidRPr="00B05E9C" w:rsidRDefault="004775A7" w:rsidP="001701BE">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Законопроектом запропонована нова редакція Закону України «Про дозвільну систему у сфері господарської діяльності», яка  визначає правові та організаційні засади функціонування дозвільної системи у сфері господарської діяльності, доступу на ринки на підставі декларації провадження господарської діяльності, встановлює порядок діяльності дозвільних органів, уповноважених видавати документи дозвільного характеру, та адміністраторів.</w:t>
      </w:r>
    </w:p>
    <w:p w:rsidR="00FF25C4" w:rsidRPr="00B05E9C" w:rsidRDefault="00CB2D69" w:rsidP="001701BE">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 xml:space="preserve">Відповідно до положень </w:t>
      </w:r>
      <w:r w:rsidRPr="00B05E9C">
        <w:rPr>
          <w:rFonts w:ascii="Times New Roman" w:eastAsia="Times New Roman" w:hAnsi="Times New Roman" w:cs="Times New Roman"/>
          <w:i/>
          <w:sz w:val="28"/>
          <w:szCs w:val="28"/>
          <w:lang w:eastAsia="ru-RU"/>
        </w:rPr>
        <w:t>статті 282 Угоди про асоціацію</w:t>
      </w:r>
      <w:r w:rsidRPr="00B05E9C">
        <w:rPr>
          <w:rFonts w:ascii="Times New Roman" w:eastAsia="Times New Roman" w:hAnsi="Times New Roman" w:cs="Times New Roman"/>
          <w:sz w:val="28"/>
          <w:szCs w:val="28"/>
          <w:lang w:eastAsia="ru-RU"/>
        </w:rPr>
        <w:t xml:space="preserve">, усвідомлюючи той вплив, який законодавче поле кожної з них може мати на торгівлю між ними, Сторони створюють та підтримують </w:t>
      </w:r>
      <w:r w:rsidRPr="00B05E9C">
        <w:rPr>
          <w:rFonts w:ascii="Times New Roman" w:eastAsia="Times New Roman" w:hAnsi="Times New Roman" w:cs="Times New Roman"/>
          <w:i/>
          <w:sz w:val="28"/>
          <w:szCs w:val="28"/>
          <w:lang w:eastAsia="ru-RU"/>
        </w:rPr>
        <w:t>ефективне та передбачуване законодавче середовище</w:t>
      </w:r>
      <w:r w:rsidRPr="00B05E9C">
        <w:rPr>
          <w:rFonts w:ascii="Times New Roman" w:eastAsia="Times New Roman" w:hAnsi="Times New Roman" w:cs="Times New Roman"/>
          <w:sz w:val="28"/>
          <w:szCs w:val="28"/>
          <w:lang w:eastAsia="ru-RU"/>
        </w:rPr>
        <w:t xml:space="preserve"> </w:t>
      </w:r>
      <w:r w:rsidRPr="00B05E9C">
        <w:rPr>
          <w:rFonts w:ascii="Times New Roman" w:eastAsia="Times New Roman" w:hAnsi="Times New Roman" w:cs="Times New Roman"/>
          <w:i/>
          <w:sz w:val="28"/>
          <w:szCs w:val="28"/>
          <w:lang w:eastAsia="ru-RU"/>
        </w:rPr>
        <w:t>для суб’єктів господарської діяльності</w:t>
      </w:r>
      <w:r w:rsidRPr="00B05E9C">
        <w:rPr>
          <w:rFonts w:ascii="Times New Roman" w:eastAsia="Times New Roman" w:hAnsi="Times New Roman" w:cs="Times New Roman"/>
          <w:sz w:val="28"/>
          <w:szCs w:val="28"/>
          <w:lang w:eastAsia="ru-RU"/>
        </w:rPr>
        <w:t>, що займаються бізнесом на своїй території, особливо для малих, при цьому належним чином враховуючи вимоги правової визначеності та пропорційності.</w:t>
      </w:r>
    </w:p>
    <w:p w:rsidR="00CC2B35" w:rsidRPr="00B05E9C" w:rsidRDefault="00CB2D69" w:rsidP="00CC2B35">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 xml:space="preserve">Згідно зі </w:t>
      </w:r>
      <w:r w:rsidRPr="00B05E9C">
        <w:rPr>
          <w:rFonts w:ascii="Times New Roman" w:eastAsia="Times New Roman" w:hAnsi="Times New Roman" w:cs="Times New Roman"/>
          <w:i/>
          <w:sz w:val="28"/>
          <w:szCs w:val="28"/>
          <w:lang w:eastAsia="ru-RU"/>
        </w:rPr>
        <w:t>статтею 378 Угоди про асоціацію</w:t>
      </w:r>
      <w:r w:rsidRPr="00B05E9C">
        <w:rPr>
          <w:rFonts w:ascii="Times New Roman" w:eastAsia="Times New Roman" w:hAnsi="Times New Roman" w:cs="Times New Roman"/>
          <w:sz w:val="28"/>
          <w:szCs w:val="28"/>
          <w:lang w:eastAsia="ru-RU"/>
        </w:rPr>
        <w:t xml:space="preserve">, Сторони розвивають та зміцнюють співробітництво </w:t>
      </w:r>
      <w:r w:rsidRPr="00B05E9C">
        <w:rPr>
          <w:rFonts w:ascii="Times New Roman" w:eastAsia="Times New Roman" w:hAnsi="Times New Roman" w:cs="Times New Roman"/>
          <w:i/>
          <w:sz w:val="28"/>
          <w:szCs w:val="28"/>
          <w:lang w:eastAsia="ru-RU"/>
        </w:rPr>
        <w:t>з питань політики у сфері промисловості та</w:t>
      </w:r>
      <w:r w:rsidRPr="00B05E9C">
        <w:rPr>
          <w:rFonts w:ascii="Times New Roman" w:eastAsia="Times New Roman" w:hAnsi="Times New Roman" w:cs="Times New Roman"/>
          <w:sz w:val="28"/>
          <w:szCs w:val="28"/>
          <w:lang w:eastAsia="ru-RU"/>
        </w:rPr>
        <w:t xml:space="preserve"> </w:t>
      </w:r>
      <w:r w:rsidRPr="00B05E9C">
        <w:rPr>
          <w:rFonts w:ascii="Times New Roman" w:eastAsia="Times New Roman" w:hAnsi="Times New Roman" w:cs="Times New Roman"/>
          <w:i/>
          <w:sz w:val="28"/>
          <w:szCs w:val="28"/>
          <w:lang w:eastAsia="ru-RU"/>
        </w:rPr>
        <w:t>підприємництва</w:t>
      </w:r>
      <w:r w:rsidRPr="00B05E9C">
        <w:rPr>
          <w:rFonts w:ascii="Times New Roman" w:eastAsia="Times New Roman" w:hAnsi="Times New Roman" w:cs="Times New Roman"/>
          <w:sz w:val="28"/>
          <w:szCs w:val="28"/>
          <w:lang w:eastAsia="ru-RU"/>
        </w:rPr>
        <w:t xml:space="preserve"> </w:t>
      </w:r>
      <w:r w:rsidRPr="00B05E9C">
        <w:rPr>
          <w:rFonts w:ascii="Times New Roman" w:eastAsia="Times New Roman" w:hAnsi="Times New Roman" w:cs="Times New Roman"/>
          <w:i/>
          <w:sz w:val="28"/>
          <w:szCs w:val="28"/>
          <w:lang w:eastAsia="ru-RU"/>
        </w:rPr>
        <w:t>і таким чином покращують умови для підприємницької діяльності для всіх суб’єктів господарювання</w:t>
      </w:r>
      <w:r w:rsidRPr="00B05E9C">
        <w:rPr>
          <w:rFonts w:ascii="Times New Roman" w:eastAsia="Times New Roman" w:hAnsi="Times New Roman" w:cs="Times New Roman"/>
          <w:sz w:val="28"/>
          <w:szCs w:val="28"/>
          <w:lang w:eastAsia="ru-RU"/>
        </w:rPr>
        <w:t xml:space="preserve"> з особливою увагою до малих та середніх підприємств (МСП). Поглиблене співробітництво має покращити адміністративну структуру та нормативно-правову базу для українських і європейських суб’єктів господарювання в Україні та ЄС та повинно ґрунтуватися на політиці ЄС щодо розвитку малого і середнього підприємництва та промисловості з урахуванням визнаних на міжнародному рівні принципів та практики в цих сферах.</w:t>
      </w:r>
      <w:r w:rsidR="00CC2B35" w:rsidRPr="00B05E9C">
        <w:rPr>
          <w:rFonts w:ascii="Times New Roman" w:eastAsia="Times New Roman" w:hAnsi="Times New Roman" w:cs="Times New Roman"/>
          <w:sz w:val="28"/>
          <w:szCs w:val="28"/>
          <w:lang w:eastAsia="ru-RU"/>
        </w:rPr>
        <w:t xml:space="preserve"> </w:t>
      </w:r>
    </w:p>
    <w:p w:rsidR="00CC2B35" w:rsidRPr="00B05E9C" w:rsidRDefault="00CB2D69" w:rsidP="004775A7">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Із цією метою Сторони співробітничають</w:t>
      </w:r>
      <w:r w:rsidR="00CC2B35" w:rsidRPr="00B05E9C">
        <w:rPr>
          <w:rFonts w:ascii="Times New Roman" w:eastAsia="Times New Roman" w:hAnsi="Times New Roman" w:cs="Times New Roman"/>
          <w:sz w:val="28"/>
          <w:szCs w:val="28"/>
          <w:lang w:eastAsia="ru-RU"/>
        </w:rPr>
        <w:t xml:space="preserve">, зокрема, для </w:t>
      </w:r>
      <w:r w:rsidRPr="00B05E9C">
        <w:rPr>
          <w:rFonts w:ascii="Times New Roman" w:eastAsia="Times New Roman" w:hAnsi="Times New Roman" w:cs="Times New Roman"/>
          <w:sz w:val="28"/>
          <w:szCs w:val="28"/>
          <w:lang w:eastAsia="ru-RU"/>
        </w:rPr>
        <w:t>спрощення та раціоналізації нормативно-правових актів та практики з окремим наголосом на обміні провідним досвідом з питань нормативно-правови</w:t>
      </w:r>
      <w:r w:rsidR="00CC2B35" w:rsidRPr="00B05E9C">
        <w:rPr>
          <w:rFonts w:ascii="Times New Roman" w:eastAsia="Times New Roman" w:hAnsi="Times New Roman" w:cs="Times New Roman"/>
          <w:sz w:val="28"/>
          <w:szCs w:val="28"/>
          <w:lang w:eastAsia="ru-RU"/>
        </w:rPr>
        <w:t>х методів, зокрема принципів ЄС (пункт «с» статті 379 Угоди про асоціацію).</w:t>
      </w:r>
    </w:p>
    <w:p w:rsidR="00725D2F" w:rsidRPr="00B05E9C" w:rsidRDefault="00F026D7" w:rsidP="001701BE">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lastRenderedPageBreak/>
        <w:t xml:space="preserve">Відповідно до положень </w:t>
      </w:r>
      <w:r w:rsidRPr="00B05E9C">
        <w:rPr>
          <w:rFonts w:ascii="Times New Roman" w:eastAsia="Times New Roman" w:hAnsi="Times New Roman" w:cs="Times New Roman"/>
          <w:i/>
          <w:sz w:val="28"/>
          <w:szCs w:val="28"/>
          <w:lang w:eastAsia="ru-RU"/>
        </w:rPr>
        <w:t xml:space="preserve">статті </w:t>
      </w:r>
      <w:r w:rsidR="00725D2F" w:rsidRPr="00B05E9C">
        <w:rPr>
          <w:rFonts w:ascii="Times New Roman" w:eastAsia="Times New Roman" w:hAnsi="Times New Roman" w:cs="Times New Roman"/>
          <w:i/>
          <w:sz w:val="28"/>
          <w:szCs w:val="28"/>
          <w:lang w:eastAsia="ru-RU"/>
        </w:rPr>
        <w:t>419</w:t>
      </w:r>
      <w:r w:rsidRPr="00B05E9C">
        <w:rPr>
          <w:rFonts w:ascii="Times New Roman" w:eastAsia="Times New Roman" w:hAnsi="Times New Roman" w:cs="Times New Roman"/>
          <w:i/>
          <w:sz w:val="28"/>
          <w:szCs w:val="28"/>
          <w:lang w:eastAsia="ru-RU"/>
        </w:rPr>
        <w:t xml:space="preserve"> Угоди про асоціацію</w:t>
      </w:r>
      <w:r w:rsidRPr="00B05E9C">
        <w:rPr>
          <w:rFonts w:ascii="Times New Roman" w:eastAsia="Times New Roman" w:hAnsi="Times New Roman" w:cs="Times New Roman"/>
          <w:sz w:val="28"/>
          <w:szCs w:val="28"/>
          <w:lang w:eastAsia="ru-RU"/>
        </w:rPr>
        <w:t xml:space="preserve">, </w:t>
      </w:r>
      <w:r w:rsidR="00725D2F" w:rsidRPr="00B05E9C">
        <w:rPr>
          <w:rFonts w:ascii="Times New Roman" w:eastAsia="Times New Roman" w:hAnsi="Times New Roman" w:cs="Times New Roman"/>
          <w:sz w:val="28"/>
          <w:szCs w:val="28"/>
          <w:lang w:eastAsia="ru-RU"/>
        </w:rPr>
        <w:t>Сторони посилюють діалог та співробітництво щодо забезпечення гідної праці, політики зайнятості, безпечних та здорових умов праці, соціального діалогу, соціального захисту, соціального залучення, гендерної рівності та недискримінації.</w:t>
      </w:r>
    </w:p>
    <w:p w:rsidR="00725D2F" w:rsidRPr="00B05E9C" w:rsidRDefault="00725D2F" w:rsidP="00725D2F">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 xml:space="preserve">Згідно зі </w:t>
      </w:r>
      <w:r w:rsidRPr="00B05E9C">
        <w:rPr>
          <w:rFonts w:ascii="Times New Roman" w:eastAsia="Times New Roman" w:hAnsi="Times New Roman" w:cs="Times New Roman"/>
          <w:i/>
          <w:sz w:val="28"/>
          <w:szCs w:val="28"/>
          <w:lang w:eastAsia="ru-RU"/>
        </w:rPr>
        <w:t>статтею 424 Угоди про асоціацію</w:t>
      </w:r>
      <w:r w:rsidRPr="00B05E9C">
        <w:rPr>
          <w:rFonts w:ascii="Times New Roman" w:eastAsia="Times New Roman" w:hAnsi="Times New Roman" w:cs="Times New Roman"/>
          <w:sz w:val="28"/>
          <w:szCs w:val="28"/>
          <w:lang w:eastAsia="ru-RU"/>
        </w:rPr>
        <w:t>, Україна забезпечує поступове наближення до права, стандартів та практики ЄС у сфері зайнятості, соціальної політики та рівних можливостей, як зазначено у Додатку ХL до цієї Угоди.</w:t>
      </w:r>
    </w:p>
    <w:p w:rsidR="000D7CEF" w:rsidRPr="00B05E9C" w:rsidRDefault="000D7CEF" w:rsidP="00725D2F">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Додатком ХL до Угоди про асоціацію передбачено впровадження положень Директиви Ради № 89/655/ЄЕС від 30.11.1989 року про мінімальні вимоги щодо безпеки і захисту здоров’я при застосуванні працівниками знарядь праці під час роботи (друга окрема директива у значенні статті 16 (1) Директиви № 89/391/ЄЕС). Ця директива була замінена Директивою 2009/104</w:t>
      </w:r>
      <w:r w:rsidR="00B05E9C" w:rsidRPr="00B05E9C">
        <w:t xml:space="preserve"> </w:t>
      </w:r>
      <w:r w:rsidR="00B05E9C" w:rsidRPr="00B05E9C">
        <w:rPr>
          <w:rFonts w:ascii="Times New Roman" w:eastAsia="Times New Roman" w:hAnsi="Times New Roman" w:cs="Times New Roman"/>
          <w:sz w:val="28"/>
          <w:szCs w:val="28"/>
          <w:lang w:eastAsia="ru-RU"/>
        </w:rPr>
        <w:t>Європейського Парламенту та Ради від 16 вересня 2009 року</w:t>
      </w:r>
      <w:r w:rsidRPr="00B05E9C">
        <w:rPr>
          <w:rFonts w:ascii="Times New Roman" w:eastAsia="Times New Roman" w:hAnsi="Times New Roman" w:cs="Times New Roman"/>
          <w:sz w:val="28"/>
          <w:szCs w:val="28"/>
          <w:lang w:eastAsia="ru-RU"/>
        </w:rPr>
        <w:t xml:space="preserve"> щодо мінімальних вимог з безпеки та здоров’я при використанні робочого обладнання працівниками під час роботи (OJ L 260, 3.10.2009, p. 5–19) (далі – Директива 2009/104).</w:t>
      </w:r>
    </w:p>
    <w:p w:rsidR="000D7CEF" w:rsidRPr="00B05E9C" w:rsidRDefault="00B927B1" w:rsidP="00725D2F">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 xml:space="preserve">Запропоновані законопроектом зміни до статті 21 Закону України «Про охорону праці», що право на виконання робіт підвищеної небезпеки та експлуатації (застосування) машин, механізмів та устаткування підвищеної небезпеки суб’єктом господарювання набувається шляхом подання до центрального органу виконавчої влади, що реалізує державну політику у сфері охорони праці, </w:t>
      </w:r>
      <w:r w:rsidRPr="00B05E9C">
        <w:rPr>
          <w:rFonts w:ascii="Times New Roman" w:eastAsia="Times New Roman" w:hAnsi="Times New Roman" w:cs="Times New Roman"/>
          <w:sz w:val="28"/>
          <w:szCs w:val="28"/>
          <w:u w:val="single"/>
          <w:lang w:eastAsia="ru-RU"/>
        </w:rPr>
        <w:t>декларації відповідності</w:t>
      </w:r>
      <w:r w:rsidRPr="00B05E9C">
        <w:rPr>
          <w:rFonts w:ascii="Times New Roman" w:eastAsia="Times New Roman" w:hAnsi="Times New Roman" w:cs="Times New Roman"/>
          <w:sz w:val="28"/>
          <w:szCs w:val="28"/>
          <w:lang w:eastAsia="ru-RU"/>
        </w:rPr>
        <w:t xml:space="preserve"> вимогам законодавства з охорони праці – </w:t>
      </w:r>
      <w:r w:rsidRPr="00B05E9C">
        <w:rPr>
          <w:rFonts w:ascii="Times New Roman" w:eastAsia="Times New Roman" w:hAnsi="Times New Roman" w:cs="Times New Roman"/>
          <w:sz w:val="28"/>
          <w:szCs w:val="28"/>
          <w:u w:val="single"/>
          <w:lang w:eastAsia="ru-RU"/>
        </w:rPr>
        <w:t>узгоджуються</w:t>
      </w:r>
      <w:r w:rsidRPr="00B05E9C">
        <w:rPr>
          <w:rFonts w:ascii="Times New Roman" w:eastAsia="Times New Roman" w:hAnsi="Times New Roman" w:cs="Times New Roman"/>
          <w:sz w:val="28"/>
          <w:szCs w:val="28"/>
          <w:lang w:eastAsia="ru-RU"/>
        </w:rPr>
        <w:t xml:space="preserve"> з положеннями статей 4 та 5 Директиви 2009/14.</w:t>
      </w:r>
    </w:p>
    <w:p w:rsidR="00CC2B35" w:rsidRPr="00B05E9C" w:rsidRDefault="00CC2B35" w:rsidP="00042AE7">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Додатком XXVII до Угоди про асоціацію</w:t>
      </w:r>
      <w:r w:rsidR="004775A7" w:rsidRPr="00B05E9C">
        <w:rPr>
          <w:rFonts w:ascii="Times New Roman" w:eastAsia="Times New Roman" w:hAnsi="Times New Roman" w:cs="Times New Roman"/>
          <w:sz w:val="28"/>
          <w:szCs w:val="28"/>
          <w:lang w:eastAsia="ru-RU"/>
        </w:rPr>
        <w:t>, на заміну Директиви № 96/29/Євратом, передбачено впровадження положень Директиви 2013/59</w:t>
      </w:r>
      <w:r w:rsidR="00B05E9C" w:rsidRPr="00B05E9C">
        <w:rPr>
          <w:rFonts w:ascii="Times New Roman" w:eastAsia="Times New Roman" w:hAnsi="Times New Roman" w:cs="Times New Roman"/>
          <w:sz w:val="28"/>
          <w:szCs w:val="28"/>
          <w:lang w:eastAsia="ru-RU"/>
        </w:rPr>
        <w:t>/</w:t>
      </w:r>
      <w:r w:rsidR="004775A7" w:rsidRPr="00B05E9C">
        <w:rPr>
          <w:rFonts w:ascii="Times New Roman" w:eastAsia="Times New Roman" w:hAnsi="Times New Roman" w:cs="Times New Roman"/>
          <w:sz w:val="28"/>
          <w:szCs w:val="28"/>
          <w:lang w:eastAsia="ru-RU"/>
        </w:rPr>
        <w:t xml:space="preserve"> </w:t>
      </w:r>
      <w:r w:rsidR="00B05E9C" w:rsidRPr="00B05E9C">
        <w:rPr>
          <w:rFonts w:ascii="Times New Roman" w:eastAsia="Times New Roman" w:hAnsi="Times New Roman" w:cs="Times New Roman"/>
          <w:sz w:val="28"/>
          <w:szCs w:val="28"/>
          <w:lang w:eastAsia="ru-RU"/>
        </w:rPr>
        <w:t xml:space="preserve">Євратом від 5 грудня 2013 року </w:t>
      </w:r>
      <w:r w:rsidR="004775A7" w:rsidRPr="00B05E9C">
        <w:rPr>
          <w:rFonts w:ascii="Times New Roman" w:eastAsia="Times New Roman" w:hAnsi="Times New Roman" w:cs="Times New Roman"/>
          <w:sz w:val="28"/>
          <w:szCs w:val="28"/>
          <w:lang w:eastAsia="ru-RU"/>
        </w:rPr>
        <w:t>про встановлення основних норм безпеки для захисту від загроз, зумовлених впливом іонізуючого випромінювання (OJ L 13, 17.1.2014, p. 1–73) (далі – Директива 2013/59).</w:t>
      </w:r>
    </w:p>
    <w:p w:rsidR="00042AE7" w:rsidRPr="00B05E9C" w:rsidRDefault="00042AE7" w:rsidP="00042AE7">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Зміни до частини другої</w:t>
      </w:r>
      <w:r w:rsidR="00CC2B35" w:rsidRPr="00B05E9C">
        <w:rPr>
          <w:rFonts w:ascii="Times New Roman" w:eastAsia="Times New Roman" w:hAnsi="Times New Roman" w:cs="Times New Roman"/>
          <w:sz w:val="28"/>
          <w:szCs w:val="28"/>
          <w:lang w:eastAsia="ru-RU"/>
        </w:rPr>
        <w:t xml:space="preserve"> статті 23 Закону України «</w:t>
      </w:r>
      <w:r w:rsidRPr="00B05E9C">
        <w:rPr>
          <w:rFonts w:ascii="Times New Roman" w:eastAsia="Times New Roman" w:hAnsi="Times New Roman" w:cs="Times New Roman"/>
          <w:sz w:val="28"/>
          <w:szCs w:val="28"/>
          <w:lang w:eastAsia="ru-RU"/>
        </w:rPr>
        <w:t>Про забезпечення санітарного та епід</w:t>
      </w:r>
      <w:r w:rsidR="00CC2B35" w:rsidRPr="00B05E9C">
        <w:rPr>
          <w:rFonts w:ascii="Times New Roman" w:eastAsia="Times New Roman" w:hAnsi="Times New Roman" w:cs="Times New Roman"/>
          <w:sz w:val="28"/>
          <w:szCs w:val="28"/>
          <w:lang w:eastAsia="ru-RU"/>
        </w:rPr>
        <w:t>емічного благополуччя населення»</w:t>
      </w:r>
      <w:r w:rsidRPr="00B05E9C">
        <w:rPr>
          <w:rFonts w:ascii="Times New Roman" w:eastAsia="Times New Roman" w:hAnsi="Times New Roman" w:cs="Times New Roman"/>
          <w:sz w:val="28"/>
          <w:szCs w:val="28"/>
          <w:lang w:eastAsia="ru-RU"/>
        </w:rPr>
        <w:t xml:space="preserve"> щодо виключення слів “з дозволу державної санітарно-епідеміологічної служби та інших державних органів” – </w:t>
      </w:r>
      <w:r w:rsidRPr="00B05E9C">
        <w:rPr>
          <w:rFonts w:ascii="Times New Roman" w:eastAsia="Times New Roman" w:hAnsi="Times New Roman" w:cs="Times New Roman"/>
          <w:sz w:val="28"/>
          <w:szCs w:val="28"/>
          <w:u w:val="single"/>
          <w:lang w:eastAsia="ru-RU"/>
        </w:rPr>
        <w:t>узгоджуються</w:t>
      </w:r>
      <w:r w:rsidRPr="00B05E9C">
        <w:rPr>
          <w:rFonts w:ascii="Times New Roman" w:eastAsia="Times New Roman" w:hAnsi="Times New Roman" w:cs="Times New Roman"/>
          <w:sz w:val="28"/>
          <w:szCs w:val="28"/>
          <w:lang w:eastAsia="ru-RU"/>
        </w:rPr>
        <w:t xml:space="preserve"> зі статтями 24 та 29</w:t>
      </w:r>
      <w:r w:rsidR="004775A7" w:rsidRPr="00B05E9C">
        <w:rPr>
          <w:rFonts w:ascii="Times New Roman" w:eastAsia="Times New Roman" w:hAnsi="Times New Roman" w:cs="Times New Roman"/>
          <w:sz w:val="28"/>
          <w:szCs w:val="28"/>
          <w:lang w:eastAsia="ru-RU"/>
        </w:rPr>
        <w:t xml:space="preserve"> Директиви 2013/59</w:t>
      </w:r>
      <w:r w:rsidRPr="00B05E9C">
        <w:rPr>
          <w:rFonts w:ascii="Times New Roman" w:eastAsia="Times New Roman" w:hAnsi="Times New Roman" w:cs="Times New Roman"/>
          <w:sz w:val="28"/>
          <w:szCs w:val="28"/>
          <w:lang w:eastAsia="ru-RU"/>
        </w:rPr>
        <w:t>, відповідно до якої</w:t>
      </w:r>
      <w:r w:rsidR="00B05E9C" w:rsidRPr="00B05E9C">
        <w:rPr>
          <w:rFonts w:ascii="Times New Roman" w:eastAsia="Times New Roman" w:hAnsi="Times New Roman" w:cs="Times New Roman"/>
          <w:sz w:val="28"/>
          <w:szCs w:val="28"/>
          <w:lang w:eastAsia="ru-RU"/>
        </w:rPr>
        <w:t>,</w:t>
      </w:r>
      <w:r w:rsidRPr="00B05E9C">
        <w:rPr>
          <w:rFonts w:ascii="Times New Roman" w:eastAsia="Times New Roman" w:hAnsi="Times New Roman" w:cs="Times New Roman"/>
          <w:sz w:val="28"/>
          <w:szCs w:val="28"/>
          <w:lang w:eastAsia="ru-RU"/>
        </w:rPr>
        <w:t xml:space="preserve"> отримання документів дозвільного характеру у сфері поводження з радіоактивними речовинами та іншими </w:t>
      </w:r>
      <w:r w:rsidR="004775A7" w:rsidRPr="00B05E9C">
        <w:rPr>
          <w:rFonts w:ascii="Times New Roman" w:eastAsia="Times New Roman" w:hAnsi="Times New Roman" w:cs="Times New Roman"/>
          <w:sz w:val="28"/>
          <w:szCs w:val="28"/>
          <w:lang w:eastAsia="ru-RU"/>
        </w:rPr>
        <w:t>джерелами</w:t>
      </w:r>
      <w:r w:rsidRPr="00B05E9C">
        <w:rPr>
          <w:rFonts w:ascii="Times New Roman" w:eastAsia="Times New Roman" w:hAnsi="Times New Roman" w:cs="Times New Roman"/>
          <w:sz w:val="28"/>
          <w:szCs w:val="28"/>
          <w:lang w:eastAsia="ru-RU"/>
        </w:rPr>
        <w:t xml:space="preserve"> іонізуючого випромінювання не вимагає отримання окремого додаткового дозволу органу, відповідального за санітарно-епідеміологічне благополуччя.</w:t>
      </w:r>
    </w:p>
    <w:p w:rsidR="00FF25C4" w:rsidRPr="00B05E9C" w:rsidRDefault="004775A7" w:rsidP="005432A9">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Додатком ХХХ до Угоди про асоціацію</w:t>
      </w:r>
      <w:r w:rsidR="005432A9" w:rsidRPr="00B05E9C">
        <w:rPr>
          <w:rFonts w:ascii="Times New Roman" w:eastAsia="Times New Roman" w:hAnsi="Times New Roman" w:cs="Times New Roman"/>
          <w:sz w:val="28"/>
          <w:szCs w:val="28"/>
          <w:lang w:eastAsia="ru-RU"/>
        </w:rPr>
        <w:t xml:space="preserve"> передбачена імплементація  </w:t>
      </w:r>
      <w:r w:rsidRPr="00B05E9C">
        <w:rPr>
          <w:rFonts w:ascii="Times New Roman" w:eastAsia="Times New Roman" w:hAnsi="Times New Roman" w:cs="Times New Roman"/>
          <w:sz w:val="28"/>
          <w:szCs w:val="28"/>
          <w:lang w:eastAsia="ru-RU"/>
        </w:rPr>
        <w:t>Директив</w:t>
      </w:r>
      <w:r w:rsidR="005432A9" w:rsidRPr="00B05E9C">
        <w:rPr>
          <w:rFonts w:ascii="Times New Roman" w:eastAsia="Times New Roman" w:hAnsi="Times New Roman" w:cs="Times New Roman"/>
          <w:sz w:val="28"/>
          <w:szCs w:val="28"/>
          <w:lang w:eastAsia="ru-RU"/>
        </w:rPr>
        <w:t>и</w:t>
      </w:r>
      <w:r w:rsidRPr="00B05E9C">
        <w:rPr>
          <w:rFonts w:ascii="Times New Roman" w:eastAsia="Times New Roman" w:hAnsi="Times New Roman" w:cs="Times New Roman"/>
          <w:sz w:val="28"/>
          <w:szCs w:val="28"/>
          <w:lang w:eastAsia="ru-RU"/>
        </w:rPr>
        <w:t xml:space="preserve"> № 2010/75/ЄС </w:t>
      </w:r>
      <w:r w:rsidR="00B05E9C" w:rsidRPr="00B05E9C">
        <w:rPr>
          <w:rFonts w:ascii="Times New Roman" w:eastAsia="Times New Roman" w:hAnsi="Times New Roman" w:cs="Times New Roman"/>
          <w:sz w:val="28"/>
          <w:szCs w:val="28"/>
          <w:lang w:eastAsia="ru-RU"/>
        </w:rPr>
        <w:t xml:space="preserve">Європейського Парламенту та Ради від 24 листопада 2010 року </w:t>
      </w:r>
      <w:r w:rsidRPr="00B05E9C">
        <w:rPr>
          <w:rFonts w:ascii="Times New Roman" w:eastAsia="Times New Roman" w:hAnsi="Times New Roman" w:cs="Times New Roman"/>
          <w:sz w:val="28"/>
          <w:szCs w:val="28"/>
          <w:lang w:eastAsia="ru-RU"/>
        </w:rPr>
        <w:t xml:space="preserve">про промислові викиди </w:t>
      </w:r>
      <w:r w:rsidR="005432A9" w:rsidRPr="00B05E9C">
        <w:rPr>
          <w:rFonts w:ascii="Times New Roman" w:eastAsia="Times New Roman" w:hAnsi="Times New Roman" w:cs="Times New Roman"/>
          <w:sz w:val="28"/>
          <w:szCs w:val="28"/>
          <w:lang w:eastAsia="ru-RU"/>
        </w:rPr>
        <w:t>(OJ L 334, 17.12.2010, p. 17–119) (далі – Директива 2010/75), якою встановлено вимоги до заяви на отримання дозволу.</w:t>
      </w:r>
    </w:p>
    <w:p w:rsidR="005432A9" w:rsidRPr="00B05E9C" w:rsidRDefault="005432A9" w:rsidP="005432A9">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lastRenderedPageBreak/>
        <w:t>Запропоновані законопроектом зміни до статті 11</w:t>
      </w:r>
      <w:r w:rsidRPr="00B05E9C">
        <w:rPr>
          <w:rFonts w:ascii="Times New Roman" w:eastAsia="Times New Roman" w:hAnsi="Times New Roman" w:cs="Times New Roman"/>
          <w:sz w:val="28"/>
          <w:szCs w:val="28"/>
          <w:vertAlign w:val="superscript"/>
          <w:lang w:eastAsia="ru-RU"/>
        </w:rPr>
        <w:t>1</w:t>
      </w:r>
      <w:r w:rsidRPr="00B05E9C">
        <w:rPr>
          <w:rFonts w:ascii="Times New Roman" w:eastAsia="Times New Roman" w:hAnsi="Times New Roman" w:cs="Times New Roman"/>
          <w:sz w:val="28"/>
          <w:szCs w:val="28"/>
          <w:lang w:eastAsia="ru-RU"/>
        </w:rPr>
        <w:t xml:space="preserve"> </w:t>
      </w:r>
      <w:r w:rsidR="00FF25C4" w:rsidRPr="00B05E9C">
        <w:rPr>
          <w:rFonts w:ascii="Times New Roman" w:eastAsia="Times New Roman" w:hAnsi="Times New Roman" w:cs="Times New Roman"/>
          <w:sz w:val="28"/>
          <w:szCs w:val="28"/>
          <w:lang w:eastAsia="ru-RU"/>
        </w:rPr>
        <w:t>Закон</w:t>
      </w:r>
      <w:r w:rsidRPr="00B05E9C">
        <w:rPr>
          <w:rFonts w:ascii="Times New Roman" w:eastAsia="Times New Roman" w:hAnsi="Times New Roman" w:cs="Times New Roman"/>
          <w:sz w:val="28"/>
          <w:szCs w:val="28"/>
          <w:lang w:eastAsia="ru-RU"/>
        </w:rPr>
        <w:t>у України «</w:t>
      </w:r>
      <w:r w:rsidR="00FF25C4" w:rsidRPr="00B05E9C">
        <w:rPr>
          <w:rFonts w:ascii="Times New Roman" w:eastAsia="Times New Roman" w:hAnsi="Times New Roman" w:cs="Times New Roman"/>
          <w:sz w:val="28"/>
          <w:szCs w:val="28"/>
          <w:lang w:eastAsia="ru-RU"/>
        </w:rPr>
        <w:t>П</w:t>
      </w:r>
      <w:r w:rsidRPr="00B05E9C">
        <w:rPr>
          <w:rFonts w:ascii="Times New Roman" w:eastAsia="Times New Roman" w:hAnsi="Times New Roman" w:cs="Times New Roman"/>
          <w:sz w:val="28"/>
          <w:szCs w:val="28"/>
          <w:lang w:eastAsia="ru-RU"/>
        </w:rPr>
        <w:t xml:space="preserve">ро охорону атмосферного повітря» </w:t>
      </w:r>
      <w:r w:rsidRPr="00B05E9C">
        <w:rPr>
          <w:rFonts w:ascii="Times New Roman" w:eastAsia="Times New Roman" w:hAnsi="Times New Roman" w:cs="Times New Roman"/>
          <w:sz w:val="28"/>
          <w:szCs w:val="28"/>
          <w:u w:val="single"/>
          <w:lang w:eastAsia="ru-RU"/>
        </w:rPr>
        <w:t>узгоджуються</w:t>
      </w:r>
      <w:r w:rsidRPr="00B05E9C">
        <w:rPr>
          <w:rFonts w:ascii="Times New Roman" w:eastAsia="Times New Roman" w:hAnsi="Times New Roman" w:cs="Times New Roman"/>
          <w:sz w:val="28"/>
          <w:szCs w:val="28"/>
          <w:lang w:eastAsia="ru-RU"/>
        </w:rPr>
        <w:t xml:space="preserve"> зі статтею 12 Директиви 2010/75.</w:t>
      </w:r>
    </w:p>
    <w:p w:rsidR="00FF25C4" w:rsidRPr="00B05E9C" w:rsidRDefault="005C666F" w:rsidP="005C666F">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З</w:t>
      </w:r>
      <w:r w:rsidR="005432A9" w:rsidRPr="00B05E9C">
        <w:rPr>
          <w:rFonts w:ascii="Times New Roman" w:eastAsia="Times New Roman" w:hAnsi="Times New Roman" w:cs="Times New Roman"/>
          <w:sz w:val="28"/>
          <w:szCs w:val="28"/>
          <w:lang w:eastAsia="ru-RU"/>
        </w:rPr>
        <w:t xml:space="preserve">мінами до статті 46 Закону України «Про карантин рослин» встановлюється строк дії фітосанітарного сертифіката та фітосанітарного сертифіката на реекспорт на території України, який становить чотирнадцять календарних днів з дня його видачі. Таке положення </w:t>
      </w:r>
      <w:r w:rsidR="005432A9" w:rsidRPr="00B05E9C">
        <w:rPr>
          <w:rFonts w:ascii="Times New Roman" w:eastAsia="Times New Roman" w:hAnsi="Times New Roman" w:cs="Times New Roman"/>
          <w:sz w:val="28"/>
          <w:szCs w:val="28"/>
          <w:u w:val="single"/>
          <w:lang w:eastAsia="ru-RU"/>
        </w:rPr>
        <w:t>відповідає</w:t>
      </w:r>
      <w:r w:rsidR="005432A9" w:rsidRPr="00B05E9C">
        <w:rPr>
          <w:rFonts w:ascii="Times New Roman" w:eastAsia="Times New Roman" w:hAnsi="Times New Roman" w:cs="Times New Roman"/>
          <w:sz w:val="28"/>
          <w:szCs w:val="28"/>
          <w:lang w:eastAsia="ru-RU"/>
        </w:rPr>
        <w:t xml:space="preserve"> </w:t>
      </w:r>
      <w:r w:rsidRPr="00B05E9C">
        <w:rPr>
          <w:rFonts w:ascii="Times New Roman" w:eastAsia="Times New Roman" w:hAnsi="Times New Roman" w:cs="Times New Roman"/>
          <w:sz w:val="28"/>
          <w:szCs w:val="28"/>
          <w:lang w:eastAsia="ru-RU"/>
        </w:rPr>
        <w:t xml:space="preserve">положенням пункту (с) частини 2 статті 76 </w:t>
      </w:r>
      <w:r w:rsidR="005432A9" w:rsidRPr="00B05E9C">
        <w:rPr>
          <w:rFonts w:ascii="Times New Roman" w:eastAsia="Times New Roman" w:hAnsi="Times New Roman" w:cs="Times New Roman"/>
          <w:sz w:val="28"/>
          <w:szCs w:val="28"/>
          <w:lang w:eastAsia="ru-RU"/>
        </w:rPr>
        <w:t>Регламенту 2016/2031</w:t>
      </w:r>
      <w:r w:rsidR="00103248" w:rsidRPr="00B05E9C">
        <w:t xml:space="preserve"> </w:t>
      </w:r>
      <w:r w:rsidR="00103248" w:rsidRPr="00B05E9C">
        <w:rPr>
          <w:rFonts w:ascii="Times New Roman" w:eastAsia="Times New Roman" w:hAnsi="Times New Roman" w:cs="Times New Roman"/>
          <w:sz w:val="28"/>
          <w:szCs w:val="28"/>
          <w:lang w:eastAsia="ru-RU"/>
        </w:rPr>
        <w:t>Європейського парламенту Ради від 26 жовтня 2016 року про захисні заходи проти шкідників рослин</w:t>
      </w:r>
      <w:r w:rsidRPr="00B05E9C">
        <w:rPr>
          <w:rFonts w:ascii="Times New Roman" w:eastAsia="Times New Roman" w:hAnsi="Times New Roman" w:cs="Times New Roman"/>
          <w:sz w:val="28"/>
          <w:szCs w:val="28"/>
          <w:lang w:eastAsia="ru-RU"/>
        </w:rPr>
        <w:t xml:space="preserve"> (OJ L 317, 23.11.2016, p. 4–104)</w:t>
      </w:r>
      <w:r w:rsidR="001F43CA">
        <w:rPr>
          <w:rFonts w:ascii="Times New Roman" w:eastAsia="Times New Roman" w:hAnsi="Times New Roman" w:cs="Times New Roman"/>
          <w:sz w:val="28"/>
          <w:szCs w:val="28"/>
          <w:lang w:eastAsia="ru-RU"/>
        </w:rPr>
        <w:t xml:space="preserve"> (далі – Регламент 2016/2031)</w:t>
      </w:r>
      <w:r w:rsidRPr="00B05E9C">
        <w:rPr>
          <w:rFonts w:ascii="Times New Roman" w:eastAsia="Times New Roman" w:hAnsi="Times New Roman" w:cs="Times New Roman"/>
          <w:sz w:val="28"/>
          <w:szCs w:val="28"/>
          <w:lang w:eastAsia="ru-RU"/>
        </w:rPr>
        <w:t xml:space="preserve">, </w:t>
      </w:r>
      <w:r w:rsidR="00FF25C4" w:rsidRPr="00B05E9C">
        <w:rPr>
          <w:rFonts w:ascii="Times New Roman" w:eastAsia="Times New Roman" w:hAnsi="Times New Roman" w:cs="Times New Roman"/>
          <w:sz w:val="28"/>
          <w:szCs w:val="28"/>
          <w:lang w:eastAsia="ru-RU"/>
        </w:rPr>
        <w:t xml:space="preserve">відповідно до якого компетентний орган може прийняти </w:t>
      </w:r>
      <w:proofErr w:type="spellStart"/>
      <w:r w:rsidR="00FF25C4" w:rsidRPr="00B05E9C">
        <w:rPr>
          <w:rFonts w:ascii="Times New Roman" w:eastAsia="Times New Roman" w:hAnsi="Times New Roman" w:cs="Times New Roman"/>
          <w:sz w:val="28"/>
          <w:szCs w:val="28"/>
          <w:lang w:eastAsia="ru-RU"/>
        </w:rPr>
        <w:t>фітосанітарний</w:t>
      </w:r>
      <w:proofErr w:type="spellEnd"/>
      <w:r w:rsidR="00FF25C4" w:rsidRPr="00B05E9C">
        <w:rPr>
          <w:rFonts w:ascii="Times New Roman" w:eastAsia="Times New Roman" w:hAnsi="Times New Roman" w:cs="Times New Roman"/>
          <w:sz w:val="28"/>
          <w:szCs w:val="28"/>
          <w:lang w:eastAsia="ru-RU"/>
        </w:rPr>
        <w:t xml:space="preserve"> сертифікат, строк дії якого не перевищує 14 днів.</w:t>
      </w:r>
    </w:p>
    <w:p w:rsidR="001F43CA" w:rsidRDefault="001F43CA" w:rsidP="00C47EF0">
      <w:pPr>
        <w:spacing w:after="0" w:line="276" w:lineRule="auto"/>
        <w:ind w:firstLine="567"/>
        <w:jc w:val="both"/>
        <w:rPr>
          <w:rFonts w:ascii="Times New Roman" w:eastAsia="Times New Roman" w:hAnsi="Times New Roman" w:cs="Times New Roman"/>
          <w:sz w:val="28"/>
          <w:szCs w:val="28"/>
          <w:lang w:eastAsia="ru-RU"/>
        </w:rPr>
      </w:pPr>
      <w:r w:rsidRPr="00F202AA">
        <w:rPr>
          <w:rFonts w:ascii="Times New Roman" w:eastAsia="Times New Roman" w:hAnsi="Times New Roman" w:cs="Times New Roman"/>
          <w:sz w:val="28"/>
          <w:szCs w:val="28"/>
          <w:lang w:eastAsia="ru-RU"/>
        </w:rPr>
        <w:t xml:space="preserve">В той же час, Регламентом 2016/2031 передбачені умови видачі та скасування фітосанітарного сертифіката, які </w:t>
      </w:r>
      <w:r w:rsidRPr="00F202AA">
        <w:rPr>
          <w:rFonts w:ascii="Times New Roman" w:eastAsia="Times New Roman" w:hAnsi="Times New Roman" w:cs="Times New Roman"/>
          <w:sz w:val="28"/>
          <w:szCs w:val="28"/>
          <w:u w:val="single"/>
          <w:lang w:eastAsia="ru-RU"/>
        </w:rPr>
        <w:t>не враховані</w:t>
      </w:r>
      <w:r w:rsidRPr="00F202AA">
        <w:rPr>
          <w:rFonts w:ascii="Times New Roman" w:eastAsia="Times New Roman" w:hAnsi="Times New Roman" w:cs="Times New Roman"/>
          <w:sz w:val="28"/>
          <w:szCs w:val="28"/>
          <w:lang w:eastAsia="ru-RU"/>
        </w:rPr>
        <w:t xml:space="preserve"> в положеннях законопроекту.</w:t>
      </w:r>
    </w:p>
    <w:p w:rsidR="00FF25C4" w:rsidRPr="00B05E9C" w:rsidRDefault="00C47EF0" w:rsidP="00C47EF0">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 xml:space="preserve">Змінами до статті 7 </w:t>
      </w:r>
      <w:r w:rsidR="00FF25C4" w:rsidRPr="00B05E9C">
        <w:rPr>
          <w:rFonts w:ascii="Times New Roman" w:eastAsia="Times New Roman" w:hAnsi="Times New Roman" w:cs="Times New Roman"/>
          <w:sz w:val="28"/>
          <w:szCs w:val="28"/>
          <w:lang w:eastAsia="ru-RU"/>
        </w:rPr>
        <w:t>Закон</w:t>
      </w:r>
      <w:r w:rsidRPr="00B05E9C">
        <w:rPr>
          <w:rFonts w:ascii="Times New Roman" w:eastAsia="Times New Roman" w:hAnsi="Times New Roman" w:cs="Times New Roman"/>
          <w:sz w:val="28"/>
          <w:szCs w:val="28"/>
          <w:lang w:eastAsia="ru-RU"/>
        </w:rPr>
        <w:t>у України «</w:t>
      </w:r>
      <w:r w:rsidR="00FF25C4" w:rsidRPr="00B05E9C">
        <w:rPr>
          <w:rFonts w:ascii="Times New Roman" w:eastAsia="Times New Roman" w:hAnsi="Times New Roman" w:cs="Times New Roman"/>
          <w:sz w:val="28"/>
          <w:szCs w:val="28"/>
          <w:lang w:eastAsia="ru-RU"/>
        </w:rPr>
        <w:t>Про ліцензування</w:t>
      </w:r>
      <w:r w:rsidRPr="00B05E9C">
        <w:rPr>
          <w:rFonts w:ascii="Times New Roman" w:eastAsia="Times New Roman" w:hAnsi="Times New Roman" w:cs="Times New Roman"/>
          <w:sz w:val="28"/>
          <w:szCs w:val="28"/>
          <w:lang w:eastAsia="ru-RU"/>
        </w:rPr>
        <w:t xml:space="preserve"> видів господарської діяльності» передбачено виключити перероблення та захоронення побутових відходів з переліку </w:t>
      </w:r>
      <w:r w:rsidR="00FF25C4" w:rsidRPr="00B05E9C">
        <w:rPr>
          <w:rFonts w:ascii="Times New Roman" w:eastAsia="Times New Roman" w:hAnsi="Times New Roman" w:cs="Times New Roman"/>
          <w:sz w:val="28"/>
          <w:szCs w:val="28"/>
          <w:lang w:eastAsia="ru-RU"/>
        </w:rPr>
        <w:t>видів господарської діяльності, що підлягають ліцензуванню</w:t>
      </w:r>
      <w:r w:rsidRPr="00B05E9C">
        <w:rPr>
          <w:rFonts w:ascii="Times New Roman" w:eastAsia="Times New Roman" w:hAnsi="Times New Roman" w:cs="Times New Roman"/>
          <w:sz w:val="28"/>
          <w:szCs w:val="28"/>
          <w:lang w:eastAsia="ru-RU"/>
        </w:rPr>
        <w:t>.</w:t>
      </w:r>
    </w:p>
    <w:p w:rsidR="00FF25C4" w:rsidRPr="00B05E9C" w:rsidRDefault="00C47EF0" w:rsidP="00FF25C4">
      <w:pPr>
        <w:spacing w:after="0" w:line="276" w:lineRule="auto"/>
        <w:ind w:firstLine="567"/>
        <w:jc w:val="both"/>
        <w:rPr>
          <w:rFonts w:ascii="Times New Roman" w:eastAsia="Times New Roman" w:hAnsi="Times New Roman" w:cs="Times New Roman"/>
          <w:sz w:val="28"/>
          <w:szCs w:val="28"/>
          <w:lang w:eastAsia="ru-RU"/>
        </w:rPr>
      </w:pPr>
      <w:r w:rsidRPr="00B05E9C">
        <w:rPr>
          <w:rFonts w:ascii="Times New Roman" w:eastAsia="Times New Roman" w:hAnsi="Times New Roman" w:cs="Times New Roman"/>
          <w:sz w:val="28"/>
          <w:szCs w:val="28"/>
          <w:lang w:eastAsia="ru-RU"/>
        </w:rPr>
        <w:t>Такі зміни</w:t>
      </w:r>
      <w:r w:rsidR="00FF25C4" w:rsidRPr="00B05E9C">
        <w:rPr>
          <w:rFonts w:ascii="Times New Roman" w:eastAsia="Times New Roman" w:hAnsi="Times New Roman" w:cs="Times New Roman"/>
          <w:sz w:val="28"/>
          <w:szCs w:val="28"/>
          <w:lang w:eastAsia="ru-RU"/>
        </w:rPr>
        <w:t xml:space="preserve"> </w:t>
      </w:r>
      <w:r w:rsidR="00FF25C4" w:rsidRPr="00B05E9C">
        <w:rPr>
          <w:rFonts w:ascii="Times New Roman" w:eastAsia="Times New Roman" w:hAnsi="Times New Roman" w:cs="Times New Roman"/>
          <w:sz w:val="28"/>
          <w:szCs w:val="28"/>
          <w:u w:val="single"/>
          <w:lang w:eastAsia="ru-RU"/>
        </w:rPr>
        <w:t>не суперечать</w:t>
      </w:r>
      <w:r w:rsidR="00FF25C4" w:rsidRPr="00B05E9C">
        <w:rPr>
          <w:rFonts w:ascii="Times New Roman" w:eastAsia="Times New Roman" w:hAnsi="Times New Roman" w:cs="Times New Roman"/>
          <w:sz w:val="28"/>
          <w:szCs w:val="28"/>
          <w:lang w:eastAsia="ru-RU"/>
        </w:rPr>
        <w:t xml:space="preserve"> </w:t>
      </w:r>
      <w:r w:rsidRPr="00B05E9C">
        <w:rPr>
          <w:rFonts w:ascii="Times New Roman" w:eastAsia="Times New Roman" w:hAnsi="Times New Roman" w:cs="Times New Roman"/>
          <w:sz w:val="28"/>
          <w:szCs w:val="28"/>
          <w:lang w:eastAsia="ru-RU"/>
        </w:rPr>
        <w:t xml:space="preserve">положенням статті 23 </w:t>
      </w:r>
      <w:r w:rsidR="00FF25C4" w:rsidRPr="00B05E9C">
        <w:rPr>
          <w:rFonts w:ascii="Times New Roman" w:eastAsia="Times New Roman" w:hAnsi="Times New Roman" w:cs="Times New Roman"/>
          <w:sz w:val="28"/>
          <w:szCs w:val="28"/>
          <w:lang w:eastAsia="ru-RU"/>
        </w:rPr>
        <w:t>Директив</w:t>
      </w:r>
      <w:r w:rsidRPr="00B05E9C">
        <w:rPr>
          <w:rFonts w:ascii="Times New Roman" w:eastAsia="Times New Roman" w:hAnsi="Times New Roman" w:cs="Times New Roman"/>
          <w:sz w:val="28"/>
          <w:szCs w:val="28"/>
          <w:lang w:eastAsia="ru-RU"/>
        </w:rPr>
        <w:t>и</w:t>
      </w:r>
      <w:r w:rsidR="00FF25C4" w:rsidRPr="00B05E9C">
        <w:rPr>
          <w:rFonts w:ascii="Times New Roman" w:eastAsia="Times New Roman" w:hAnsi="Times New Roman" w:cs="Times New Roman"/>
          <w:sz w:val="28"/>
          <w:szCs w:val="28"/>
          <w:lang w:eastAsia="ru-RU"/>
        </w:rPr>
        <w:t xml:space="preserve"> 2008/98</w:t>
      </w:r>
      <w:r w:rsidRPr="00B05E9C">
        <w:rPr>
          <w:rFonts w:ascii="Times New Roman" w:eastAsia="Times New Roman" w:hAnsi="Times New Roman" w:cs="Times New Roman"/>
          <w:sz w:val="28"/>
          <w:szCs w:val="28"/>
          <w:lang w:eastAsia="ru-RU"/>
        </w:rPr>
        <w:t xml:space="preserve"> Європейського Парламенту та Ради від 19 листопада 2008 року про відходи (OJ L 312, 22.11.2008, p. 3–30)</w:t>
      </w:r>
      <w:r w:rsidR="00FF25C4" w:rsidRPr="00B05E9C">
        <w:rPr>
          <w:rFonts w:ascii="Times New Roman" w:eastAsia="Times New Roman" w:hAnsi="Times New Roman" w:cs="Times New Roman"/>
          <w:sz w:val="28"/>
          <w:szCs w:val="28"/>
          <w:lang w:eastAsia="ru-RU"/>
        </w:rPr>
        <w:t xml:space="preserve"> та </w:t>
      </w:r>
      <w:r w:rsidRPr="00B05E9C">
        <w:rPr>
          <w:rFonts w:ascii="Times New Roman" w:eastAsia="Times New Roman" w:hAnsi="Times New Roman" w:cs="Times New Roman"/>
          <w:sz w:val="28"/>
          <w:szCs w:val="28"/>
          <w:lang w:eastAsia="ru-RU"/>
        </w:rPr>
        <w:t xml:space="preserve">положенням статей 7 і 9 Директиви </w:t>
      </w:r>
      <w:r w:rsidR="00FF25C4" w:rsidRPr="00B05E9C">
        <w:rPr>
          <w:rFonts w:ascii="Times New Roman" w:eastAsia="Times New Roman" w:hAnsi="Times New Roman" w:cs="Times New Roman"/>
          <w:sz w:val="28"/>
          <w:szCs w:val="28"/>
          <w:lang w:eastAsia="ru-RU"/>
        </w:rPr>
        <w:t>1999/31</w:t>
      </w:r>
      <w:r w:rsidR="00103248" w:rsidRPr="00B05E9C">
        <w:rPr>
          <w:rFonts w:ascii="Times New Roman" w:eastAsia="Times New Roman" w:hAnsi="Times New Roman" w:cs="Times New Roman"/>
          <w:sz w:val="28"/>
          <w:szCs w:val="28"/>
          <w:lang w:eastAsia="ru-RU"/>
        </w:rPr>
        <w:t xml:space="preserve"> від 26 квітня 1999 року про звалище відходів (OJ L 182, 16.7.1999, p. 1–19)</w:t>
      </w:r>
      <w:r w:rsidR="00FF25C4" w:rsidRPr="00B05E9C">
        <w:rPr>
          <w:rFonts w:ascii="Times New Roman" w:eastAsia="Times New Roman" w:hAnsi="Times New Roman" w:cs="Times New Roman"/>
          <w:sz w:val="28"/>
          <w:szCs w:val="28"/>
          <w:lang w:eastAsia="ru-RU"/>
        </w:rPr>
        <w:t xml:space="preserve">, імплементація яких передбачена Додатком ХХХ до Угоди про асоціацію, якими передбачено, що будь-який суб'єкт господарювання, який має намір здійснювати операції поводження з відходами повинен отримати </w:t>
      </w:r>
      <w:r w:rsidR="00FF25C4" w:rsidRPr="00B05E9C">
        <w:rPr>
          <w:rFonts w:ascii="Times New Roman" w:eastAsia="Times New Roman" w:hAnsi="Times New Roman" w:cs="Times New Roman"/>
          <w:sz w:val="28"/>
          <w:szCs w:val="28"/>
          <w:u w:val="single"/>
          <w:lang w:eastAsia="ru-RU"/>
        </w:rPr>
        <w:t>дозвіл</w:t>
      </w:r>
      <w:r w:rsidR="00FF25C4" w:rsidRPr="00B05E9C">
        <w:rPr>
          <w:rFonts w:ascii="Times New Roman" w:eastAsia="Times New Roman" w:hAnsi="Times New Roman" w:cs="Times New Roman"/>
          <w:sz w:val="28"/>
          <w:szCs w:val="28"/>
          <w:lang w:eastAsia="ru-RU"/>
        </w:rPr>
        <w:t xml:space="preserve"> від компетентного органу.</w:t>
      </w:r>
    </w:p>
    <w:p w:rsidR="00725D2F" w:rsidRDefault="00725D2F" w:rsidP="002339E5">
      <w:pPr>
        <w:spacing w:after="0" w:line="276" w:lineRule="auto"/>
        <w:jc w:val="both"/>
        <w:rPr>
          <w:rFonts w:ascii="Times New Roman" w:hAnsi="Times New Roman"/>
          <w:sz w:val="28"/>
          <w:szCs w:val="28"/>
        </w:rPr>
      </w:pPr>
    </w:p>
    <w:p w:rsidR="00CB1B77" w:rsidRPr="00B05E9C" w:rsidRDefault="000554C3" w:rsidP="001701BE">
      <w:pPr>
        <w:spacing w:after="0" w:line="276" w:lineRule="auto"/>
        <w:ind w:firstLine="567"/>
        <w:jc w:val="both"/>
        <w:rPr>
          <w:rFonts w:ascii="Times New Roman" w:hAnsi="Times New Roman"/>
          <w:sz w:val="28"/>
          <w:szCs w:val="28"/>
        </w:rPr>
      </w:pPr>
      <w:r w:rsidRPr="00B05E9C">
        <w:rPr>
          <w:rFonts w:ascii="Times New Roman" w:hAnsi="Times New Roman"/>
          <w:sz w:val="28"/>
          <w:szCs w:val="28"/>
        </w:rPr>
        <w:t xml:space="preserve">З огляду на зазначене, проект Закону </w:t>
      </w:r>
      <w:r w:rsidR="001F43CA" w:rsidRPr="00F202AA">
        <w:rPr>
          <w:rFonts w:ascii="Times New Roman" w:hAnsi="Times New Roman"/>
          <w:b/>
          <w:sz w:val="28"/>
          <w:szCs w:val="28"/>
        </w:rPr>
        <w:t xml:space="preserve">відповідає цілями Угоди про асоціацію, в цілому </w:t>
      </w:r>
      <w:r w:rsidRPr="00F202AA">
        <w:rPr>
          <w:rFonts w:ascii="Times New Roman" w:hAnsi="Times New Roman"/>
          <w:b/>
          <w:sz w:val="28"/>
          <w:szCs w:val="28"/>
        </w:rPr>
        <w:t>не суперечить</w:t>
      </w:r>
      <w:r w:rsidR="00E86A7E" w:rsidRPr="00F202AA">
        <w:rPr>
          <w:rFonts w:ascii="Times New Roman" w:hAnsi="Times New Roman"/>
          <w:b/>
          <w:sz w:val="28"/>
          <w:szCs w:val="28"/>
        </w:rPr>
        <w:t xml:space="preserve"> міжнародно-правовим зобов’язанням у сфері європейської інтеграції</w:t>
      </w:r>
      <w:r w:rsidR="001F43CA" w:rsidRPr="00F202AA">
        <w:rPr>
          <w:rFonts w:ascii="Times New Roman" w:hAnsi="Times New Roman"/>
          <w:b/>
          <w:sz w:val="28"/>
          <w:szCs w:val="28"/>
        </w:rPr>
        <w:t>, але потребує доопрацювання</w:t>
      </w:r>
      <w:r w:rsidR="001F43CA" w:rsidRPr="00F202AA">
        <w:rPr>
          <w:rFonts w:ascii="Times New Roman" w:hAnsi="Times New Roman"/>
          <w:sz w:val="28"/>
          <w:szCs w:val="28"/>
        </w:rPr>
        <w:t xml:space="preserve"> з метою повного врахування положень Регламенту 2016/2031 щодо </w:t>
      </w:r>
      <w:r w:rsidR="00F202AA">
        <w:rPr>
          <w:rFonts w:ascii="Times New Roman" w:hAnsi="Times New Roman"/>
          <w:sz w:val="28"/>
          <w:szCs w:val="28"/>
        </w:rPr>
        <w:t xml:space="preserve">умов та </w:t>
      </w:r>
      <w:r w:rsidR="001F43CA" w:rsidRPr="00F202AA">
        <w:rPr>
          <w:rFonts w:ascii="Times New Roman" w:hAnsi="Times New Roman"/>
          <w:sz w:val="28"/>
          <w:szCs w:val="28"/>
        </w:rPr>
        <w:t>порядку отримання</w:t>
      </w:r>
      <w:r w:rsidR="00F202AA">
        <w:rPr>
          <w:rFonts w:ascii="Times New Roman" w:hAnsi="Times New Roman"/>
          <w:sz w:val="28"/>
          <w:szCs w:val="28"/>
        </w:rPr>
        <w:t xml:space="preserve"> </w:t>
      </w:r>
      <w:r w:rsidR="001F43CA" w:rsidRPr="00F202AA">
        <w:rPr>
          <w:rFonts w:ascii="Times New Roman" w:hAnsi="Times New Roman"/>
          <w:sz w:val="28"/>
          <w:szCs w:val="28"/>
        </w:rPr>
        <w:t>фітосанітарного сертифіката</w:t>
      </w:r>
      <w:r w:rsidR="00F202AA">
        <w:rPr>
          <w:rFonts w:ascii="Times New Roman" w:hAnsi="Times New Roman"/>
          <w:sz w:val="28"/>
          <w:szCs w:val="28"/>
        </w:rPr>
        <w:t>, або визнання його недійсним</w:t>
      </w:r>
      <w:r w:rsidR="001F43CA" w:rsidRPr="00F202AA">
        <w:rPr>
          <w:rFonts w:ascii="Times New Roman" w:hAnsi="Times New Roman"/>
          <w:sz w:val="28"/>
          <w:szCs w:val="28"/>
        </w:rPr>
        <w:t>.</w:t>
      </w:r>
    </w:p>
    <w:p w:rsidR="00E86A7E" w:rsidRDefault="00E86A7E" w:rsidP="00E86A7E">
      <w:pPr>
        <w:spacing w:after="0" w:line="276" w:lineRule="auto"/>
        <w:jc w:val="both"/>
        <w:rPr>
          <w:rFonts w:ascii="Times New Roman" w:hAnsi="Times New Roman"/>
          <w:b/>
          <w:sz w:val="28"/>
          <w:szCs w:val="28"/>
        </w:rPr>
      </w:pPr>
    </w:p>
    <w:p w:rsidR="001F43CA" w:rsidRDefault="001F43CA" w:rsidP="00E86A7E">
      <w:pPr>
        <w:spacing w:after="0" w:line="276" w:lineRule="auto"/>
        <w:jc w:val="both"/>
        <w:rPr>
          <w:rFonts w:ascii="Times New Roman" w:hAnsi="Times New Roman"/>
          <w:b/>
          <w:sz w:val="28"/>
          <w:szCs w:val="28"/>
        </w:rPr>
      </w:pPr>
      <w:bookmarkStart w:id="0" w:name="_GoBack"/>
      <w:bookmarkEnd w:id="0"/>
    </w:p>
    <w:p w:rsidR="00977952" w:rsidRPr="00977952" w:rsidRDefault="001F43CA" w:rsidP="001701BE">
      <w:pPr>
        <w:spacing w:after="0" w:line="276" w:lineRule="auto"/>
        <w:ind w:firstLine="567"/>
        <w:jc w:val="both"/>
        <w:rPr>
          <w:rFonts w:ascii="Times New Roman" w:hAnsi="Times New Roman" w:cs="Times New Roman"/>
          <w:sz w:val="28"/>
          <w:szCs w:val="28"/>
        </w:rPr>
      </w:pPr>
      <w:r>
        <w:rPr>
          <w:rFonts w:ascii="Times New Roman" w:hAnsi="Times New Roman"/>
          <w:b/>
          <w:sz w:val="28"/>
          <w:szCs w:val="28"/>
        </w:rPr>
        <w:t>Голова Комітету                                               І.О. КЛИМПУШ-ЦИНЦАДЗЕ</w:t>
      </w:r>
    </w:p>
    <w:sectPr w:rsidR="00977952" w:rsidRPr="00977952" w:rsidSect="009B6357">
      <w:headerReference w:type="default" r:id="rId9"/>
      <w:headerReference w:type="first" r:id="rId10"/>
      <w:pgSz w:w="11906" w:h="16838"/>
      <w:pgMar w:top="426" w:right="850" w:bottom="851"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75F" w:rsidRDefault="0044075F" w:rsidP="008A5974">
      <w:pPr>
        <w:spacing w:after="0" w:line="240" w:lineRule="auto"/>
      </w:pPr>
      <w:r>
        <w:separator/>
      </w:r>
    </w:p>
  </w:endnote>
  <w:endnote w:type="continuationSeparator" w:id="0">
    <w:p w:rsidR="0044075F" w:rsidRDefault="0044075F"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75F" w:rsidRDefault="0044075F" w:rsidP="008A5974">
      <w:pPr>
        <w:spacing w:after="0" w:line="240" w:lineRule="auto"/>
      </w:pPr>
      <w:r>
        <w:separator/>
      </w:r>
    </w:p>
  </w:footnote>
  <w:footnote w:type="continuationSeparator" w:id="0">
    <w:p w:rsidR="0044075F" w:rsidRDefault="0044075F"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5"/>
          <w:jc w:val="center"/>
        </w:pPr>
        <w:r>
          <w:fldChar w:fldCharType="begin"/>
        </w:r>
        <w:r>
          <w:instrText>PAGE   \* MERGEFORMAT</w:instrText>
        </w:r>
        <w:r>
          <w:fldChar w:fldCharType="separate"/>
        </w:r>
        <w:r w:rsidR="009B373E">
          <w:rPr>
            <w:noProof/>
          </w:rPr>
          <w:t>3</w:t>
        </w:r>
        <w:r>
          <w:fldChar w:fldCharType="end"/>
        </w:r>
      </w:p>
    </w:sdtContent>
  </w:sdt>
  <w:p w:rsidR="008A5974" w:rsidRDefault="008A597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3562" w:rsidRPr="00283A96" w:rsidRDefault="00DC3562" w:rsidP="00DC3562">
    <w:pPr>
      <w:pStyle w:val="a5"/>
      <w:jc w:val="right"/>
      <w:rPr>
        <w:rFonts w:ascii="Times New Roman" w:hAnsi="Times New Roman" w:cs="Times New Roman"/>
        <w:b/>
        <w:color w:val="FF0000"/>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45C17"/>
    <w:multiLevelType w:val="hybridMultilevel"/>
    <w:tmpl w:val="A0520D6C"/>
    <w:lvl w:ilvl="0" w:tplc="BBC4FEDA">
      <w:start w:val="1"/>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032269F1"/>
    <w:multiLevelType w:val="hybridMultilevel"/>
    <w:tmpl w:val="C43E34EA"/>
    <w:lvl w:ilvl="0" w:tplc="68FCED64">
      <w:start w:val="1"/>
      <w:numFmt w:val="decimal"/>
      <w:lvlText w:val="%1."/>
      <w:lvlJc w:val="left"/>
      <w:pPr>
        <w:ind w:left="1302" w:hanging="735"/>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32A21EC"/>
    <w:multiLevelType w:val="hybridMultilevel"/>
    <w:tmpl w:val="3AF677C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56E6D06"/>
    <w:multiLevelType w:val="hybridMultilevel"/>
    <w:tmpl w:val="A79EC5B4"/>
    <w:lvl w:ilvl="0" w:tplc="582C1CEA">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4" w15:restartNumberingAfterBreak="0">
    <w:nsid w:val="09E42D78"/>
    <w:multiLevelType w:val="hybridMultilevel"/>
    <w:tmpl w:val="DCAA1B64"/>
    <w:lvl w:ilvl="0" w:tplc="1108A8DE">
      <w:start w:val="1"/>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5" w15:restartNumberingAfterBreak="0">
    <w:nsid w:val="0BAF589A"/>
    <w:multiLevelType w:val="hybridMultilevel"/>
    <w:tmpl w:val="6D4EB24C"/>
    <w:lvl w:ilvl="0" w:tplc="5CCC6FFA">
      <w:start w:val="1"/>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6" w15:restartNumberingAfterBreak="0">
    <w:nsid w:val="10CA5058"/>
    <w:multiLevelType w:val="hybridMultilevel"/>
    <w:tmpl w:val="DD023D30"/>
    <w:lvl w:ilvl="0" w:tplc="4D60DC0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2BEE72F5"/>
    <w:multiLevelType w:val="hybridMultilevel"/>
    <w:tmpl w:val="29505128"/>
    <w:lvl w:ilvl="0" w:tplc="E8AEE80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0"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7597F71"/>
    <w:multiLevelType w:val="hybridMultilevel"/>
    <w:tmpl w:val="13CCC96E"/>
    <w:lvl w:ilvl="0" w:tplc="DCF43434">
      <w:start w:val="1"/>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2" w15:restartNumberingAfterBreak="0">
    <w:nsid w:val="376F5335"/>
    <w:multiLevelType w:val="hybridMultilevel"/>
    <w:tmpl w:val="476A3A70"/>
    <w:lvl w:ilvl="0" w:tplc="9C26CB1A">
      <w:start w:val="1"/>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3" w15:restartNumberingAfterBreak="0">
    <w:nsid w:val="3C3F037E"/>
    <w:multiLevelType w:val="hybridMultilevel"/>
    <w:tmpl w:val="D3061C78"/>
    <w:lvl w:ilvl="0" w:tplc="A1C46DD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4" w15:restartNumberingAfterBreak="0">
    <w:nsid w:val="3EC37AAE"/>
    <w:multiLevelType w:val="hybridMultilevel"/>
    <w:tmpl w:val="616E1704"/>
    <w:lvl w:ilvl="0" w:tplc="85A6B320">
      <w:start w:val="1"/>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5" w15:restartNumberingAfterBreak="0">
    <w:nsid w:val="45A92694"/>
    <w:multiLevelType w:val="hybridMultilevel"/>
    <w:tmpl w:val="05366782"/>
    <w:lvl w:ilvl="0" w:tplc="4914FCF0">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45F75E39"/>
    <w:multiLevelType w:val="hybridMultilevel"/>
    <w:tmpl w:val="E398FDBE"/>
    <w:lvl w:ilvl="0" w:tplc="68E46BE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7" w15:restartNumberingAfterBreak="0">
    <w:nsid w:val="54CC53B6"/>
    <w:multiLevelType w:val="hybridMultilevel"/>
    <w:tmpl w:val="744AD482"/>
    <w:lvl w:ilvl="0" w:tplc="E946DC7E">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8"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9" w15:restartNumberingAfterBreak="0">
    <w:nsid w:val="56D03B8C"/>
    <w:multiLevelType w:val="hybridMultilevel"/>
    <w:tmpl w:val="6FE41BAA"/>
    <w:lvl w:ilvl="0" w:tplc="11BA88EC">
      <w:start w:val="5"/>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0"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5A1110AA"/>
    <w:multiLevelType w:val="hybridMultilevel"/>
    <w:tmpl w:val="3BE8AD26"/>
    <w:lvl w:ilvl="0" w:tplc="71E6F622">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2"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2"/>
  </w:num>
  <w:num w:numId="2">
    <w:abstractNumId w:val="23"/>
  </w:num>
  <w:num w:numId="3">
    <w:abstractNumId w:val="7"/>
  </w:num>
  <w:num w:numId="4">
    <w:abstractNumId w:val="10"/>
  </w:num>
  <w:num w:numId="5">
    <w:abstractNumId w:val="20"/>
  </w:num>
  <w:num w:numId="6">
    <w:abstractNumId w:val="9"/>
  </w:num>
  <w:num w:numId="7">
    <w:abstractNumId w:val="13"/>
  </w:num>
  <w:num w:numId="8">
    <w:abstractNumId w:val="8"/>
  </w:num>
  <w:num w:numId="9">
    <w:abstractNumId w:val="15"/>
  </w:num>
  <w:num w:numId="10">
    <w:abstractNumId w:val="21"/>
  </w:num>
  <w:num w:numId="11">
    <w:abstractNumId w:val="17"/>
  </w:num>
  <w:num w:numId="12">
    <w:abstractNumId w:val="3"/>
  </w:num>
  <w:num w:numId="13">
    <w:abstractNumId w:val="16"/>
  </w:num>
  <w:num w:numId="14">
    <w:abstractNumId w:val="18"/>
  </w:num>
  <w:num w:numId="15">
    <w:abstractNumId w:val="6"/>
  </w:num>
  <w:num w:numId="16">
    <w:abstractNumId w:val="19"/>
  </w:num>
  <w:num w:numId="17">
    <w:abstractNumId w:val="1"/>
  </w:num>
  <w:num w:numId="18">
    <w:abstractNumId w:val="2"/>
  </w:num>
  <w:num w:numId="19">
    <w:abstractNumId w:val="11"/>
  </w:num>
  <w:num w:numId="20">
    <w:abstractNumId w:val="12"/>
  </w:num>
  <w:num w:numId="21">
    <w:abstractNumId w:val="0"/>
  </w:num>
  <w:num w:numId="22">
    <w:abstractNumId w:val="5"/>
  </w:num>
  <w:num w:numId="23">
    <w:abstractNumId w:val="4"/>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02F2E"/>
    <w:rsid w:val="00012B42"/>
    <w:rsid w:val="00015290"/>
    <w:rsid w:val="0001651B"/>
    <w:rsid w:val="0002121E"/>
    <w:rsid w:val="00027D0C"/>
    <w:rsid w:val="000339A0"/>
    <w:rsid w:val="000350A4"/>
    <w:rsid w:val="000404FC"/>
    <w:rsid w:val="00042672"/>
    <w:rsid w:val="00042AE7"/>
    <w:rsid w:val="00045A57"/>
    <w:rsid w:val="000554C3"/>
    <w:rsid w:val="00064B1E"/>
    <w:rsid w:val="000713E8"/>
    <w:rsid w:val="0007298D"/>
    <w:rsid w:val="00073385"/>
    <w:rsid w:val="00077B7E"/>
    <w:rsid w:val="000803C7"/>
    <w:rsid w:val="00083BAA"/>
    <w:rsid w:val="00090188"/>
    <w:rsid w:val="000917A6"/>
    <w:rsid w:val="00093432"/>
    <w:rsid w:val="0009456C"/>
    <w:rsid w:val="000953A1"/>
    <w:rsid w:val="000958BB"/>
    <w:rsid w:val="000A6C36"/>
    <w:rsid w:val="000A6EB1"/>
    <w:rsid w:val="000A7902"/>
    <w:rsid w:val="000B15B8"/>
    <w:rsid w:val="000B6E16"/>
    <w:rsid w:val="000B7207"/>
    <w:rsid w:val="000C0C7F"/>
    <w:rsid w:val="000C2FCA"/>
    <w:rsid w:val="000D7CEF"/>
    <w:rsid w:val="000E4390"/>
    <w:rsid w:val="000F788B"/>
    <w:rsid w:val="00103248"/>
    <w:rsid w:val="00105F68"/>
    <w:rsid w:val="0011155A"/>
    <w:rsid w:val="0011284D"/>
    <w:rsid w:val="0012685C"/>
    <w:rsid w:val="0013359B"/>
    <w:rsid w:val="00140666"/>
    <w:rsid w:val="00141B35"/>
    <w:rsid w:val="001420B5"/>
    <w:rsid w:val="001423BE"/>
    <w:rsid w:val="00153CA2"/>
    <w:rsid w:val="0016128F"/>
    <w:rsid w:val="00165313"/>
    <w:rsid w:val="00165E88"/>
    <w:rsid w:val="001701BE"/>
    <w:rsid w:val="00172243"/>
    <w:rsid w:val="00181763"/>
    <w:rsid w:val="00186931"/>
    <w:rsid w:val="00196CBA"/>
    <w:rsid w:val="001B1E02"/>
    <w:rsid w:val="001B4B66"/>
    <w:rsid w:val="001C5F6A"/>
    <w:rsid w:val="001C7070"/>
    <w:rsid w:val="001D201A"/>
    <w:rsid w:val="001D76B2"/>
    <w:rsid w:val="001E00D6"/>
    <w:rsid w:val="001E3F1B"/>
    <w:rsid w:val="001E5D0B"/>
    <w:rsid w:val="001F0091"/>
    <w:rsid w:val="001F43CA"/>
    <w:rsid w:val="001F6E5A"/>
    <w:rsid w:val="00213DD7"/>
    <w:rsid w:val="00214D39"/>
    <w:rsid w:val="00221FA1"/>
    <w:rsid w:val="00224969"/>
    <w:rsid w:val="0022520C"/>
    <w:rsid w:val="002339E5"/>
    <w:rsid w:val="00237958"/>
    <w:rsid w:val="0024458A"/>
    <w:rsid w:val="00246DF0"/>
    <w:rsid w:val="00257299"/>
    <w:rsid w:val="00266C41"/>
    <w:rsid w:val="00275C66"/>
    <w:rsid w:val="00275CFB"/>
    <w:rsid w:val="00276F21"/>
    <w:rsid w:val="0028270D"/>
    <w:rsid w:val="00283A96"/>
    <w:rsid w:val="00283B93"/>
    <w:rsid w:val="00283CD4"/>
    <w:rsid w:val="002845F8"/>
    <w:rsid w:val="00285458"/>
    <w:rsid w:val="00285853"/>
    <w:rsid w:val="0028742E"/>
    <w:rsid w:val="0029087B"/>
    <w:rsid w:val="00293717"/>
    <w:rsid w:val="00293F12"/>
    <w:rsid w:val="0029766D"/>
    <w:rsid w:val="002A6059"/>
    <w:rsid w:val="002A7B7B"/>
    <w:rsid w:val="002B2488"/>
    <w:rsid w:val="002B446C"/>
    <w:rsid w:val="002B76E4"/>
    <w:rsid w:val="002C3623"/>
    <w:rsid w:val="002D22C5"/>
    <w:rsid w:val="002D5498"/>
    <w:rsid w:val="002E0AE5"/>
    <w:rsid w:val="002E17A9"/>
    <w:rsid w:val="002E28D2"/>
    <w:rsid w:val="002E5479"/>
    <w:rsid w:val="002F417B"/>
    <w:rsid w:val="002F735E"/>
    <w:rsid w:val="003073A2"/>
    <w:rsid w:val="00310767"/>
    <w:rsid w:val="00310819"/>
    <w:rsid w:val="00310E3E"/>
    <w:rsid w:val="003126AB"/>
    <w:rsid w:val="003207EC"/>
    <w:rsid w:val="00325678"/>
    <w:rsid w:val="00326F99"/>
    <w:rsid w:val="00335085"/>
    <w:rsid w:val="003417C7"/>
    <w:rsid w:val="0035170C"/>
    <w:rsid w:val="00356995"/>
    <w:rsid w:val="00360895"/>
    <w:rsid w:val="00363ABD"/>
    <w:rsid w:val="00364E23"/>
    <w:rsid w:val="003679C9"/>
    <w:rsid w:val="003709CF"/>
    <w:rsid w:val="003738D3"/>
    <w:rsid w:val="00377C98"/>
    <w:rsid w:val="00384409"/>
    <w:rsid w:val="00395C1B"/>
    <w:rsid w:val="003C0D9C"/>
    <w:rsid w:val="003C640C"/>
    <w:rsid w:val="003C7C20"/>
    <w:rsid w:val="003C7FD5"/>
    <w:rsid w:val="003D246D"/>
    <w:rsid w:val="003D49F6"/>
    <w:rsid w:val="003D5517"/>
    <w:rsid w:val="003E3CB9"/>
    <w:rsid w:val="003E7B7A"/>
    <w:rsid w:val="00402CFB"/>
    <w:rsid w:val="00410F0A"/>
    <w:rsid w:val="00416D33"/>
    <w:rsid w:val="00426AC7"/>
    <w:rsid w:val="00431746"/>
    <w:rsid w:val="00433932"/>
    <w:rsid w:val="0043428A"/>
    <w:rsid w:val="00436F99"/>
    <w:rsid w:val="0044075F"/>
    <w:rsid w:val="00444EDF"/>
    <w:rsid w:val="00451257"/>
    <w:rsid w:val="00452997"/>
    <w:rsid w:val="00460107"/>
    <w:rsid w:val="004775A7"/>
    <w:rsid w:val="00486767"/>
    <w:rsid w:val="00490B8F"/>
    <w:rsid w:val="004928BF"/>
    <w:rsid w:val="00494C5F"/>
    <w:rsid w:val="00496036"/>
    <w:rsid w:val="004A0A08"/>
    <w:rsid w:val="004A41FC"/>
    <w:rsid w:val="004B1B79"/>
    <w:rsid w:val="004B2D2E"/>
    <w:rsid w:val="004B71DE"/>
    <w:rsid w:val="004C2B83"/>
    <w:rsid w:val="004C44B9"/>
    <w:rsid w:val="004C69D5"/>
    <w:rsid w:val="004D01D8"/>
    <w:rsid w:val="004D246A"/>
    <w:rsid w:val="004D6007"/>
    <w:rsid w:val="004E0F28"/>
    <w:rsid w:val="004E3305"/>
    <w:rsid w:val="004F0300"/>
    <w:rsid w:val="004F5AE0"/>
    <w:rsid w:val="0050092B"/>
    <w:rsid w:val="00505D0B"/>
    <w:rsid w:val="00511ADD"/>
    <w:rsid w:val="005156F6"/>
    <w:rsid w:val="005236E5"/>
    <w:rsid w:val="005252F3"/>
    <w:rsid w:val="00534903"/>
    <w:rsid w:val="005350F4"/>
    <w:rsid w:val="00542242"/>
    <w:rsid w:val="005432A9"/>
    <w:rsid w:val="005438EA"/>
    <w:rsid w:val="00543BE7"/>
    <w:rsid w:val="00550B14"/>
    <w:rsid w:val="00554E16"/>
    <w:rsid w:val="0055610B"/>
    <w:rsid w:val="00561982"/>
    <w:rsid w:val="00564CC3"/>
    <w:rsid w:val="00567225"/>
    <w:rsid w:val="00567F37"/>
    <w:rsid w:val="00567F82"/>
    <w:rsid w:val="00570D77"/>
    <w:rsid w:val="0057278A"/>
    <w:rsid w:val="0058135F"/>
    <w:rsid w:val="00590187"/>
    <w:rsid w:val="005B2BAB"/>
    <w:rsid w:val="005B4EA7"/>
    <w:rsid w:val="005C4FF3"/>
    <w:rsid w:val="005C62DC"/>
    <w:rsid w:val="005C666F"/>
    <w:rsid w:val="005D27FB"/>
    <w:rsid w:val="005D2EE4"/>
    <w:rsid w:val="005E102D"/>
    <w:rsid w:val="005F54AA"/>
    <w:rsid w:val="0061086A"/>
    <w:rsid w:val="00611D17"/>
    <w:rsid w:val="00630D1F"/>
    <w:rsid w:val="006442A9"/>
    <w:rsid w:val="0065382A"/>
    <w:rsid w:val="00653AA5"/>
    <w:rsid w:val="00670317"/>
    <w:rsid w:val="006757BE"/>
    <w:rsid w:val="00695337"/>
    <w:rsid w:val="0069769A"/>
    <w:rsid w:val="006A6C25"/>
    <w:rsid w:val="006B7A98"/>
    <w:rsid w:val="006C2167"/>
    <w:rsid w:val="006C2B2F"/>
    <w:rsid w:val="006C3961"/>
    <w:rsid w:val="006C4225"/>
    <w:rsid w:val="006C7466"/>
    <w:rsid w:val="006D05CE"/>
    <w:rsid w:val="006D0AB9"/>
    <w:rsid w:val="006D28DF"/>
    <w:rsid w:val="006D7C09"/>
    <w:rsid w:val="006E15AF"/>
    <w:rsid w:val="006E30F5"/>
    <w:rsid w:val="006F7145"/>
    <w:rsid w:val="00702565"/>
    <w:rsid w:val="007028D3"/>
    <w:rsid w:val="00703638"/>
    <w:rsid w:val="007049A1"/>
    <w:rsid w:val="00706563"/>
    <w:rsid w:val="007228F7"/>
    <w:rsid w:val="0072459E"/>
    <w:rsid w:val="00725B7B"/>
    <w:rsid w:val="00725D2F"/>
    <w:rsid w:val="00727B09"/>
    <w:rsid w:val="007301F7"/>
    <w:rsid w:val="00734ED3"/>
    <w:rsid w:val="007358FA"/>
    <w:rsid w:val="007370E3"/>
    <w:rsid w:val="007621A8"/>
    <w:rsid w:val="00764E7A"/>
    <w:rsid w:val="00765872"/>
    <w:rsid w:val="00771477"/>
    <w:rsid w:val="0077514E"/>
    <w:rsid w:val="00776AE8"/>
    <w:rsid w:val="007809DC"/>
    <w:rsid w:val="0078150F"/>
    <w:rsid w:val="00782DD7"/>
    <w:rsid w:val="007851F9"/>
    <w:rsid w:val="00794078"/>
    <w:rsid w:val="00796CB2"/>
    <w:rsid w:val="007971A3"/>
    <w:rsid w:val="007A3A08"/>
    <w:rsid w:val="007B14F8"/>
    <w:rsid w:val="007B5A1A"/>
    <w:rsid w:val="007D00D9"/>
    <w:rsid w:val="007E1E76"/>
    <w:rsid w:val="007E5AF3"/>
    <w:rsid w:val="007F2C52"/>
    <w:rsid w:val="007F53D5"/>
    <w:rsid w:val="00813B30"/>
    <w:rsid w:val="00814D5E"/>
    <w:rsid w:val="008308E9"/>
    <w:rsid w:val="00844FD1"/>
    <w:rsid w:val="00852D37"/>
    <w:rsid w:val="00853550"/>
    <w:rsid w:val="0085361C"/>
    <w:rsid w:val="008605D9"/>
    <w:rsid w:val="00864CA3"/>
    <w:rsid w:val="0086684F"/>
    <w:rsid w:val="008752B8"/>
    <w:rsid w:val="008814BE"/>
    <w:rsid w:val="008827CB"/>
    <w:rsid w:val="0088488B"/>
    <w:rsid w:val="00896EBE"/>
    <w:rsid w:val="008A4DD1"/>
    <w:rsid w:val="008A5683"/>
    <w:rsid w:val="008A5974"/>
    <w:rsid w:val="008B0FBE"/>
    <w:rsid w:val="008B4546"/>
    <w:rsid w:val="008B5ED5"/>
    <w:rsid w:val="008B7021"/>
    <w:rsid w:val="008C0467"/>
    <w:rsid w:val="008C100D"/>
    <w:rsid w:val="008D4F02"/>
    <w:rsid w:val="008D72CA"/>
    <w:rsid w:val="008D732D"/>
    <w:rsid w:val="008F196E"/>
    <w:rsid w:val="008F21DC"/>
    <w:rsid w:val="008F575D"/>
    <w:rsid w:val="00903349"/>
    <w:rsid w:val="009073C8"/>
    <w:rsid w:val="00911615"/>
    <w:rsid w:val="00920C62"/>
    <w:rsid w:val="00924188"/>
    <w:rsid w:val="00927500"/>
    <w:rsid w:val="009412B9"/>
    <w:rsid w:val="0094405C"/>
    <w:rsid w:val="00953734"/>
    <w:rsid w:val="00954FA4"/>
    <w:rsid w:val="00963074"/>
    <w:rsid w:val="00970291"/>
    <w:rsid w:val="00974D4C"/>
    <w:rsid w:val="00977952"/>
    <w:rsid w:val="0098362C"/>
    <w:rsid w:val="00984140"/>
    <w:rsid w:val="009852A5"/>
    <w:rsid w:val="00995F48"/>
    <w:rsid w:val="009965A5"/>
    <w:rsid w:val="009A44B3"/>
    <w:rsid w:val="009B1BAB"/>
    <w:rsid w:val="009B2885"/>
    <w:rsid w:val="009B373E"/>
    <w:rsid w:val="009B6357"/>
    <w:rsid w:val="009B65D6"/>
    <w:rsid w:val="009C7921"/>
    <w:rsid w:val="009D11A9"/>
    <w:rsid w:val="009F0819"/>
    <w:rsid w:val="009F0B61"/>
    <w:rsid w:val="009F38B1"/>
    <w:rsid w:val="00A15C17"/>
    <w:rsid w:val="00A16A98"/>
    <w:rsid w:val="00A22A56"/>
    <w:rsid w:val="00A22F5A"/>
    <w:rsid w:val="00A240FE"/>
    <w:rsid w:val="00A417AF"/>
    <w:rsid w:val="00A44D90"/>
    <w:rsid w:val="00A45BEF"/>
    <w:rsid w:val="00A524E0"/>
    <w:rsid w:val="00A61C75"/>
    <w:rsid w:val="00A64F08"/>
    <w:rsid w:val="00A701D6"/>
    <w:rsid w:val="00A73495"/>
    <w:rsid w:val="00A82F14"/>
    <w:rsid w:val="00A87553"/>
    <w:rsid w:val="00A93958"/>
    <w:rsid w:val="00A95F1F"/>
    <w:rsid w:val="00AA6462"/>
    <w:rsid w:val="00AA6DBF"/>
    <w:rsid w:val="00AB0081"/>
    <w:rsid w:val="00AB1C4A"/>
    <w:rsid w:val="00AB32BE"/>
    <w:rsid w:val="00AB6FAB"/>
    <w:rsid w:val="00AC0198"/>
    <w:rsid w:val="00AD1699"/>
    <w:rsid w:val="00AE1B96"/>
    <w:rsid w:val="00AE243D"/>
    <w:rsid w:val="00AF2B62"/>
    <w:rsid w:val="00AF565B"/>
    <w:rsid w:val="00B05E9C"/>
    <w:rsid w:val="00B23919"/>
    <w:rsid w:val="00B25D66"/>
    <w:rsid w:val="00B31C5C"/>
    <w:rsid w:val="00B349FA"/>
    <w:rsid w:val="00B3609F"/>
    <w:rsid w:val="00B3737E"/>
    <w:rsid w:val="00B37E58"/>
    <w:rsid w:val="00B40618"/>
    <w:rsid w:val="00B44A3F"/>
    <w:rsid w:val="00B46A8D"/>
    <w:rsid w:val="00B50742"/>
    <w:rsid w:val="00B535F9"/>
    <w:rsid w:val="00B633F7"/>
    <w:rsid w:val="00B6384B"/>
    <w:rsid w:val="00B71F50"/>
    <w:rsid w:val="00B75C66"/>
    <w:rsid w:val="00B774FF"/>
    <w:rsid w:val="00B86E61"/>
    <w:rsid w:val="00B87CF7"/>
    <w:rsid w:val="00B90CFC"/>
    <w:rsid w:val="00B91FE6"/>
    <w:rsid w:val="00B927B1"/>
    <w:rsid w:val="00B96BDD"/>
    <w:rsid w:val="00B96D39"/>
    <w:rsid w:val="00BA0B84"/>
    <w:rsid w:val="00BA2E1C"/>
    <w:rsid w:val="00BA388A"/>
    <w:rsid w:val="00BB4959"/>
    <w:rsid w:val="00BB6CF7"/>
    <w:rsid w:val="00BB77FB"/>
    <w:rsid w:val="00BC1C94"/>
    <w:rsid w:val="00BC6A15"/>
    <w:rsid w:val="00BC7AD8"/>
    <w:rsid w:val="00BD01E7"/>
    <w:rsid w:val="00BD2A4C"/>
    <w:rsid w:val="00BD2FB0"/>
    <w:rsid w:val="00BD5E97"/>
    <w:rsid w:val="00BE4C6A"/>
    <w:rsid w:val="00BE6E51"/>
    <w:rsid w:val="00BE78E2"/>
    <w:rsid w:val="00BF0585"/>
    <w:rsid w:val="00BF2B9F"/>
    <w:rsid w:val="00C02AD1"/>
    <w:rsid w:val="00C102E5"/>
    <w:rsid w:val="00C107DD"/>
    <w:rsid w:val="00C16949"/>
    <w:rsid w:val="00C30C93"/>
    <w:rsid w:val="00C34BF1"/>
    <w:rsid w:val="00C42961"/>
    <w:rsid w:val="00C4466F"/>
    <w:rsid w:val="00C47D31"/>
    <w:rsid w:val="00C47EF0"/>
    <w:rsid w:val="00C5485A"/>
    <w:rsid w:val="00C56811"/>
    <w:rsid w:val="00C64F13"/>
    <w:rsid w:val="00C711F0"/>
    <w:rsid w:val="00C7589D"/>
    <w:rsid w:val="00C77346"/>
    <w:rsid w:val="00C932C3"/>
    <w:rsid w:val="00CA1B39"/>
    <w:rsid w:val="00CA56D2"/>
    <w:rsid w:val="00CB1B77"/>
    <w:rsid w:val="00CB2D69"/>
    <w:rsid w:val="00CB3E54"/>
    <w:rsid w:val="00CB75C5"/>
    <w:rsid w:val="00CB7DB1"/>
    <w:rsid w:val="00CC0049"/>
    <w:rsid w:val="00CC2B35"/>
    <w:rsid w:val="00CD0520"/>
    <w:rsid w:val="00CD260E"/>
    <w:rsid w:val="00CD3897"/>
    <w:rsid w:val="00CE21A8"/>
    <w:rsid w:val="00CF386F"/>
    <w:rsid w:val="00D017D0"/>
    <w:rsid w:val="00D0274B"/>
    <w:rsid w:val="00D11F8F"/>
    <w:rsid w:val="00D1561F"/>
    <w:rsid w:val="00D15D0F"/>
    <w:rsid w:val="00D22764"/>
    <w:rsid w:val="00D23353"/>
    <w:rsid w:val="00D24663"/>
    <w:rsid w:val="00D30295"/>
    <w:rsid w:val="00D37D4F"/>
    <w:rsid w:val="00D4227F"/>
    <w:rsid w:val="00D53A54"/>
    <w:rsid w:val="00D74E14"/>
    <w:rsid w:val="00D862AD"/>
    <w:rsid w:val="00D960EB"/>
    <w:rsid w:val="00DC01DB"/>
    <w:rsid w:val="00DC0698"/>
    <w:rsid w:val="00DC3562"/>
    <w:rsid w:val="00DE1EA0"/>
    <w:rsid w:val="00DE468F"/>
    <w:rsid w:val="00DF06C5"/>
    <w:rsid w:val="00DF50BC"/>
    <w:rsid w:val="00E00231"/>
    <w:rsid w:val="00E00A31"/>
    <w:rsid w:val="00E00B23"/>
    <w:rsid w:val="00E11FF0"/>
    <w:rsid w:val="00E21AA9"/>
    <w:rsid w:val="00E263CB"/>
    <w:rsid w:val="00E30DCA"/>
    <w:rsid w:val="00E354E4"/>
    <w:rsid w:val="00E35569"/>
    <w:rsid w:val="00E3717C"/>
    <w:rsid w:val="00E45426"/>
    <w:rsid w:val="00E46D23"/>
    <w:rsid w:val="00E47C6F"/>
    <w:rsid w:val="00E54729"/>
    <w:rsid w:val="00E60689"/>
    <w:rsid w:val="00E62997"/>
    <w:rsid w:val="00E6721C"/>
    <w:rsid w:val="00E728B5"/>
    <w:rsid w:val="00E80975"/>
    <w:rsid w:val="00E8244C"/>
    <w:rsid w:val="00E86A7E"/>
    <w:rsid w:val="00E91C2D"/>
    <w:rsid w:val="00E95EA9"/>
    <w:rsid w:val="00E96506"/>
    <w:rsid w:val="00EA154A"/>
    <w:rsid w:val="00EB020E"/>
    <w:rsid w:val="00EB0502"/>
    <w:rsid w:val="00EB3886"/>
    <w:rsid w:val="00EC4F52"/>
    <w:rsid w:val="00ED22AC"/>
    <w:rsid w:val="00EE048E"/>
    <w:rsid w:val="00EE236F"/>
    <w:rsid w:val="00EE4DF1"/>
    <w:rsid w:val="00EF0C44"/>
    <w:rsid w:val="00EF148D"/>
    <w:rsid w:val="00EF2C5E"/>
    <w:rsid w:val="00F026D7"/>
    <w:rsid w:val="00F0283F"/>
    <w:rsid w:val="00F076B3"/>
    <w:rsid w:val="00F1193B"/>
    <w:rsid w:val="00F138FB"/>
    <w:rsid w:val="00F13D03"/>
    <w:rsid w:val="00F156C2"/>
    <w:rsid w:val="00F202AA"/>
    <w:rsid w:val="00F217B6"/>
    <w:rsid w:val="00F25E85"/>
    <w:rsid w:val="00F534A5"/>
    <w:rsid w:val="00F53AB6"/>
    <w:rsid w:val="00F65A2E"/>
    <w:rsid w:val="00F676FD"/>
    <w:rsid w:val="00F7069D"/>
    <w:rsid w:val="00F73377"/>
    <w:rsid w:val="00F73D38"/>
    <w:rsid w:val="00F75B8E"/>
    <w:rsid w:val="00F7668B"/>
    <w:rsid w:val="00F812AF"/>
    <w:rsid w:val="00F8455B"/>
    <w:rsid w:val="00F84676"/>
    <w:rsid w:val="00F90345"/>
    <w:rsid w:val="00F906AC"/>
    <w:rsid w:val="00F90955"/>
    <w:rsid w:val="00F91851"/>
    <w:rsid w:val="00F9343B"/>
    <w:rsid w:val="00F94EBE"/>
    <w:rsid w:val="00FA1B2F"/>
    <w:rsid w:val="00FD0583"/>
    <w:rsid w:val="00FE4CCA"/>
    <w:rsid w:val="00FF25C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44688"/>
  <w15:chartTrackingRefBased/>
  <w15:docId w15:val="{AA5CCFB8-C587-4A40-B202-36D55E40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qFormat/>
    <w:rsid w:val="00E54729"/>
    <w:pPr>
      <w:keepNext/>
      <w:keepLines/>
      <w:numPr>
        <w:numId w:val="14"/>
      </w:numPr>
      <w:suppressAutoHyphens/>
      <w:spacing w:before="480" w:after="120" w:line="276" w:lineRule="auto"/>
      <w:contextualSpacing/>
      <w:outlineLvl w:val="0"/>
    </w:pPr>
    <w:rPr>
      <w:rFonts w:ascii="Times New Roman" w:eastAsia="Times New Roman" w:hAnsi="Times New Roman" w:cs="Arial"/>
      <w:b/>
      <w:color w:val="000000"/>
      <w:sz w:val="48"/>
      <w:szCs w:val="48"/>
      <w:lang w:eastAsia="zh-CN"/>
    </w:rPr>
  </w:style>
  <w:style w:type="paragraph" w:styleId="2">
    <w:name w:val="heading 2"/>
    <w:basedOn w:val="a"/>
    <w:link w:val="20"/>
    <w:qFormat/>
    <w:rsid w:val="00E54729"/>
    <w:pPr>
      <w:keepNext/>
      <w:keepLines/>
      <w:numPr>
        <w:ilvl w:val="1"/>
        <w:numId w:val="14"/>
      </w:numPr>
      <w:suppressAutoHyphens/>
      <w:spacing w:before="360" w:after="80" w:line="276" w:lineRule="auto"/>
      <w:contextualSpacing/>
      <w:jc w:val="center"/>
      <w:outlineLvl w:val="1"/>
    </w:pPr>
    <w:rPr>
      <w:rFonts w:ascii="Times New Roman" w:eastAsia="Times New Roman" w:hAnsi="Times New Roman" w:cs="Arial"/>
      <w:b/>
      <w:color w:val="000000"/>
      <w:sz w:val="28"/>
      <w:szCs w:val="36"/>
      <w:lang w:eastAsia="zh-CN"/>
    </w:rPr>
  </w:style>
  <w:style w:type="paragraph" w:styleId="3">
    <w:name w:val="heading 3"/>
    <w:basedOn w:val="a"/>
    <w:link w:val="30"/>
    <w:qFormat/>
    <w:rsid w:val="00E54729"/>
    <w:pPr>
      <w:keepNext/>
      <w:keepLines/>
      <w:numPr>
        <w:ilvl w:val="2"/>
        <w:numId w:val="14"/>
      </w:numPr>
      <w:suppressAutoHyphens/>
      <w:spacing w:after="0" w:line="240" w:lineRule="auto"/>
      <w:contextualSpacing/>
      <w:jc w:val="center"/>
      <w:outlineLvl w:val="2"/>
    </w:pPr>
    <w:rPr>
      <w:rFonts w:ascii="Times New Roman" w:eastAsia="Times New Roman" w:hAnsi="Times New Roman" w:cs="Arial"/>
      <w:b/>
      <w:color w:val="000000"/>
      <w:sz w:val="24"/>
      <w:szCs w:val="28"/>
      <w:lang w:eastAsia="zh-CN"/>
    </w:rPr>
  </w:style>
  <w:style w:type="paragraph" w:styleId="4">
    <w:name w:val="heading 4"/>
    <w:basedOn w:val="a"/>
    <w:link w:val="40"/>
    <w:qFormat/>
    <w:rsid w:val="00E54729"/>
    <w:pPr>
      <w:keepNext/>
      <w:keepLines/>
      <w:numPr>
        <w:ilvl w:val="3"/>
        <w:numId w:val="14"/>
      </w:numPr>
      <w:suppressAutoHyphens/>
      <w:spacing w:before="240" w:after="40" w:line="276" w:lineRule="auto"/>
      <w:contextualSpacing/>
      <w:outlineLvl w:val="3"/>
    </w:pPr>
    <w:rPr>
      <w:rFonts w:ascii="Times New Roman" w:eastAsia="Times New Roman" w:hAnsi="Times New Roman" w:cs="Arial"/>
      <w:b/>
      <w:color w:val="000000"/>
      <w:szCs w:val="24"/>
      <w:lang w:eastAsia="zh-CN"/>
    </w:rPr>
  </w:style>
  <w:style w:type="paragraph" w:styleId="5">
    <w:name w:val="heading 5"/>
    <w:basedOn w:val="a"/>
    <w:link w:val="50"/>
    <w:qFormat/>
    <w:rsid w:val="00E54729"/>
    <w:pPr>
      <w:keepNext/>
      <w:keepLines/>
      <w:numPr>
        <w:ilvl w:val="4"/>
        <w:numId w:val="14"/>
      </w:numPr>
      <w:suppressAutoHyphens/>
      <w:spacing w:before="220" w:after="40" w:line="276" w:lineRule="auto"/>
      <w:contextualSpacing/>
      <w:outlineLvl w:val="4"/>
    </w:pPr>
    <w:rPr>
      <w:rFonts w:ascii="Times New Roman" w:eastAsia="Times New Roman" w:hAnsi="Times New Roman" w:cs="Arial"/>
      <w:color w:val="000000"/>
      <w:sz w:val="20"/>
      <w:lang w:eastAsia="zh-CN"/>
    </w:rPr>
  </w:style>
  <w:style w:type="paragraph" w:styleId="6">
    <w:name w:val="heading 6"/>
    <w:basedOn w:val="a"/>
    <w:link w:val="60"/>
    <w:qFormat/>
    <w:rsid w:val="00E54729"/>
    <w:pPr>
      <w:keepNext/>
      <w:keepLines/>
      <w:numPr>
        <w:ilvl w:val="5"/>
        <w:numId w:val="14"/>
      </w:numPr>
      <w:suppressAutoHyphens/>
      <w:spacing w:before="200" w:after="40" w:line="276" w:lineRule="auto"/>
      <w:contextualSpacing/>
      <w:outlineLvl w:val="5"/>
    </w:pPr>
    <w:rPr>
      <w:rFonts w:ascii="Times New Roman" w:eastAsia="Times New Roman" w:hAnsi="Times New Roman" w:cs="Arial"/>
      <w:b/>
      <w:color w:val="000000"/>
      <w:sz w:val="20"/>
      <w:szCs w:val="20"/>
      <w:lang w:eastAsia="zh-CN"/>
    </w:rPr>
  </w:style>
  <w:style w:type="paragraph" w:styleId="7">
    <w:name w:val="heading 7"/>
    <w:basedOn w:val="a0"/>
    <w:link w:val="70"/>
    <w:qFormat/>
    <w:rsid w:val="00E54729"/>
    <w:pPr>
      <w:keepNext/>
      <w:keepLines/>
      <w:numPr>
        <w:ilvl w:val="6"/>
        <w:numId w:val="14"/>
      </w:numPr>
      <w:suppressAutoHyphens/>
      <w:spacing w:before="60" w:after="60" w:line="276" w:lineRule="auto"/>
      <w:outlineLvl w:val="6"/>
    </w:pPr>
    <w:rPr>
      <w:rFonts w:ascii="Times New Roman" w:eastAsia="Times New Roman" w:hAnsi="Times New Roman" w:cs="Arial"/>
      <w:b/>
      <w:bCs/>
      <w:color w:val="000000"/>
      <w:spacing w:val="0"/>
      <w:kern w:val="0"/>
      <w:sz w:val="58"/>
      <w:szCs w:val="58"/>
      <w:lang w:eastAsia="zh-CN"/>
    </w:rPr>
  </w:style>
  <w:style w:type="paragraph" w:styleId="8">
    <w:name w:val="heading 8"/>
    <w:basedOn w:val="a0"/>
    <w:link w:val="80"/>
    <w:qFormat/>
    <w:rsid w:val="00E54729"/>
    <w:pPr>
      <w:keepNext/>
      <w:keepLines/>
      <w:numPr>
        <w:ilvl w:val="7"/>
        <w:numId w:val="14"/>
      </w:numPr>
      <w:suppressAutoHyphens/>
      <w:spacing w:before="60" w:after="60" w:line="276" w:lineRule="auto"/>
      <w:outlineLvl w:val="7"/>
    </w:pPr>
    <w:rPr>
      <w:rFonts w:ascii="Times New Roman" w:eastAsia="Times New Roman" w:hAnsi="Times New Roman" w:cs="Arial"/>
      <w:b/>
      <w:bCs/>
      <w:i/>
      <w:iCs/>
      <w:color w:val="000000"/>
      <w:spacing w:val="0"/>
      <w:kern w:val="0"/>
      <w:sz w:val="58"/>
      <w:szCs w:val="58"/>
      <w:lang w:eastAsia="zh-CN"/>
    </w:rPr>
  </w:style>
  <w:style w:type="paragraph" w:styleId="9">
    <w:name w:val="heading 9"/>
    <w:basedOn w:val="a0"/>
    <w:link w:val="90"/>
    <w:qFormat/>
    <w:rsid w:val="00E54729"/>
    <w:pPr>
      <w:keepNext/>
      <w:keepLines/>
      <w:numPr>
        <w:ilvl w:val="8"/>
        <w:numId w:val="14"/>
      </w:numPr>
      <w:suppressAutoHyphens/>
      <w:spacing w:before="60" w:after="60" w:line="276" w:lineRule="auto"/>
      <w:outlineLvl w:val="8"/>
    </w:pPr>
    <w:rPr>
      <w:rFonts w:ascii="Times New Roman" w:eastAsia="Times New Roman" w:hAnsi="Times New Roman" w:cs="Arial"/>
      <w:b/>
      <w:bCs/>
      <w:color w:val="000000"/>
      <w:spacing w:val="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F7668B"/>
    <w:pPr>
      <w:ind w:left="720"/>
      <w:contextualSpacing/>
    </w:pPr>
  </w:style>
  <w:style w:type="paragraph" w:styleId="a5">
    <w:name w:val="header"/>
    <w:basedOn w:val="a"/>
    <w:link w:val="a6"/>
    <w:uiPriority w:val="99"/>
    <w:unhideWhenUsed/>
    <w:rsid w:val="008A5974"/>
    <w:pPr>
      <w:tabs>
        <w:tab w:val="center" w:pos="4819"/>
        <w:tab w:val="right" w:pos="9639"/>
      </w:tabs>
      <w:spacing w:after="0" w:line="240" w:lineRule="auto"/>
    </w:pPr>
  </w:style>
  <w:style w:type="character" w:customStyle="1" w:styleId="a6">
    <w:name w:val="Верхній колонтитул Знак"/>
    <w:basedOn w:val="a1"/>
    <w:link w:val="a5"/>
    <w:uiPriority w:val="99"/>
    <w:rsid w:val="008A5974"/>
  </w:style>
  <w:style w:type="paragraph" w:styleId="a7">
    <w:name w:val="footer"/>
    <w:basedOn w:val="a"/>
    <w:link w:val="a8"/>
    <w:uiPriority w:val="99"/>
    <w:unhideWhenUsed/>
    <w:rsid w:val="008A5974"/>
    <w:pPr>
      <w:tabs>
        <w:tab w:val="center" w:pos="4819"/>
        <w:tab w:val="right" w:pos="9639"/>
      </w:tabs>
      <w:spacing w:after="0" w:line="240" w:lineRule="auto"/>
    </w:pPr>
  </w:style>
  <w:style w:type="character" w:customStyle="1" w:styleId="a8">
    <w:name w:val="Нижній колонтитул Знак"/>
    <w:basedOn w:val="a1"/>
    <w:link w:val="a7"/>
    <w:uiPriority w:val="99"/>
    <w:rsid w:val="008A5974"/>
  </w:style>
  <w:style w:type="paragraph" w:styleId="a9">
    <w:name w:val="Balloon Text"/>
    <w:basedOn w:val="a"/>
    <w:link w:val="aa"/>
    <w:uiPriority w:val="99"/>
    <w:semiHidden/>
    <w:unhideWhenUsed/>
    <w:rsid w:val="007358FA"/>
    <w:pPr>
      <w:spacing w:after="0" w:line="240" w:lineRule="auto"/>
    </w:pPr>
    <w:rPr>
      <w:rFonts w:ascii="Segoe UI" w:hAnsi="Segoe UI" w:cs="Segoe UI"/>
      <w:sz w:val="18"/>
      <w:szCs w:val="18"/>
    </w:rPr>
  </w:style>
  <w:style w:type="character" w:customStyle="1" w:styleId="aa">
    <w:name w:val="Текст у виносці Знак"/>
    <w:basedOn w:val="a1"/>
    <w:link w:val="a9"/>
    <w:uiPriority w:val="99"/>
    <w:semiHidden/>
    <w:rsid w:val="007358FA"/>
    <w:rPr>
      <w:rFonts w:ascii="Segoe UI" w:hAnsi="Segoe UI" w:cs="Segoe UI"/>
      <w:sz w:val="18"/>
      <w:szCs w:val="18"/>
    </w:rPr>
  </w:style>
  <w:style w:type="table" w:styleId="ab">
    <w:name w:val="Table Grid"/>
    <w:basedOn w:val="a2"/>
    <w:uiPriority w:val="39"/>
    <w:rsid w:val="00AF56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1B4B66"/>
    <w:pPr>
      <w:spacing w:after="0" w:line="240" w:lineRule="auto"/>
    </w:pPr>
    <w:rPr>
      <w:sz w:val="20"/>
      <w:szCs w:val="20"/>
    </w:rPr>
  </w:style>
  <w:style w:type="character" w:customStyle="1" w:styleId="ad">
    <w:name w:val="Текст виноски Знак"/>
    <w:basedOn w:val="a1"/>
    <w:link w:val="ac"/>
    <w:uiPriority w:val="99"/>
    <w:semiHidden/>
    <w:rsid w:val="001B4B66"/>
    <w:rPr>
      <w:sz w:val="20"/>
      <w:szCs w:val="20"/>
    </w:rPr>
  </w:style>
  <w:style w:type="character" w:styleId="ae">
    <w:name w:val="footnote reference"/>
    <w:basedOn w:val="a1"/>
    <w:uiPriority w:val="99"/>
    <w:semiHidden/>
    <w:unhideWhenUsed/>
    <w:rsid w:val="001B4B66"/>
    <w:rPr>
      <w:vertAlign w:val="superscript"/>
    </w:rPr>
  </w:style>
  <w:style w:type="character" w:styleId="af">
    <w:name w:val="Hyperlink"/>
    <w:basedOn w:val="a1"/>
    <w:uiPriority w:val="99"/>
    <w:unhideWhenUsed/>
    <w:rsid w:val="008F196E"/>
    <w:rPr>
      <w:color w:val="0563C1" w:themeColor="hyperlink"/>
      <w:u w:val="single"/>
    </w:rPr>
  </w:style>
  <w:style w:type="character" w:customStyle="1" w:styleId="10">
    <w:name w:val="Заголовок 1 Знак"/>
    <w:basedOn w:val="a1"/>
    <w:link w:val="1"/>
    <w:rsid w:val="00E54729"/>
    <w:rPr>
      <w:rFonts w:ascii="Times New Roman" w:eastAsia="Times New Roman" w:hAnsi="Times New Roman" w:cs="Arial"/>
      <w:b/>
      <w:color w:val="000000"/>
      <w:sz w:val="48"/>
      <w:szCs w:val="48"/>
      <w:lang w:eastAsia="zh-CN"/>
    </w:rPr>
  </w:style>
  <w:style w:type="character" w:customStyle="1" w:styleId="20">
    <w:name w:val="Заголовок 2 Знак"/>
    <w:basedOn w:val="a1"/>
    <w:link w:val="2"/>
    <w:rsid w:val="00E54729"/>
    <w:rPr>
      <w:rFonts w:ascii="Times New Roman" w:eastAsia="Times New Roman" w:hAnsi="Times New Roman" w:cs="Arial"/>
      <w:b/>
      <w:color w:val="000000"/>
      <w:sz w:val="28"/>
      <w:szCs w:val="36"/>
      <w:lang w:eastAsia="zh-CN"/>
    </w:rPr>
  </w:style>
  <w:style w:type="character" w:customStyle="1" w:styleId="30">
    <w:name w:val="Заголовок 3 Знак"/>
    <w:basedOn w:val="a1"/>
    <w:link w:val="3"/>
    <w:rsid w:val="00E54729"/>
    <w:rPr>
      <w:rFonts w:ascii="Times New Roman" w:eastAsia="Times New Roman" w:hAnsi="Times New Roman" w:cs="Arial"/>
      <w:b/>
      <w:color w:val="000000"/>
      <w:sz w:val="24"/>
      <w:szCs w:val="28"/>
      <w:lang w:eastAsia="zh-CN"/>
    </w:rPr>
  </w:style>
  <w:style w:type="character" w:customStyle="1" w:styleId="40">
    <w:name w:val="Заголовок 4 Знак"/>
    <w:basedOn w:val="a1"/>
    <w:link w:val="4"/>
    <w:rsid w:val="00E54729"/>
    <w:rPr>
      <w:rFonts w:ascii="Times New Roman" w:eastAsia="Times New Roman" w:hAnsi="Times New Roman" w:cs="Arial"/>
      <w:b/>
      <w:color w:val="000000"/>
      <w:szCs w:val="24"/>
      <w:lang w:eastAsia="zh-CN"/>
    </w:rPr>
  </w:style>
  <w:style w:type="character" w:customStyle="1" w:styleId="50">
    <w:name w:val="Заголовок 5 Знак"/>
    <w:basedOn w:val="a1"/>
    <w:link w:val="5"/>
    <w:rsid w:val="00E54729"/>
    <w:rPr>
      <w:rFonts w:ascii="Times New Roman" w:eastAsia="Times New Roman" w:hAnsi="Times New Roman" w:cs="Arial"/>
      <w:color w:val="000000"/>
      <w:sz w:val="20"/>
      <w:lang w:eastAsia="zh-CN"/>
    </w:rPr>
  </w:style>
  <w:style w:type="character" w:customStyle="1" w:styleId="60">
    <w:name w:val="Заголовок 6 Знак"/>
    <w:basedOn w:val="a1"/>
    <w:link w:val="6"/>
    <w:rsid w:val="00E54729"/>
    <w:rPr>
      <w:rFonts w:ascii="Times New Roman" w:eastAsia="Times New Roman" w:hAnsi="Times New Roman" w:cs="Arial"/>
      <w:b/>
      <w:color w:val="000000"/>
      <w:sz w:val="20"/>
      <w:szCs w:val="20"/>
      <w:lang w:eastAsia="zh-CN"/>
    </w:rPr>
  </w:style>
  <w:style w:type="character" w:customStyle="1" w:styleId="70">
    <w:name w:val="Заголовок 7 Знак"/>
    <w:basedOn w:val="a1"/>
    <w:link w:val="7"/>
    <w:rsid w:val="00E54729"/>
    <w:rPr>
      <w:rFonts w:ascii="Times New Roman" w:eastAsia="Times New Roman" w:hAnsi="Times New Roman" w:cs="Arial"/>
      <w:b/>
      <w:bCs/>
      <w:color w:val="000000"/>
      <w:sz w:val="58"/>
      <w:szCs w:val="58"/>
      <w:lang w:eastAsia="zh-CN"/>
    </w:rPr>
  </w:style>
  <w:style w:type="character" w:customStyle="1" w:styleId="80">
    <w:name w:val="Заголовок 8 Знак"/>
    <w:basedOn w:val="a1"/>
    <w:link w:val="8"/>
    <w:rsid w:val="00E54729"/>
    <w:rPr>
      <w:rFonts w:ascii="Times New Roman" w:eastAsia="Times New Roman" w:hAnsi="Times New Roman" w:cs="Arial"/>
      <w:b/>
      <w:bCs/>
      <w:i/>
      <w:iCs/>
      <w:color w:val="000000"/>
      <w:sz w:val="58"/>
      <w:szCs w:val="58"/>
      <w:lang w:eastAsia="zh-CN"/>
    </w:rPr>
  </w:style>
  <w:style w:type="character" w:customStyle="1" w:styleId="90">
    <w:name w:val="Заголовок 9 Знак"/>
    <w:basedOn w:val="a1"/>
    <w:link w:val="9"/>
    <w:rsid w:val="00E54729"/>
    <w:rPr>
      <w:rFonts w:ascii="Times New Roman" w:eastAsia="Times New Roman" w:hAnsi="Times New Roman" w:cs="Arial"/>
      <w:b/>
      <w:bCs/>
      <w:color w:val="000000"/>
      <w:sz w:val="54"/>
      <w:szCs w:val="54"/>
      <w:lang w:eastAsia="zh-CN"/>
    </w:rPr>
  </w:style>
  <w:style w:type="paragraph" w:styleId="a0">
    <w:name w:val="Title"/>
    <w:basedOn w:val="a"/>
    <w:next w:val="a"/>
    <w:link w:val="af0"/>
    <w:uiPriority w:val="10"/>
    <w:qFormat/>
    <w:rsid w:val="00E547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0">
    <w:name w:val="Назва Знак"/>
    <w:basedOn w:val="a1"/>
    <w:link w:val="a0"/>
    <w:uiPriority w:val="10"/>
    <w:rsid w:val="00E54729"/>
    <w:rPr>
      <w:rFonts w:asciiTheme="majorHAnsi" w:eastAsiaTheme="majorEastAsia" w:hAnsiTheme="majorHAnsi" w:cstheme="majorBidi"/>
      <w:spacing w:val="-10"/>
      <w:kern w:val="28"/>
      <w:sz w:val="56"/>
      <w:szCs w:val="56"/>
    </w:rPr>
  </w:style>
  <w:style w:type="paragraph" w:customStyle="1" w:styleId="rvps7">
    <w:name w:val="rvps7"/>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1"/>
    <w:rsid w:val="002E17A9"/>
  </w:style>
  <w:style w:type="paragraph" w:customStyle="1" w:styleId="rvps2">
    <w:name w:val="rvps2"/>
    <w:basedOn w:val="a"/>
    <w:rsid w:val="002E17A9"/>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9262725">
      <w:bodyDiv w:val="1"/>
      <w:marLeft w:val="0"/>
      <w:marRight w:val="0"/>
      <w:marTop w:val="0"/>
      <w:marBottom w:val="0"/>
      <w:divBdr>
        <w:top w:val="none" w:sz="0" w:space="0" w:color="auto"/>
        <w:left w:val="none" w:sz="0" w:space="0" w:color="auto"/>
        <w:bottom w:val="none" w:sz="0" w:space="0" w:color="auto"/>
        <w:right w:val="none" w:sz="0" w:space="0" w:color="auto"/>
      </w:divBdr>
    </w:div>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641236188">
      <w:bodyDiv w:val="1"/>
      <w:marLeft w:val="0"/>
      <w:marRight w:val="0"/>
      <w:marTop w:val="0"/>
      <w:marBottom w:val="0"/>
      <w:divBdr>
        <w:top w:val="none" w:sz="0" w:space="0" w:color="auto"/>
        <w:left w:val="none" w:sz="0" w:space="0" w:color="auto"/>
        <w:bottom w:val="none" w:sz="0" w:space="0" w:color="auto"/>
        <w:right w:val="none" w:sz="0" w:space="0" w:color="auto"/>
      </w:divBdr>
      <w:divsChild>
        <w:div w:id="1044594843">
          <w:marLeft w:val="0"/>
          <w:marRight w:val="0"/>
          <w:marTop w:val="0"/>
          <w:marBottom w:val="0"/>
          <w:divBdr>
            <w:top w:val="none" w:sz="0" w:space="0" w:color="auto"/>
            <w:left w:val="none" w:sz="0" w:space="0" w:color="auto"/>
            <w:bottom w:val="none" w:sz="0" w:space="0" w:color="auto"/>
            <w:right w:val="none" w:sz="0" w:space="0" w:color="auto"/>
          </w:divBdr>
        </w:div>
        <w:div w:id="470827566">
          <w:marLeft w:val="0"/>
          <w:marRight w:val="0"/>
          <w:marTop w:val="0"/>
          <w:marBottom w:val="0"/>
          <w:divBdr>
            <w:top w:val="none" w:sz="0" w:space="0" w:color="auto"/>
            <w:left w:val="none" w:sz="0" w:space="0" w:color="auto"/>
            <w:bottom w:val="none" w:sz="0" w:space="0" w:color="auto"/>
            <w:right w:val="none" w:sz="0" w:space="0" w:color="auto"/>
          </w:divBdr>
        </w:div>
        <w:div w:id="2104451699">
          <w:marLeft w:val="0"/>
          <w:marRight w:val="0"/>
          <w:marTop w:val="0"/>
          <w:marBottom w:val="0"/>
          <w:divBdr>
            <w:top w:val="none" w:sz="0" w:space="0" w:color="auto"/>
            <w:left w:val="none" w:sz="0" w:space="0" w:color="auto"/>
            <w:bottom w:val="none" w:sz="0" w:space="0" w:color="auto"/>
            <w:right w:val="none" w:sz="0" w:space="0" w:color="auto"/>
          </w:divBdr>
        </w:div>
        <w:div w:id="50809740">
          <w:marLeft w:val="0"/>
          <w:marRight w:val="0"/>
          <w:marTop w:val="0"/>
          <w:marBottom w:val="0"/>
          <w:divBdr>
            <w:top w:val="none" w:sz="0" w:space="0" w:color="auto"/>
            <w:left w:val="none" w:sz="0" w:space="0" w:color="auto"/>
            <w:bottom w:val="none" w:sz="0" w:space="0" w:color="auto"/>
            <w:right w:val="none" w:sz="0" w:space="0" w:color="auto"/>
          </w:divBdr>
        </w:div>
        <w:div w:id="1500387203">
          <w:marLeft w:val="0"/>
          <w:marRight w:val="0"/>
          <w:marTop w:val="0"/>
          <w:marBottom w:val="0"/>
          <w:divBdr>
            <w:top w:val="none" w:sz="0" w:space="0" w:color="auto"/>
            <w:left w:val="none" w:sz="0" w:space="0" w:color="auto"/>
            <w:bottom w:val="none" w:sz="0" w:space="0" w:color="auto"/>
            <w:right w:val="none" w:sz="0" w:space="0" w:color="auto"/>
          </w:divBdr>
        </w:div>
        <w:div w:id="408886979">
          <w:marLeft w:val="0"/>
          <w:marRight w:val="0"/>
          <w:marTop w:val="0"/>
          <w:marBottom w:val="0"/>
          <w:divBdr>
            <w:top w:val="none" w:sz="0" w:space="0" w:color="auto"/>
            <w:left w:val="none" w:sz="0" w:space="0" w:color="auto"/>
            <w:bottom w:val="none" w:sz="0" w:space="0" w:color="auto"/>
            <w:right w:val="none" w:sz="0" w:space="0" w:color="auto"/>
          </w:divBdr>
        </w:div>
        <w:div w:id="516165541">
          <w:marLeft w:val="0"/>
          <w:marRight w:val="0"/>
          <w:marTop w:val="0"/>
          <w:marBottom w:val="0"/>
          <w:divBdr>
            <w:top w:val="none" w:sz="0" w:space="0" w:color="auto"/>
            <w:left w:val="none" w:sz="0" w:space="0" w:color="auto"/>
            <w:bottom w:val="none" w:sz="0" w:space="0" w:color="auto"/>
            <w:right w:val="none" w:sz="0" w:space="0" w:color="auto"/>
          </w:divBdr>
        </w:div>
        <w:div w:id="993610477">
          <w:marLeft w:val="0"/>
          <w:marRight w:val="0"/>
          <w:marTop w:val="0"/>
          <w:marBottom w:val="0"/>
          <w:divBdr>
            <w:top w:val="none" w:sz="0" w:space="0" w:color="auto"/>
            <w:left w:val="none" w:sz="0" w:space="0" w:color="auto"/>
            <w:bottom w:val="none" w:sz="0" w:space="0" w:color="auto"/>
            <w:right w:val="none" w:sz="0" w:space="0" w:color="auto"/>
          </w:divBdr>
        </w:div>
        <w:div w:id="70397381">
          <w:marLeft w:val="0"/>
          <w:marRight w:val="0"/>
          <w:marTop w:val="0"/>
          <w:marBottom w:val="0"/>
          <w:divBdr>
            <w:top w:val="none" w:sz="0" w:space="0" w:color="auto"/>
            <w:left w:val="none" w:sz="0" w:space="0" w:color="auto"/>
            <w:bottom w:val="none" w:sz="0" w:space="0" w:color="auto"/>
            <w:right w:val="none" w:sz="0" w:space="0" w:color="auto"/>
          </w:divBdr>
        </w:div>
        <w:div w:id="51775315">
          <w:marLeft w:val="0"/>
          <w:marRight w:val="0"/>
          <w:marTop w:val="0"/>
          <w:marBottom w:val="0"/>
          <w:divBdr>
            <w:top w:val="none" w:sz="0" w:space="0" w:color="auto"/>
            <w:left w:val="none" w:sz="0" w:space="0" w:color="auto"/>
            <w:bottom w:val="none" w:sz="0" w:space="0" w:color="auto"/>
            <w:right w:val="none" w:sz="0" w:space="0" w:color="auto"/>
          </w:divBdr>
        </w:div>
        <w:div w:id="55669288">
          <w:marLeft w:val="0"/>
          <w:marRight w:val="0"/>
          <w:marTop w:val="0"/>
          <w:marBottom w:val="0"/>
          <w:divBdr>
            <w:top w:val="none" w:sz="0" w:space="0" w:color="auto"/>
            <w:left w:val="none" w:sz="0" w:space="0" w:color="auto"/>
            <w:bottom w:val="none" w:sz="0" w:space="0" w:color="auto"/>
            <w:right w:val="none" w:sz="0" w:space="0" w:color="auto"/>
          </w:divBdr>
        </w:div>
        <w:div w:id="365568048">
          <w:marLeft w:val="0"/>
          <w:marRight w:val="0"/>
          <w:marTop w:val="0"/>
          <w:marBottom w:val="0"/>
          <w:divBdr>
            <w:top w:val="none" w:sz="0" w:space="0" w:color="auto"/>
            <w:left w:val="none" w:sz="0" w:space="0" w:color="auto"/>
            <w:bottom w:val="none" w:sz="0" w:space="0" w:color="auto"/>
            <w:right w:val="none" w:sz="0" w:space="0" w:color="auto"/>
          </w:divBdr>
        </w:div>
        <w:div w:id="1680694378">
          <w:marLeft w:val="0"/>
          <w:marRight w:val="0"/>
          <w:marTop w:val="0"/>
          <w:marBottom w:val="0"/>
          <w:divBdr>
            <w:top w:val="none" w:sz="0" w:space="0" w:color="auto"/>
            <w:left w:val="none" w:sz="0" w:space="0" w:color="auto"/>
            <w:bottom w:val="none" w:sz="0" w:space="0" w:color="auto"/>
            <w:right w:val="none" w:sz="0" w:space="0" w:color="auto"/>
          </w:divBdr>
        </w:div>
        <w:div w:id="1797062944">
          <w:marLeft w:val="0"/>
          <w:marRight w:val="0"/>
          <w:marTop w:val="0"/>
          <w:marBottom w:val="0"/>
          <w:divBdr>
            <w:top w:val="none" w:sz="0" w:space="0" w:color="auto"/>
            <w:left w:val="none" w:sz="0" w:space="0" w:color="auto"/>
            <w:bottom w:val="none" w:sz="0" w:space="0" w:color="auto"/>
            <w:right w:val="none" w:sz="0" w:space="0" w:color="auto"/>
          </w:divBdr>
        </w:div>
        <w:div w:id="1101873038">
          <w:marLeft w:val="0"/>
          <w:marRight w:val="0"/>
          <w:marTop w:val="0"/>
          <w:marBottom w:val="0"/>
          <w:divBdr>
            <w:top w:val="none" w:sz="0" w:space="0" w:color="auto"/>
            <w:left w:val="none" w:sz="0" w:space="0" w:color="auto"/>
            <w:bottom w:val="none" w:sz="0" w:space="0" w:color="auto"/>
            <w:right w:val="none" w:sz="0" w:space="0" w:color="auto"/>
          </w:divBdr>
        </w:div>
        <w:div w:id="1247569960">
          <w:marLeft w:val="0"/>
          <w:marRight w:val="0"/>
          <w:marTop w:val="0"/>
          <w:marBottom w:val="0"/>
          <w:divBdr>
            <w:top w:val="none" w:sz="0" w:space="0" w:color="auto"/>
            <w:left w:val="none" w:sz="0" w:space="0" w:color="auto"/>
            <w:bottom w:val="none" w:sz="0" w:space="0" w:color="auto"/>
            <w:right w:val="none" w:sz="0" w:space="0" w:color="auto"/>
          </w:divBdr>
        </w:div>
        <w:div w:id="1633320841">
          <w:marLeft w:val="0"/>
          <w:marRight w:val="0"/>
          <w:marTop w:val="0"/>
          <w:marBottom w:val="0"/>
          <w:divBdr>
            <w:top w:val="none" w:sz="0" w:space="0" w:color="auto"/>
            <w:left w:val="none" w:sz="0" w:space="0" w:color="auto"/>
            <w:bottom w:val="none" w:sz="0" w:space="0" w:color="auto"/>
            <w:right w:val="none" w:sz="0" w:space="0" w:color="auto"/>
          </w:divBdr>
        </w:div>
        <w:div w:id="1748260047">
          <w:marLeft w:val="0"/>
          <w:marRight w:val="0"/>
          <w:marTop w:val="0"/>
          <w:marBottom w:val="0"/>
          <w:divBdr>
            <w:top w:val="none" w:sz="0" w:space="0" w:color="auto"/>
            <w:left w:val="none" w:sz="0" w:space="0" w:color="auto"/>
            <w:bottom w:val="none" w:sz="0" w:space="0" w:color="auto"/>
            <w:right w:val="none" w:sz="0" w:space="0" w:color="auto"/>
          </w:divBdr>
        </w:div>
        <w:div w:id="465969934">
          <w:marLeft w:val="0"/>
          <w:marRight w:val="0"/>
          <w:marTop w:val="0"/>
          <w:marBottom w:val="0"/>
          <w:divBdr>
            <w:top w:val="none" w:sz="0" w:space="0" w:color="auto"/>
            <w:left w:val="none" w:sz="0" w:space="0" w:color="auto"/>
            <w:bottom w:val="none" w:sz="0" w:space="0" w:color="auto"/>
            <w:right w:val="none" w:sz="0" w:space="0" w:color="auto"/>
          </w:divBdr>
        </w:div>
        <w:div w:id="1835682431">
          <w:marLeft w:val="0"/>
          <w:marRight w:val="0"/>
          <w:marTop w:val="0"/>
          <w:marBottom w:val="0"/>
          <w:divBdr>
            <w:top w:val="none" w:sz="0" w:space="0" w:color="auto"/>
            <w:left w:val="none" w:sz="0" w:space="0" w:color="auto"/>
            <w:bottom w:val="none" w:sz="0" w:space="0" w:color="auto"/>
            <w:right w:val="none" w:sz="0" w:space="0" w:color="auto"/>
          </w:divBdr>
        </w:div>
        <w:div w:id="341783152">
          <w:marLeft w:val="0"/>
          <w:marRight w:val="0"/>
          <w:marTop w:val="0"/>
          <w:marBottom w:val="0"/>
          <w:divBdr>
            <w:top w:val="none" w:sz="0" w:space="0" w:color="auto"/>
            <w:left w:val="none" w:sz="0" w:space="0" w:color="auto"/>
            <w:bottom w:val="none" w:sz="0" w:space="0" w:color="auto"/>
            <w:right w:val="none" w:sz="0" w:space="0" w:color="auto"/>
          </w:divBdr>
        </w:div>
        <w:div w:id="2146194092">
          <w:marLeft w:val="0"/>
          <w:marRight w:val="0"/>
          <w:marTop w:val="0"/>
          <w:marBottom w:val="0"/>
          <w:divBdr>
            <w:top w:val="none" w:sz="0" w:space="0" w:color="auto"/>
            <w:left w:val="none" w:sz="0" w:space="0" w:color="auto"/>
            <w:bottom w:val="none" w:sz="0" w:space="0" w:color="auto"/>
            <w:right w:val="none" w:sz="0" w:space="0" w:color="auto"/>
          </w:divBdr>
        </w:div>
        <w:div w:id="562370743">
          <w:marLeft w:val="0"/>
          <w:marRight w:val="0"/>
          <w:marTop w:val="0"/>
          <w:marBottom w:val="0"/>
          <w:divBdr>
            <w:top w:val="none" w:sz="0" w:space="0" w:color="auto"/>
            <w:left w:val="none" w:sz="0" w:space="0" w:color="auto"/>
            <w:bottom w:val="none" w:sz="0" w:space="0" w:color="auto"/>
            <w:right w:val="none" w:sz="0" w:space="0" w:color="auto"/>
          </w:divBdr>
        </w:div>
        <w:div w:id="898132740">
          <w:marLeft w:val="0"/>
          <w:marRight w:val="0"/>
          <w:marTop w:val="0"/>
          <w:marBottom w:val="0"/>
          <w:divBdr>
            <w:top w:val="none" w:sz="0" w:space="0" w:color="auto"/>
            <w:left w:val="none" w:sz="0" w:space="0" w:color="auto"/>
            <w:bottom w:val="none" w:sz="0" w:space="0" w:color="auto"/>
            <w:right w:val="none" w:sz="0" w:space="0" w:color="auto"/>
          </w:divBdr>
        </w:div>
        <w:div w:id="559632744">
          <w:marLeft w:val="0"/>
          <w:marRight w:val="0"/>
          <w:marTop w:val="0"/>
          <w:marBottom w:val="0"/>
          <w:divBdr>
            <w:top w:val="none" w:sz="0" w:space="0" w:color="auto"/>
            <w:left w:val="none" w:sz="0" w:space="0" w:color="auto"/>
            <w:bottom w:val="none" w:sz="0" w:space="0" w:color="auto"/>
            <w:right w:val="none" w:sz="0" w:space="0" w:color="auto"/>
          </w:divBdr>
        </w:div>
        <w:div w:id="648901130">
          <w:marLeft w:val="0"/>
          <w:marRight w:val="0"/>
          <w:marTop w:val="0"/>
          <w:marBottom w:val="0"/>
          <w:divBdr>
            <w:top w:val="none" w:sz="0" w:space="0" w:color="auto"/>
            <w:left w:val="none" w:sz="0" w:space="0" w:color="auto"/>
            <w:bottom w:val="none" w:sz="0" w:space="0" w:color="auto"/>
            <w:right w:val="none" w:sz="0" w:space="0" w:color="auto"/>
          </w:divBdr>
        </w:div>
        <w:div w:id="605230731">
          <w:marLeft w:val="0"/>
          <w:marRight w:val="0"/>
          <w:marTop w:val="0"/>
          <w:marBottom w:val="0"/>
          <w:divBdr>
            <w:top w:val="none" w:sz="0" w:space="0" w:color="auto"/>
            <w:left w:val="none" w:sz="0" w:space="0" w:color="auto"/>
            <w:bottom w:val="none" w:sz="0" w:space="0" w:color="auto"/>
            <w:right w:val="none" w:sz="0" w:space="0" w:color="auto"/>
          </w:divBdr>
        </w:div>
        <w:div w:id="1666087731">
          <w:marLeft w:val="0"/>
          <w:marRight w:val="0"/>
          <w:marTop w:val="0"/>
          <w:marBottom w:val="0"/>
          <w:divBdr>
            <w:top w:val="none" w:sz="0" w:space="0" w:color="auto"/>
            <w:left w:val="none" w:sz="0" w:space="0" w:color="auto"/>
            <w:bottom w:val="none" w:sz="0" w:space="0" w:color="auto"/>
            <w:right w:val="none" w:sz="0" w:space="0" w:color="auto"/>
          </w:divBdr>
        </w:div>
        <w:div w:id="2010593078">
          <w:marLeft w:val="0"/>
          <w:marRight w:val="0"/>
          <w:marTop w:val="0"/>
          <w:marBottom w:val="0"/>
          <w:divBdr>
            <w:top w:val="none" w:sz="0" w:space="0" w:color="auto"/>
            <w:left w:val="none" w:sz="0" w:space="0" w:color="auto"/>
            <w:bottom w:val="none" w:sz="0" w:space="0" w:color="auto"/>
            <w:right w:val="none" w:sz="0" w:space="0" w:color="auto"/>
          </w:divBdr>
        </w:div>
      </w:divsChild>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 w:id="1525946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65879-E2DF-44CC-ACE1-29268A00B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1203</TotalTime>
  <Pages>4</Pages>
  <Words>5906</Words>
  <Characters>3367</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63</cp:revision>
  <cp:lastPrinted>2020-11-05T09:50:00Z</cp:lastPrinted>
  <dcterms:created xsi:type="dcterms:W3CDTF">2020-09-10T11:06:00Z</dcterms:created>
  <dcterms:modified xsi:type="dcterms:W3CDTF">2020-11-11T12:07:00Z</dcterms:modified>
</cp:coreProperties>
</file>