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228" w:rsidRPr="004B2879" w:rsidRDefault="001E7228" w:rsidP="004B2879">
      <w:pPr>
        <w:spacing w:line="240" w:lineRule="auto"/>
        <w:rPr>
          <w:lang w:val="en-US"/>
        </w:rPr>
      </w:pPr>
      <w:bookmarkStart w:id="0" w:name="_GoBack"/>
      <w:bookmarkEnd w:id="0"/>
    </w:p>
    <w:tbl>
      <w:tblPr>
        <w:tblStyle w:val="a5"/>
        <w:tblW w:w="100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1"/>
        <w:gridCol w:w="5944"/>
      </w:tblGrid>
      <w:tr w:rsidR="00FA3EA3" w:rsidTr="00FA3EA3">
        <w:trPr>
          <w:trHeight w:val="246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E7228" w:rsidRDefault="001E7228" w:rsidP="00FA3EA3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7228" w:rsidRDefault="001E7228" w:rsidP="00FA3EA3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7228" w:rsidRDefault="001E7228" w:rsidP="00FA3EA3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7228" w:rsidRDefault="00985A89" w:rsidP="00AB4875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Рішення Комітету</w:t>
            </w:r>
          </w:p>
          <w:p w:rsidR="001E7228" w:rsidRDefault="00985A89" w:rsidP="00AB4875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щодо експертного висновку</w:t>
            </w:r>
          </w:p>
          <w:p w:rsidR="001E7228" w:rsidRDefault="00985A89" w:rsidP="00AB4875">
            <w:pPr>
              <w:spacing w:after="0" w:line="240" w:lineRule="auto"/>
              <w:ind w:left="4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законопроекту № 4219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:rsidR="001E7228" w:rsidRDefault="00985A89" w:rsidP="00FA3EA3">
            <w:pPr>
              <w:spacing w:after="0" w:line="240" w:lineRule="auto"/>
              <w:ind w:right="72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Комітет з питань економічного розвитку</w:t>
            </w:r>
          </w:p>
        </w:tc>
      </w:tr>
    </w:tbl>
    <w:p w:rsidR="00FC1903" w:rsidRDefault="00FC1903" w:rsidP="00FA3E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«П</w:t>
      </w:r>
      <w:r w:rsidRPr="0011787A">
        <w:rPr>
          <w:rFonts w:ascii="Times New Roman" w:eastAsia="Times New Roman" w:hAnsi="Times New Roman" w:cs="Times New Roman"/>
          <w:sz w:val="28"/>
          <w:szCs w:val="28"/>
        </w:rPr>
        <w:t>ро внесення змін до законодавчих актів України щодо дозвільної системи у сфері господарської діяльності та спрощення доступу на ринки</w:t>
      </w:r>
      <w:r>
        <w:rPr>
          <w:rFonts w:ascii="Times New Roman" w:eastAsia="Times New Roman" w:hAnsi="Times New Roman" w:cs="Times New Roman"/>
          <w:sz w:val="28"/>
          <w:szCs w:val="28"/>
        </w:rPr>
        <w:t>» (реєстр. № 4219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), поданий </w:t>
      </w:r>
      <w:r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 Підласою Р.А., Шуляк О.О., Мельником П.В. та іншими.</w:t>
      </w:r>
    </w:p>
    <w:p w:rsidR="00FC1903" w:rsidRDefault="00FC1903" w:rsidP="00FC19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до пояснювальної записки проект Закону розроблено з метою </w:t>
      </w:r>
      <w:bookmarkStart w:id="1" w:name="_gjdgxs" w:colFirst="0" w:colLast="0"/>
      <w:bookmarkEnd w:id="1"/>
      <w:r w:rsidRPr="0011787A">
        <w:rPr>
          <w:rFonts w:ascii="Times New Roman" w:eastAsia="Times New Roman" w:hAnsi="Times New Roman" w:cs="Times New Roman"/>
          <w:sz w:val="28"/>
          <w:szCs w:val="28"/>
        </w:rPr>
        <w:t>створення належних правових умов для реалізації гарантованої законом свободи підприємницької діяльності у межах, визначених законом, шляхом звуження сфери втручання держави у господарські відносини.</w:t>
      </w:r>
    </w:p>
    <w:p w:rsidR="00FC1903" w:rsidRDefault="00FC1903" w:rsidP="00FC19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положень, які можуть сприяти вчиненню корупційних правопорушень або правопорушень, пов’язаних з корупцією.</w:t>
      </w:r>
    </w:p>
    <w:p w:rsidR="00FC1903" w:rsidRDefault="00FC1903" w:rsidP="00FC190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OLE_LINK1"/>
      <w:bookmarkStart w:id="3" w:name="OLE_LINK2"/>
      <w:bookmarkStart w:id="4" w:name="OLE_LINK3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Загалом підтримуючи подання декларації як спрощення доступу до господарської діяльності, </w:t>
      </w: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 звертає увагу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необхідність чітко визначити, які </w:t>
      </w:r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>саме «певні дії» щодо провадження господарської</w:t>
      </w:r>
      <w:r w:rsidRPr="00734D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діяльності або видів господарської діяльності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зможе здійснювати суб’єкт господарювання на підставі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поданої </w:t>
      </w:r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>декларації (</w:t>
      </w:r>
      <w:bookmarkEnd w:id="2"/>
      <w:bookmarkEnd w:id="3"/>
      <w:bookmarkEnd w:id="4"/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статті 14 </w:t>
      </w:r>
      <w:r w:rsidRPr="000D64FC">
        <w:rPr>
          <w:rFonts w:ascii="Times New Roman" w:hAnsi="Times New Roman" w:cs="Times New Roman"/>
          <w:sz w:val="28"/>
          <w:szCs w:val="28"/>
        </w:rPr>
        <w:t>Закону України «Про дозвільну систему у сфері господарської діяльності»</w:t>
      </w:r>
      <w:r w:rsidRPr="000D64F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</w:p>
    <w:p w:rsidR="00FC1903" w:rsidRDefault="00FC1903" w:rsidP="00FC190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Також слід конкретизувати процедуру </w:t>
      </w:r>
      <w:r w:rsidRPr="004F7F73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продовження строку дозволу на спеціальне водокористування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частині </w:t>
      </w:r>
      <w:r w:rsidR="00AB48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визначення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строків та підстав (критеріїв) прийняття такого рішення </w:t>
      </w:r>
      <w:r w:rsidRPr="004F7F7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органами, уповноваженими видавати дозвіл на спеціальне водокористування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3A1E80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3A1E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50 Водного кодексу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1E7228" w:rsidRDefault="00FC1903" w:rsidP="00FC19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липня </w:t>
      </w:r>
      <w:r>
        <w:rPr>
          <w:rFonts w:ascii="Times New Roman" w:eastAsia="Times New Roman" w:hAnsi="Times New Roman" w:cs="Times New Roman"/>
          <w:sz w:val="28"/>
          <w:szCs w:val="28"/>
        </w:rPr>
        <w:t>2021 року (протокол № 84) дійшов висновку та прийняв рішення, що проект Закону України «</w:t>
      </w:r>
      <w:r w:rsidRPr="00734DA2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законодавчих актів України щодо дозвільної системи у сфері господарської діяльності та спрощення доступу на ринки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(реєстр. № 4219)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FC1903" w:rsidRDefault="00FC1903" w:rsidP="00FC19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E7228" w:rsidRDefault="00985A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Голова Комітету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А. РАДІНА</w:t>
      </w:r>
    </w:p>
    <w:sectPr w:rsidR="001E7228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F9A" w:rsidRDefault="00C94F9A">
      <w:pPr>
        <w:spacing w:after="0" w:line="240" w:lineRule="auto"/>
      </w:pPr>
      <w:r>
        <w:separator/>
      </w:r>
    </w:p>
  </w:endnote>
  <w:endnote w:type="continuationSeparator" w:id="0">
    <w:p w:rsidR="00C94F9A" w:rsidRDefault="00C94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228" w:rsidRDefault="001E722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E7228" w:rsidRDefault="001E722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F9A" w:rsidRDefault="00C94F9A">
      <w:pPr>
        <w:spacing w:after="0" w:line="240" w:lineRule="auto"/>
      </w:pPr>
      <w:r>
        <w:separator/>
      </w:r>
    </w:p>
  </w:footnote>
  <w:footnote w:type="continuationSeparator" w:id="0">
    <w:p w:rsidR="00C94F9A" w:rsidRDefault="00C94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228" w:rsidRDefault="00985A8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228" w:rsidRDefault="001E72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6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E722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E7228" w:rsidRDefault="00985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eastAsia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-801368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1E7228" w:rsidRDefault="00985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E7228" w:rsidRDefault="00985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</w:rPr>
          </w:pPr>
          <w:r>
            <w:rPr>
              <w:rFonts w:ascii="Times New Roman" w:eastAsia="Times New Roman" w:hAnsi="Times New Roman" w:cs="Times New Roman"/>
              <w:color w:val="1829A8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: crimecor@rada.gov.ua</w:t>
          </w:r>
        </w:p>
      </w:tc>
    </w:tr>
  </w:tbl>
  <w:p w:rsidR="001E7228" w:rsidRDefault="001E72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7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E7228">
      <w:tc>
        <w:tcPr>
          <w:tcW w:w="1087" w:type="dxa"/>
          <w:tcBorders>
            <w:top w:val="nil"/>
          </w:tcBorders>
        </w:tcPr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3" w:type="dxa"/>
        </w:tcPr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1E7228" w:rsidRDefault="001E72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1E7228" w:rsidRDefault="001E722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228"/>
    <w:rsid w:val="001E7228"/>
    <w:rsid w:val="003E66DA"/>
    <w:rsid w:val="004B2879"/>
    <w:rsid w:val="00651ECF"/>
    <w:rsid w:val="006B76F5"/>
    <w:rsid w:val="00985A89"/>
    <w:rsid w:val="00AB4875"/>
    <w:rsid w:val="00C94F9A"/>
    <w:rsid w:val="00E150E3"/>
    <w:rsid w:val="00FA3EA3"/>
    <w:rsid w:val="00FC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AE090-3C03-2547-8BDB-6EF1BA4C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FC1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C1903"/>
  </w:style>
  <w:style w:type="paragraph" w:styleId="aa">
    <w:name w:val="footer"/>
    <w:basedOn w:val="a"/>
    <w:link w:val="ab"/>
    <w:uiPriority w:val="99"/>
    <w:unhideWhenUsed/>
    <w:rsid w:val="00FC1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C1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1504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>Khutor Tetiana</Manager>
  <Company/>
  <LinksUpToDate>false</LinksUpToDate>
  <CharactersWithSpaces>2358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2021-07-20T08:53:00Z</dcterms:created>
  <dcterms:modified xsi:type="dcterms:W3CDTF">2021-07-20T08:53:00Z</dcterms:modified>
  <cp:category/>
</cp:coreProperties>
</file>