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57D9B" w:rsidRDefault="00CD1364">
      <w:pPr>
        <w:spacing w:after="0" w:line="240" w:lineRule="auto"/>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Проект</w:t>
      </w:r>
    </w:p>
    <w:p w14:paraId="00000002" w14:textId="77777777" w:rsidR="00957D9B" w:rsidRDefault="00957D9B">
      <w:pPr>
        <w:spacing w:after="0" w:line="240" w:lineRule="auto"/>
        <w:rPr>
          <w:rFonts w:ascii="Times New Roman" w:eastAsia="Times New Roman" w:hAnsi="Times New Roman" w:cs="Times New Roman"/>
          <w:sz w:val="28"/>
          <w:szCs w:val="28"/>
        </w:rPr>
      </w:pPr>
      <w:bookmarkStart w:id="1" w:name="_gjdgxs" w:colFirst="0" w:colLast="0"/>
      <w:bookmarkEnd w:id="1"/>
    </w:p>
    <w:p w14:paraId="00000003" w14:textId="77777777" w:rsidR="00957D9B" w:rsidRDefault="00CD1364">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вноситься народним депутатом України</w:t>
      </w:r>
    </w:p>
    <w:p w14:paraId="00000004" w14:textId="7D271E07" w:rsidR="00957D9B" w:rsidRDefault="00CD1364">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Дануц</w:t>
      </w:r>
      <w:r w:rsidR="000D1B0C">
        <w:rPr>
          <w:rFonts w:ascii="Times New Roman" w:eastAsia="Times New Roman" w:hAnsi="Times New Roman" w:cs="Times New Roman"/>
          <w:b/>
          <w:color w:val="000000"/>
          <w:sz w:val="28"/>
          <w:szCs w:val="28"/>
        </w:rPr>
        <w:t>е</w:t>
      </w:r>
      <w:r>
        <w:rPr>
          <w:rFonts w:ascii="Times New Roman" w:eastAsia="Times New Roman" w:hAnsi="Times New Roman" w:cs="Times New Roman"/>
          <w:b/>
          <w:color w:val="000000"/>
          <w:sz w:val="28"/>
          <w:szCs w:val="28"/>
        </w:rPr>
        <w:t>ю О.А. (посв.</w:t>
      </w:r>
      <w:r w:rsidR="000D1B0C" w:rsidRPr="000D1B0C">
        <w:rPr>
          <w:rFonts w:ascii="Times New Roman" w:eastAsia="Times New Roman" w:hAnsi="Times New Roman" w:cs="Times New Roman"/>
          <w:b/>
          <w:color w:val="000000"/>
          <w:sz w:val="28"/>
          <w:szCs w:val="28"/>
          <w:lang w:val="ru-RU"/>
        </w:rPr>
        <w:t>305</w:t>
      </w:r>
      <w:r>
        <w:rPr>
          <w:rFonts w:ascii="Times New Roman" w:eastAsia="Times New Roman" w:hAnsi="Times New Roman" w:cs="Times New Roman"/>
          <w:b/>
          <w:color w:val="000000"/>
          <w:sz w:val="28"/>
          <w:szCs w:val="28"/>
        </w:rPr>
        <w:t xml:space="preserve">)                                                       </w:t>
      </w:r>
    </w:p>
    <w:p w14:paraId="15FA0DBF" w14:textId="77777777" w:rsidR="000D1B0C" w:rsidRDefault="000D1B0C">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28"/>
          <w:szCs w:val="28"/>
        </w:rPr>
      </w:pPr>
    </w:p>
    <w:p w14:paraId="2D83155A" w14:textId="77777777" w:rsidR="000D1B0C" w:rsidRDefault="000D1B0C">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28"/>
          <w:szCs w:val="28"/>
        </w:rPr>
      </w:pPr>
    </w:p>
    <w:p w14:paraId="00000005" w14:textId="18D6ECBF" w:rsidR="00957D9B" w:rsidRPr="000D1B0C" w:rsidRDefault="00CD1364">
      <w:pPr>
        <w:keepNext/>
        <w:keepLines/>
        <w:pBdr>
          <w:top w:val="nil"/>
          <w:left w:val="nil"/>
          <w:bottom w:val="nil"/>
          <w:right w:val="nil"/>
          <w:between w:val="nil"/>
        </w:pBdr>
        <w:spacing w:before="480" w:after="0" w:line="240" w:lineRule="auto"/>
        <w:jc w:val="center"/>
        <w:rPr>
          <w:rFonts w:ascii="Times New Roman" w:eastAsia="Times New Roman" w:hAnsi="Times New Roman" w:cs="Times New Roman"/>
          <w:b/>
          <w:color w:val="000000"/>
          <w:sz w:val="28"/>
          <w:szCs w:val="28"/>
        </w:rPr>
      </w:pPr>
      <w:r w:rsidRPr="000D1B0C">
        <w:rPr>
          <w:rFonts w:ascii="Times New Roman" w:eastAsia="Times New Roman" w:hAnsi="Times New Roman" w:cs="Times New Roman"/>
          <w:b/>
          <w:color w:val="000000"/>
          <w:sz w:val="28"/>
          <w:szCs w:val="28"/>
        </w:rPr>
        <w:t>З</w:t>
      </w:r>
      <w:r w:rsidR="000D1B0C">
        <w:rPr>
          <w:rFonts w:ascii="Times New Roman" w:eastAsia="Times New Roman" w:hAnsi="Times New Roman" w:cs="Times New Roman"/>
          <w:b/>
          <w:color w:val="000000"/>
          <w:sz w:val="28"/>
          <w:szCs w:val="28"/>
        </w:rPr>
        <w:t>АКОН УКРАЇНИ</w:t>
      </w:r>
    </w:p>
    <w:p w14:paraId="00000006" w14:textId="77777777" w:rsidR="00957D9B" w:rsidRDefault="00957D9B">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p w14:paraId="00000007" w14:textId="77777777" w:rsidR="00957D9B" w:rsidRDefault="00CD1364" w:rsidP="009208C0">
      <w:pPr>
        <w:pBdr>
          <w:top w:val="nil"/>
          <w:left w:val="nil"/>
          <w:bottom w:val="nil"/>
          <w:right w:val="nil"/>
          <w:between w:val="nil"/>
        </w:pBdr>
        <w:spacing w:after="0" w:line="240" w:lineRule="auto"/>
        <w:ind w:firstLine="426"/>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механізму державного контролю при реалізації  тютюнових виробів)</w:t>
      </w:r>
    </w:p>
    <w:p w14:paraId="00000008" w14:textId="77777777" w:rsidR="00957D9B" w:rsidRDefault="00957D9B">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14:paraId="00000009"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Верховна Рада України</w:t>
      </w:r>
      <w:r>
        <w:rPr>
          <w:rFonts w:ascii="Times New Roman" w:eastAsia="Times New Roman" w:hAnsi="Times New Roman" w:cs="Times New Roman"/>
          <w:b/>
          <w:color w:val="000000"/>
          <w:sz w:val="28"/>
          <w:szCs w:val="28"/>
        </w:rPr>
        <w:t> </w:t>
      </w:r>
      <w:r>
        <w:rPr>
          <w:rFonts w:ascii="Times New Roman" w:eastAsia="Times New Roman" w:hAnsi="Times New Roman" w:cs="Times New Roman"/>
          <w:color w:val="000000"/>
          <w:sz w:val="28"/>
          <w:szCs w:val="28"/>
        </w:rPr>
        <w:t>п о с т а н о в л я є:</w:t>
      </w:r>
    </w:p>
    <w:p w14:paraId="0000000A"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0B"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 У </w:t>
      </w:r>
      <w:hyperlink r:id="rId9">
        <w:r>
          <w:rPr>
            <w:rFonts w:ascii="Times New Roman" w:eastAsia="Times New Roman" w:hAnsi="Times New Roman" w:cs="Times New Roman"/>
            <w:color w:val="000000"/>
            <w:sz w:val="28"/>
            <w:szCs w:val="28"/>
          </w:rPr>
          <w:t>Закон України</w:t>
        </w:r>
      </w:hyperlink>
      <w:r>
        <w:rPr>
          <w:rFonts w:ascii="Times New Roman" w:eastAsia="Times New Roman" w:hAnsi="Times New Roman" w:cs="Times New Roman"/>
          <w:color w:val="000000"/>
          <w:sz w:val="28"/>
          <w:szCs w:val="28"/>
        </w:rPr>
        <w:t>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1995 р., № 46, ст. 345 із наступними змінами) внести такі зміни:</w:t>
      </w:r>
    </w:p>
    <w:p w14:paraId="0000000C"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0D"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статті 1:</w:t>
      </w:r>
    </w:p>
    <w:p w14:paraId="0000000E"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0F" w14:textId="77777777" w:rsidR="00957D9B" w:rsidRDefault="00CD1364">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абзац одинадцятий викласти в такій редакції: </w:t>
      </w:r>
    </w:p>
    <w:p w14:paraId="00000010"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11" w14:textId="77777777" w:rsidR="00957D9B" w:rsidRDefault="00CD1364">
      <w:pPr>
        <w:pBdr>
          <w:top w:val="nil"/>
          <w:left w:val="nil"/>
          <w:bottom w:val="nil"/>
          <w:right w:val="nil"/>
          <w:between w:val="nil"/>
        </w:pBdr>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«тютюнові вироби для цілей цього Закону - сигарети з фільтром або без фільтру, цигарки, сигари, сигарили, тютюновмісний виріб для електричного нагрівання (ТВЕН) за допомогою підігрівача з електронним управлінням,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w:t>
      </w:r>
    </w:p>
    <w:p w14:paraId="00000012" w14:textId="77777777" w:rsidR="00957D9B" w:rsidRDefault="00957D9B">
      <w:pPr>
        <w:pBdr>
          <w:top w:val="nil"/>
          <w:left w:val="nil"/>
          <w:bottom w:val="nil"/>
          <w:right w:val="nil"/>
          <w:between w:val="nil"/>
        </w:pBdr>
        <w:spacing w:after="0" w:line="240" w:lineRule="auto"/>
        <w:ind w:firstLine="426"/>
        <w:jc w:val="both"/>
        <w:rPr>
          <w:rFonts w:ascii="Times New Roman" w:eastAsia="Times New Roman" w:hAnsi="Times New Roman" w:cs="Times New Roman"/>
          <w:color w:val="000000"/>
          <w:sz w:val="28"/>
          <w:szCs w:val="28"/>
        </w:rPr>
      </w:pPr>
    </w:p>
    <w:p w14:paraId="00000013" w14:textId="77777777" w:rsidR="00957D9B" w:rsidRDefault="00CD1364">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доповнити статтю абзацом такого змісту:</w:t>
      </w:r>
    </w:p>
    <w:p w14:paraId="00000014"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15" w14:textId="77777777" w:rsidR="00957D9B" w:rsidRDefault="00CD1364">
      <w:pPr>
        <w:pBdr>
          <w:top w:val="nil"/>
          <w:left w:val="nil"/>
          <w:bottom w:val="nil"/>
          <w:right w:val="nil"/>
          <w:between w:val="nil"/>
        </w:pBdr>
        <w:spacing w:after="0" w:line="240" w:lineRule="auto"/>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«тютюновмісні вироби для електричного  нагрівання (ТВЕН) за допомогою підігрівача з електронним управлінням  - вироби 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диму;»</w:t>
      </w:r>
    </w:p>
    <w:p w14:paraId="00000016"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17"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статті 15:</w:t>
      </w:r>
    </w:p>
    <w:p w14:paraId="00000018"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p>
    <w:p w14:paraId="00000019"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тридцять четверту викласти у такій редакції:</w:t>
      </w:r>
    </w:p>
    <w:p w14:paraId="0000001A"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p>
    <w:p w14:paraId="0000001B"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заяві зазначається вид господарської діяльності, на провадження якого суб’єкт господарювання (у тому числі іноземний суб’єкт господарювання, який діє через своє зареєстроване постійне представництво) має намір одержати ліцензію (оптова, роздрібна торгівля алкогольними напоями, тютюновими виробами, оптова, роздрібна торгівля пальним або зберігання пального). До заяви на видачу ліцензії на право оптової торгівлі тютюновими виробами додатково подаються:</w:t>
      </w:r>
    </w:p>
    <w:p w14:paraId="0000001C"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1D"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завірені заявником копії  документів, що підтверджують право власності або право користування об’єктом нерухомості, в якій розташований об’єкт оптової торгівлі алкогольними напоями або тютюновими виробами (відповідальність за достовірність даних несе заявник). В ліцензію на право оптової торгівлі тютюновими виробами вноситься юридична адреса та адреса провадження діяльності;</w:t>
      </w:r>
    </w:p>
    <w:p w14:paraId="0000001E"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1F"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відомості про суб'єктів господарювання з якими заявник пов’язаний відносинами контролю у розумінні статті 1 Закону України «Про захист економічної конкуренції» (в тому числі іноземні суб’єкти господарювання, які діють через свої зареєстровані постійні представництва). Про зміни суб'єктів господарювання з якими заявник пов’язаний відносинами контролю у розумінні статті 1 Закону України «Про захист економічної конкуренції» (в тому числі іноземні суб’єкти господарювання, які діють через свої зареєстровані постійні представництва),  заявник у письмовій формі повинен у двотижневий термін повідомити орган, що видав ліцензію.»</w:t>
      </w:r>
    </w:p>
    <w:p w14:paraId="00000020"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21"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сорок дев’яту доповнити абзацами одинадцятим і дванадцятим такого змісту:</w:t>
      </w:r>
    </w:p>
    <w:p w14:paraId="00000022"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23"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«встановлення факту органом, який видав ліцензію про порушення суб'єктом господарювання (у тому числі іноземним суб’єктом господарювання, який діє через свої зареєстровані постійні представництва), який отримав ліцензію на право оптової торгівлі тютюновими виробами, вимоги щодо обсягу реалізації на ринку України тютюнових виробів, передбаченої частиною шістдесят шостою  цієї статті, до якого протягом року було застосовано штраф за таке порушення;</w:t>
      </w:r>
    </w:p>
    <w:p w14:paraId="00000024"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00000025"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встановлення факту органом, який видав ліцензію на право оптової торгівлі тютюновими виробами,  відсутності ліцензіата за юридичною адресою та/або за адресою провадження діяльності;»</w:t>
      </w:r>
    </w:p>
    <w:p w14:paraId="00000026"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27"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частиною  шістдесят шостою такого змісту:</w:t>
      </w:r>
    </w:p>
    <w:p w14:paraId="00000028"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b/>
          <w:color w:val="000000"/>
          <w:sz w:val="28"/>
          <w:szCs w:val="28"/>
          <w:u w:val="single"/>
        </w:rPr>
      </w:pPr>
    </w:p>
    <w:p w14:paraId="00000029"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«Суб'єктам господарювання (у тому числі, які пов’язані між собою відносинами контролю у розумінні статті 1 Закону України «Про захист економічної конкуренції» та/або іноземні суб’єкти господарювання, які діють через свої зареєстровані постійні представництва), які отримали ліцензії на право оптової торгівлі тютюновими виробами забороняється  реалізація тютюнових виробів в обсягах, які перевищують 35 відсотків загального обсягу  реалізації таких виробів у кількісному вигляді на ринку України за звітний період, що передбачений частиною п’ятою статті 16 цього Закону.»</w:t>
      </w:r>
    </w:p>
    <w:p w14:paraId="0000002A"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2B"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частиною  шістдесят сьомою такого змісту:</w:t>
      </w:r>
    </w:p>
    <w:p w14:paraId="0000002C"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2D"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«Ліцензії на право оптової торгівлі тютюновими виробами видаються лише суб'єктам господарювання, у яких відсутній податковий борг на момент подачі заяви на отримання такої ліцензії.»</w:t>
      </w:r>
    </w:p>
    <w:p w14:paraId="0000002E" w14:textId="77777777" w:rsidR="00957D9B" w:rsidRDefault="00957D9B">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p>
    <w:p w14:paraId="0000002F" w14:textId="77777777" w:rsidR="00957D9B" w:rsidRDefault="00CD1364">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 статті 16:</w:t>
      </w:r>
    </w:p>
    <w:p w14:paraId="00000030" w14:textId="77777777" w:rsidR="00957D9B" w:rsidRDefault="00957D9B">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14:paraId="00000031" w14:textId="77777777" w:rsidR="00957D9B" w:rsidRDefault="00CD1364">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частині третій слова «цим органом» замінити словами «центральним органом виконавчої влади, що забезпечує формування та реалізує державну фінансову політику»</w:t>
      </w:r>
    </w:p>
    <w:p w14:paraId="00000032" w14:textId="77777777" w:rsidR="00957D9B" w:rsidRDefault="00957D9B">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14:paraId="00000033" w14:textId="77777777" w:rsidR="00957D9B" w:rsidRDefault="00CD1364">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частиною п’ятою такого змісту:</w:t>
      </w:r>
    </w:p>
    <w:p w14:paraId="00000034" w14:textId="77777777" w:rsidR="00957D9B" w:rsidRDefault="00957D9B">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14:paraId="00000035" w14:textId="77777777" w:rsidR="00957D9B" w:rsidRDefault="00CD1364">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«Контроль за дотриманням суб’єктами господарювання, які отримали ліцензію на право оптової торгівлі тютюновими виробами (у тому числі іноземними суб’єктами господарювання, які діють через свої зареєстровані постійні представництва), вимог частини шістдесят шостої статті 15 цього Закону  здійснюється щоквартально центральним органом виконавчої влади, що реалізує державну податкову політику у порядку, визначеному Кабінетом Міністрів України.»</w:t>
      </w:r>
    </w:p>
    <w:p w14:paraId="00000036" w14:textId="77777777" w:rsidR="00957D9B" w:rsidRDefault="00957D9B">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14:paraId="00000037" w14:textId="77777777" w:rsidR="00957D9B" w:rsidRDefault="00CD1364">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highlight w:val="white"/>
        </w:rPr>
        <w:t xml:space="preserve"> У </w:t>
      </w:r>
      <w:r>
        <w:rPr>
          <w:rFonts w:ascii="Times New Roman" w:eastAsia="Times New Roman" w:hAnsi="Times New Roman" w:cs="Times New Roman"/>
          <w:color w:val="000000"/>
          <w:sz w:val="28"/>
          <w:szCs w:val="28"/>
        </w:rPr>
        <w:t>статті 17:</w:t>
      </w:r>
    </w:p>
    <w:p w14:paraId="00000038" w14:textId="77777777" w:rsidR="00957D9B" w:rsidRDefault="00957D9B">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14:paraId="00000039" w14:textId="77777777" w:rsidR="00957D9B" w:rsidRDefault="00CD1364">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другу доповнити абзацом такого змісту:</w:t>
      </w:r>
    </w:p>
    <w:p w14:paraId="0000003A" w14:textId="77777777" w:rsidR="00957D9B" w:rsidRDefault="00957D9B">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14:paraId="0000003B" w14:textId="77777777" w:rsidR="00957D9B" w:rsidRDefault="00CD1364">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«порушення вимог частини шістдесят шостої </w:t>
      </w:r>
      <w:hyperlink r:id="rId10" w:anchor="n622">
        <w:r>
          <w:rPr>
            <w:rFonts w:ascii="Times New Roman" w:eastAsia="Times New Roman" w:hAnsi="Times New Roman" w:cs="Times New Roman"/>
            <w:color w:val="000000"/>
            <w:sz w:val="28"/>
            <w:szCs w:val="28"/>
          </w:rPr>
          <w:t>статті 15</w:t>
        </w:r>
      </w:hyperlink>
      <w:r>
        <w:rPr>
          <w:rFonts w:ascii="Times New Roman" w:eastAsia="Times New Roman" w:hAnsi="Times New Roman" w:cs="Times New Roman"/>
          <w:color w:val="000000"/>
          <w:sz w:val="28"/>
          <w:szCs w:val="28"/>
        </w:rPr>
        <w:t> цього Закону – 100 відсотків вартості тютюнових виробів реалізованим суб'єктом господарювання (у тому числі іноземним суб’єктом господарювання, який діє через своє зареєстроване постійне представництво), які перевищують 35 відсотків загального обсягу  реалізації таких виробів у кількісному обсязі на ринку України за звітний період, але не менше 1000000 гривень;»</w:t>
      </w:r>
    </w:p>
    <w:p w14:paraId="0000003C"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p>
    <w:p w14:paraId="0000003D"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У статті 18:</w:t>
      </w:r>
    </w:p>
    <w:p w14:paraId="0000003E"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p>
    <w:p w14:paraId="0000003F"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доповнити частинами такого змісту:</w:t>
      </w:r>
    </w:p>
    <w:p w14:paraId="00000040"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p>
    <w:p w14:paraId="00000041"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«Суб’єкти господарювання, які отримали ліцензію на право оптової торгівлі тютюновими виробами у порядку, який був чинним станом на момент видачі ліцензії, проте не відповідає вимогам, встановленим статтею 15 цього Закону, зобов’язані у в двомісячний строк з дня опублікування цього Закону переоформити свої ліцензії у відповідності до вимог цієї статті.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з дня отримання такої заяви видає зазначеному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 при цьому строки дії ліцензії не змінюються. За оформлення ліцензії на новому бланку справляється плата у розмірі, що дорівнює вартості виготовлення такого бланку, яка зараховується до бюджету згідно з чинним законодавством. Ліцензія, яка не переоформлена у в двомісячний строк з дня опублікування цього Закону вважається недійсною і анулюється.</w:t>
      </w:r>
    </w:p>
    <w:p w14:paraId="00000042"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43"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Дія частини шістдесят шостої статті 15 цього Закону не поширюється на суб’єктів господарювання (у тому числі, які пов’язані між собою відносинами контролю у розумінні статті 1 Закону України «Про захист економічної конкуренції» та/або іноземні суб’єкти господарювання, які діють через свої зареєстровані постійні представництва), які отримали ліцензії на право виробництва тютюновими виробами до 1 грудня 2020 року.»</w:t>
      </w:r>
    </w:p>
    <w:p w14:paraId="00000044"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45" w14:textId="77777777" w:rsidR="00957D9B" w:rsidRDefault="00CD1364">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II. Прикінцеві положення</w:t>
      </w:r>
    </w:p>
    <w:p w14:paraId="00000046" w14:textId="77777777" w:rsidR="00957D9B" w:rsidRDefault="00957D9B">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rPr>
      </w:pPr>
    </w:p>
    <w:p w14:paraId="00000047"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2" w:name="30j0zll" w:colFirst="0" w:colLast="0"/>
      <w:bookmarkEnd w:id="2"/>
      <w:r>
        <w:rPr>
          <w:rFonts w:ascii="Times New Roman" w:eastAsia="Times New Roman" w:hAnsi="Times New Roman" w:cs="Times New Roman"/>
          <w:color w:val="000000"/>
          <w:sz w:val="28"/>
          <w:szCs w:val="28"/>
        </w:rPr>
        <w:t>1. Цей Закон набирає чинності з дня, наступного за днем його опублікування.</w:t>
      </w:r>
    </w:p>
    <w:p w14:paraId="00000048" w14:textId="77777777" w:rsidR="00957D9B" w:rsidRDefault="00957D9B">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00000049"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3" w:name="1fob9te" w:colFirst="0" w:colLast="0"/>
      <w:bookmarkStart w:id="4" w:name="3znysh7" w:colFirst="0" w:colLast="0"/>
      <w:bookmarkEnd w:id="3"/>
      <w:bookmarkEnd w:id="4"/>
      <w:r>
        <w:rPr>
          <w:rFonts w:ascii="Times New Roman" w:eastAsia="Times New Roman" w:hAnsi="Times New Roman" w:cs="Times New Roman"/>
          <w:color w:val="000000"/>
          <w:sz w:val="28"/>
          <w:szCs w:val="28"/>
        </w:rPr>
        <w:t>2. Кабінету Міністрів України у двомісячний строк з дня набрання чинності цим Законом:</w:t>
      </w:r>
    </w:p>
    <w:p w14:paraId="0000004A"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5" w:name="2et92p0" w:colFirst="0" w:colLast="0"/>
      <w:bookmarkEnd w:id="5"/>
      <w:r>
        <w:rPr>
          <w:rFonts w:ascii="Times New Roman" w:eastAsia="Times New Roman" w:hAnsi="Times New Roman" w:cs="Times New Roman"/>
          <w:color w:val="000000"/>
          <w:sz w:val="28"/>
          <w:szCs w:val="28"/>
        </w:rPr>
        <w:t>привести свої нормативно-правові акти у відповідність із цим Законом;</w:t>
      </w:r>
    </w:p>
    <w:p w14:paraId="0000004B" w14:textId="77777777"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6" w:name="tyjcwt" w:colFirst="0" w:colLast="0"/>
      <w:bookmarkEnd w:id="6"/>
      <w:r>
        <w:rPr>
          <w:rFonts w:ascii="Times New Roman" w:eastAsia="Times New Roman" w:hAnsi="Times New Roman" w:cs="Times New Roman"/>
          <w:color w:val="000000"/>
          <w:sz w:val="28"/>
          <w:szCs w:val="28"/>
        </w:rPr>
        <w:t>прийняти нормативно-правові акти, необхідні для реалізації цього Закону;</w:t>
      </w:r>
    </w:p>
    <w:p w14:paraId="0000004C" w14:textId="7E6652C9" w:rsidR="00957D9B" w:rsidRDefault="00CD1364">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7" w:name="3dy6vkm" w:colFirst="0" w:colLast="0"/>
      <w:bookmarkEnd w:id="7"/>
      <w:r>
        <w:rPr>
          <w:rFonts w:ascii="Times New Roman" w:eastAsia="Times New Roman" w:hAnsi="Times New Roman" w:cs="Times New Roman"/>
          <w:color w:val="000000"/>
          <w:sz w:val="28"/>
          <w:szCs w:val="28"/>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14:paraId="3682F416" w14:textId="777DA034" w:rsidR="007754FF" w:rsidRDefault="007754FF">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2977F536" w14:textId="4C14E4FC" w:rsidR="007754FF" w:rsidRDefault="007754FF">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58A162B3" w14:textId="77777777" w:rsidR="007754FF" w:rsidRDefault="007754FF">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p w14:paraId="55DCEFC2" w14:textId="217129CC" w:rsidR="007754FF" w:rsidRPr="00917585" w:rsidRDefault="007754FF" w:rsidP="007754FF">
      <w:pPr>
        <w:pStyle w:val="20"/>
        <w:spacing w:after="0" w:line="240" w:lineRule="auto"/>
        <w:ind w:left="284"/>
        <w:rPr>
          <w:rFonts w:ascii="Times New Roman" w:hAnsi="Times New Roman" w:cs="Times New Roman"/>
          <w:b/>
          <w:sz w:val="28"/>
          <w:szCs w:val="28"/>
        </w:rPr>
      </w:pPr>
      <w:r w:rsidRPr="00917585">
        <w:rPr>
          <w:rFonts w:ascii="Times New Roman" w:hAnsi="Times New Roman" w:cs="Times New Roman"/>
          <w:b/>
          <w:sz w:val="28"/>
          <w:szCs w:val="28"/>
        </w:rPr>
        <w:t xml:space="preserve">               Голова </w:t>
      </w:r>
      <w:r w:rsidRPr="00917585">
        <w:rPr>
          <w:rFonts w:ascii="Times New Roman" w:hAnsi="Times New Roman" w:cs="Times New Roman"/>
          <w:b/>
          <w:sz w:val="28"/>
          <w:szCs w:val="28"/>
        </w:rPr>
        <w:br/>
        <w:t xml:space="preserve">Верховної Ради України                                                 </w:t>
      </w:r>
      <w:r>
        <w:rPr>
          <w:rFonts w:ascii="Times New Roman" w:hAnsi="Times New Roman" w:cs="Times New Roman"/>
          <w:b/>
          <w:sz w:val="28"/>
          <w:szCs w:val="28"/>
        </w:rPr>
        <w:tab/>
      </w:r>
      <w:r w:rsidRPr="00917585">
        <w:rPr>
          <w:rFonts w:ascii="Times New Roman" w:hAnsi="Times New Roman" w:cs="Times New Roman"/>
          <w:b/>
          <w:sz w:val="28"/>
          <w:szCs w:val="28"/>
        </w:rPr>
        <w:t xml:space="preserve"> </w:t>
      </w:r>
      <w:r w:rsidRPr="000D5984">
        <w:rPr>
          <w:rFonts w:ascii="Times New Roman" w:hAnsi="Times New Roman"/>
          <w:b/>
          <w:sz w:val="28"/>
          <w:szCs w:val="28"/>
        </w:rPr>
        <w:t>Д. РАЗУМКОВ</w:t>
      </w:r>
    </w:p>
    <w:p w14:paraId="0000004E" w14:textId="77777777" w:rsidR="00957D9B" w:rsidRDefault="00957D9B">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sectPr w:rsidR="00957D9B" w:rsidSect="009208C0">
      <w:footerReference w:type="default" r:id="rId11"/>
      <w:pgSz w:w="11906" w:h="16838"/>
      <w:pgMar w:top="850" w:right="850" w:bottom="850" w:left="1417" w:header="708" w:footer="4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2DFE9" w14:textId="77777777" w:rsidR="00A13BE9" w:rsidRDefault="00A13BE9" w:rsidP="009208C0">
      <w:pPr>
        <w:spacing w:after="0" w:line="240" w:lineRule="auto"/>
      </w:pPr>
      <w:r>
        <w:separator/>
      </w:r>
    </w:p>
  </w:endnote>
  <w:endnote w:type="continuationSeparator" w:id="0">
    <w:p w14:paraId="5C6B45F3" w14:textId="77777777" w:rsidR="00A13BE9" w:rsidRDefault="00A13BE9" w:rsidP="00920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811249"/>
      <w:docPartObj>
        <w:docPartGallery w:val="Page Numbers (Bottom of Page)"/>
        <w:docPartUnique/>
      </w:docPartObj>
    </w:sdtPr>
    <w:sdtEndPr>
      <w:rPr>
        <w:rFonts w:ascii="Times New Roman" w:hAnsi="Times New Roman" w:cs="Times New Roman"/>
        <w:sz w:val="24"/>
        <w:szCs w:val="24"/>
      </w:rPr>
    </w:sdtEndPr>
    <w:sdtContent>
      <w:p w14:paraId="6CB5C32D" w14:textId="1CA191CD" w:rsidR="009208C0" w:rsidRPr="009208C0" w:rsidRDefault="009208C0">
        <w:pPr>
          <w:pStyle w:val="a7"/>
          <w:jc w:val="right"/>
          <w:rPr>
            <w:rFonts w:ascii="Times New Roman" w:hAnsi="Times New Roman" w:cs="Times New Roman"/>
            <w:sz w:val="24"/>
            <w:szCs w:val="24"/>
          </w:rPr>
        </w:pPr>
        <w:r w:rsidRPr="009208C0">
          <w:rPr>
            <w:rFonts w:ascii="Times New Roman" w:hAnsi="Times New Roman" w:cs="Times New Roman"/>
            <w:sz w:val="24"/>
            <w:szCs w:val="24"/>
          </w:rPr>
          <w:fldChar w:fldCharType="begin"/>
        </w:r>
        <w:r w:rsidRPr="009208C0">
          <w:rPr>
            <w:rFonts w:ascii="Times New Roman" w:hAnsi="Times New Roman" w:cs="Times New Roman"/>
            <w:sz w:val="24"/>
            <w:szCs w:val="24"/>
          </w:rPr>
          <w:instrText>PAGE   \* MERGEFORMAT</w:instrText>
        </w:r>
        <w:r w:rsidRPr="009208C0">
          <w:rPr>
            <w:rFonts w:ascii="Times New Roman" w:hAnsi="Times New Roman" w:cs="Times New Roman"/>
            <w:sz w:val="24"/>
            <w:szCs w:val="24"/>
          </w:rPr>
          <w:fldChar w:fldCharType="separate"/>
        </w:r>
        <w:r w:rsidR="00627C5D">
          <w:rPr>
            <w:rFonts w:ascii="Times New Roman" w:hAnsi="Times New Roman" w:cs="Times New Roman"/>
            <w:noProof/>
            <w:sz w:val="24"/>
            <w:szCs w:val="24"/>
          </w:rPr>
          <w:t>2</w:t>
        </w:r>
        <w:r w:rsidRPr="009208C0">
          <w:rPr>
            <w:rFonts w:ascii="Times New Roman" w:hAnsi="Times New Roman" w:cs="Times New Roman"/>
            <w:sz w:val="24"/>
            <w:szCs w:val="24"/>
          </w:rPr>
          <w:fldChar w:fldCharType="end"/>
        </w:r>
      </w:p>
    </w:sdtContent>
  </w:sdt>
  <w:p w14:paraId="17FDCED5" w14:textId="77777777" w:rsidR="009208C0" w:rsidRDefault="009208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9AB1B" w14:textId="77777777" w:rsidR="00A13BE9" w:rsidRDefault="00A13BE9" w:rsidP="009208C0">
      <w:pPr>
        <w:spacing w:after="0" w:line="240" w:lineRule="auto"/>
      </w:pPr>
      <w:r>
        <w:separator/>
      </w:r>
    </w:p>
  </w:footnote>
  <w:footnote w:type="continuationSeparator" w:id="0">
    <w:p w14:paraId="05F57AE0" w14:textId="77777777" w:rsidR="00A13BE9" w:rsidRDefault="00A13BE9" w:rsidP="009208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D9B"/>
    <w:rsid w:val="000D1B0C"/>
    <w:rsid w:val="00627C5D"/>
    <w:rsid w:val="007754FF"/>
    <w:rsid w:val="009208C0"/>
    <w:rsid w:val="00957D9B"/>
    <w:rsid w:val="00A13BE9"/>
    <w:rsid w:val="00CD13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6C65B"/>
  <w15:docId w15:val="{0AA23610-D406-4799-B142-89918DAD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9208C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208C0"/>
  </w:style>
  <w:style w:type="paragraph" w:styleId="a7">
    <w:name w:val="footer"/>
    <w:basedOn w:val="a"/>
    <w:link w:val="a8"/>
    <w:uiPriority w:val="99"/>
    <w:unhideWhenUsed/>
    <w:rsid w:val="009208C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208C0"/>
  </w:style>
  <w:style w:type="paragraph" w:styleId="20">
    <w:name w:val="Body Text Indent 2"/>
    <w:basedOn w:val="a"/>
    <w:link w:val="21"/>
    <w:uiPriority w:val="99"/>
    <w:semiHidden/>
    <w:unhideWhenUsed/>
    <w:rsid w:val="007754FF"/>
    <w:pPr>
      <w:spacing w:after="120" w:line="480" w:lineRule="auto"/>
      <w:ind w:left="283"/>
    </w:pPr>
    <w:rPr>
      <w:rFonts w:ascii="Antiqua" w:eastAsia="Times New Roman" w:hAnsi="Antiqua" w:cs="Antiqua"/>
      <w:sz w:val="26"/>
      <w:szCs w:val="26"/>
      <w:lang w:eastAsia="ru-RU"/>
    </w:rPr>
  </w:style>
  <w:style w:type="character" w:customStyle="1" w:styleId="21">
    <w:name w:val="Основний текст з відступом 2 Знак"/>
    <w:basedOn w:val="a0"/>
    <w:link w:val="20"/>
    <w:uiPriority w:val="99"/>
    <w:semiHidden/>
    <w:rsid w:val="007754FF"/>
    <w:rPr>
      <w:rFonts w:ascii="Antiqua" w:eastAsia="Times New Roman"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akon.rada.gov.ua/laws/show/481/95-%D0%B2%D1%80" TargetMode="External"/><Relationship Id="rId4" Type="http://schemas.openxmlformats.org/officeDocument/2006/relationships/styles" Target="styles.xml"/><Relationship Id="rId9" Type="http://schemas.openxmlformats.org/officeDocument/2006/relationships/hyperlink" Target="https://zakon.rada.gov.ua/laws/show/481/95-%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DFC865-96EE-4030-83AA-F6164DF1A3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E00B0B-DB03-43B7-99EE-2A89AF25C917}">
  <ds:schemaRefs>
    <ds:schemaRef ds:uri="http://schemas.microsoft.com/sharepoint/v3/contenttype/forms"/>
  </ds:schemaRefs>
</ds:datastoreItem>
</file>

<file path=customXml/itemProps3.xml><?xml version="1.0" encoding="utf-8"?>
<ds:datastoreItem xmlns:ds="http://schemas.openxmlformats.org/officeDocument/2006/customXml" ds:itemID="{F3EC0314-5D21-451B-89C3-2633E0032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5379</Words>
  <Characters>3067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2020-10-16T07:35:00Z</dcterms:created>
  <dcterms:modified xsi:type="dcterms:W3CDTF">2020-10-16T07:35:00Z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