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507689" w:rsidRDefault="00C62873">
      <w:pPr>
        <w:ind w:firstLine="0"/>
        <w:jc w:val="center"/>
        <w:rPr>
          <w:rFonts w:ascii="Times New Roman" w:eastAsia="Times New Roman" w:hAnsi="Times New Roman" w:cs="Times New Roman"/>
          <w:b/>
          <w:sz w:val="28"/>
          <w:szCs w:val="28"/>
        </w:rPr>
      </w:pPr>
      <w:bookmarkStart w:id="0" w:name="_GoBack"/>
      <w:bookmarkEnd w:id="0"/>
      <w:r>
        <w:rPr>
          <w:rFonts w:ascii="Times New Roman" w:eastAsia="Times New Roman" w:hAnsi="Times New Roman" w:cs="Times New Roman"/>
          <w:b/>
          <w:sz w:val="28"/>
          <w:szCs w:val="28"/>
        </w:rPr>
        <w:t>ПОЯСНЮВАЛЬНА ЗАПИСКА</w:t>
      </w:r>
    </w:p>
    <w:p w14:paraId="00000002" w14:textId="77777777" w:rsidR="00507689" w:rsidRDefault="00C62873" w:rsidP="000727AD">
      <w:pPr>
        <w:ind w:firstLine="0"/>
        <w:jc w:val="center"/>
        <w:rPr>
          <w:rFonts w:ascii="Times New Roman" w:eastAsia="Times New Roman" w:hAnsi="Times New Roman" w:cs="Times New Roman"/>
          <w:b/>
          <w:color w:val="000000"/>
          <w:sz w:val="28"/>
          <w:szCs w:val="28"/>
          <w:highlight w:val="white"/>
        </w:rPr>
      </w:pPr>
      <w:r>
        <w:rPr>
          <w:rFonts w:ascii="Times New Roman" w:eastAsia="Times New Roman" w:hAnsi="Times New Roman" w:cs="Times New Roman"/>
          <w:b/>
          <w:sz w:val="28"/>
          <w:szCs w:val="28"/>
        </w:rPr>
        <w:t xml:space="preserve">до проекту Закону </w:t>
      </w:r>
      <w:r>
        <w:rPr>
          <w:rFonts w:ascii="Times New Roman" w:eastAsia="Times New Roman" w:hAnsi="Times New Roman" w:cs="Times New Roman"/>
          <w:b/>
          <w:color w:val="000000"/>
          <w:sz w:val="28"/>
          <w:szCs w:val="28"/>
          <w:highlight w:val="white"/>
        </w:rPr>
        <w:t>України «Про внесення змін до Закону України  «Про державне регулювання виробництва і обігу спирту етилового, коньячного і плодового, алкогольних напоїв, тютюнових виробів та пального» (щодо удосконалення механізму державного контролю при реалізації  тютюнових виробів)»</w:t>
      </w:r>
    </w:p>
    <w:p w14:paraId="00000003" w14:textId="77777777" w:rsidR="00507689" w:rsidRDefault="00507689">
      <w:pPr>
        <w:pBdr>
          <w:top w:val="nil"/>
          <w:left w:val="nil"/>
          <w:bottom w:val="nil"/>
          <w:right w:val="nil"/>
          <w:between w:val="nil"/>
        </w:pBdr>
        <w:ind w:firstLine="0"/>
        <w:jc w:val="both"/>
        <w:rPr>
          <w:rFonts w:ascii="Times New Roman" w:eastAsia="Times New Roman" w:hAnsi="Times New Roman" w:cs="Times New Roman"/>
          <w:b/>
          <w:color w:val="000000"/>
          <w:sz w:val="28"/>
          <w:szCs w:val="28"/>
        </w:rPr>
      </w:pPr>
    </w:p>
    <w:p w14:paraId="00000004" w14:textId="77777777" w:rsidR="00507689" w:rsidRDefault="00C62873">
      <w:pPr>
        <w:numPr>
          <w:ilvl w:val="0"/>
          <w:numId w:val="1"/>
        </w:numPr>
        <w:pBdr>
          <w:top w:val="nil"/>
          <w:left w:val="nil"/>
          <w:bottom w:val="nil"/>
          <w:right w:val="nil"/>
          <w:between w:val="nil"/>
        </w:pBd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Обґрунтування необхідності прийняття проекту Закону</w:t>
      </w:r>
    </w:p>
    <w:p w14:paraId="00000005" w14:textId="77777777" w:rsidR="00507689" w:rsidRDefault="00507689">
      <w:pPr>
        <w:pBdr>
          <w:top w:val="nil"/>
          <w:left w:val="nil"/>
          <w:bottom w:val="nil"/>
          <w:right w:val="nil"/>
          <w:between w:val="nil"/>
        </w:pBdr>
        <w:ind w:left="1069" w:firstLine="0"/>
        <w:rPr>
          <w:rFonts w:ascii="Times New Roman" w:eastAsia="Times New Roman" w:hAnsi="Times New Roman" w:cs="Times New Roman"/>
          <w:b/>
          <w:color w:val="000000"/>
          <w:sz w:val="28"/>
          <w:szCs w:val="28"/>
        </w:rPr>
      </w:pPr>
    </w:p>
    <w:p w14:paraId="00000006" w14:textId="77777777" w:rsidR="00507689" w:rsidRDefault="00C62873">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Необхідність прийняття Закону обумовлена необхідністю врегулювання окремих питань регулювання обігу тютюнових виробів, вдосконалення механізму видачі ліцензій на право оптової торгівлі тютюновими виробами, що посилює контроль за обігом тютюнових виробів.</w:t>
      </w:r>
    </w:p>
    <w:p w14:paraId="00000007" w14:textId="77777777" w:rsidR="00507689" w:rsidRDefault="00C62873">
      <w:pPr>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Незаконний обіг тютюнових виробів у багатьох аспектах негативно впливає на сферу суспільного інтересу – сприяє поширенню тютюнопаління, в тому числі, серед вразливих груп населення, призводить до зменшення податкових надходжень до бюджету, а також приносить значний дохід злочинним угрупуванням. На ринку тютюнових виробів в останні роки спостерігається  зростання тіньового сегменту продаж, збільшення числа порушень правил ліцензійної діяльності і, як наслідок, контроль за справлянням податків знаходиться на неналежному рівні, а Державний бюджет втрачає значні кошти. Одним з таких ринків є ринок оптових продаж тютюнових виробів, а головними причинами такого стану є те, що чинне законодавство не завжди дозволяє ефективно забезпечити належний контроль за здійсненням ліцензійної діяльності при оптовій реалізації тютюнових виробів і монополізм, що існує на ринку оптових продаж.</w:t>
      </w:r>
    </w:p>
    <w:p w14:paraId="00000008" w14:textId="77777777" w:rsidR="00507689" w:rsidRDefault="00C62873">
      <w:pPr>
        <w:pBdr>
          <w:top w:val="nil"/>
          <w:left w:val="nil"/>
          <w:bottom w:val="nil"/>
          <w:right w:val="nil"/>
          <w:between w:val="nil"/>
        </w:pBdr>
        <w:ind w:firstLine="567"/>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Станом на 6 жовтня 2020 року до Реєстру діючих ліцензій на право оптової торгівлі тютюновими виробами внесено 104 суб’єкта господарської діяльності. У відповідності до вимог чинного законодавства, такі суб’єкти господарської діяльності при отриманні ліцензії на право оптової торгівлі тютюном можуть не вказувати ні юридичну адресу, ні адресу провадження своєї діяльності. А деякі компанії, що сплатили 500 тисяч гривень за ліцензію і здійснюють багатомільйонні операції з підакцизними товарами, своїм місцезнаходженням вказують навіть квартири житлових будинків. Але, як показують перевірки фіскальних органів, за деякими адресами такі компанії відсутні. Відсутні також і дані про пов’язаних з такими суб’єктами господарської діяльності інших компаній. Таким чином знайти такого ліцензіата неможливо, так само як і неможливо забезпечити належний державний контроль за їх діяльністю.</w:t>
      </w:r>
    </w:p>
    <w:p w14:paraId="00000009" w14:textId="77777777" w:rsidR="00507689" w:rsidRDefault="00C62873">
      <w:pPr>
        <w:pBdr>
          <w:top w:val="nil"/>
          <w:left w:val="nil"/>
          <w:bottom w:val="nil"/>
          <w:right w:val="nil"/>
          <w:between w:val="nil"/>
        </w:pBdr>
        <w:ind w:firstLine="698"/>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Крім того робота на ринку оптових продаж  протягом останніх років свідчить про існуючу його монополізацію, що знищує економічну конкуренцію, призводить до занепаду українського середнього та малого бізнесу і призводить до недоотримання бюджетних надходжень. Захист економічної конкуренції, обмеження монополізму в господарській діяльності  вже унормовані Законом України </w:t>
      </w:r>
      <w:hyperlink r:id="rId10">
        <w:r>
          <w:rPr>
            <w:rFonts w:ascii="Times New Roman" w:eastAsia="Times New Roman" w:hAnsi="Times New Roman" w:cs="Times New Roman"/>
            <w:color w:val="000000"/>
            <w:sz w:val="28"/>
            <w:szCs w:val="28"/>
          </w:rPr>
          <w:t>"Про захист економічної конкуренції"</w:t>
        </w:r>
      </w:hyperlink>
      <w:r>
        <w:rPr>
          <w:rFonts w:ascii="Times New Roman" w:eastAsia="Times New Roman" w:hAnsi="Times New Roman" w:cs="Times New Roman"/>
          <w:color w:val="000000"/>
          <w:sz w:val="28"/>
          <w:szCs w:val="28"/>
        </w:rPr>
        <w:t xml:space="preserve"> і цим </w:t>
      </w:r>
      <w:r>
        <w:rPr>
          <w:rFonts w:ascii="Times New Roman" w:eastAsia="Times New Roman" w:hAnsi="Times New Roman" w:cs="Times New Roman"/>
          <w:color w:val="000000"/>
          <w:sz w:val="28"/>
          <w:szCs w:val="28"/>
        </w:rPr>
        <w:lastRenderedPageBreak/>
        <w:t xml:space="preserve">Законом  визначено, що монопольним вважається становище суб’єкта господарювання, частка якого на ринку товару перевищує 35 відсотків. Але процедури, визначені цим Законом носить досить загальний характер, і як показує досвід останніх років не  вирішують питання монополізму на такому динамічному ринку, як ринок тютюну. Прийняття рішень тривають роками (рішення АМКУ від 10 жовтня 2019 року № 697-р за порушення у 2010 – 2016 роках), а згодом роками оскаржується в судах (Рішення АМКУ від 16 грудня 2016 року № 551-р). Закон порушується, рішення АМКУ приймається а монополізм існує, що завдає суттєвої шкоди державним інтересам. </w:t>
      </w:r>
    </w:p>
    <w:p w14:paraId="0000000A" w14:textId="77777777" w:rsidR="00507689" w:rsidRDefault="00C62873">
      <w:pPr>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Додатково, законопроектом передбачається уточнення законодавчого визначення поняття «тютюнові вироби». Чинне на сьогодні визначення не враховує розвитку тютюнового ринку та появу новітніх продуктів, через що частина виробів, що містять тютюн, не вважаються тютюновими виробами, та, відповідно, не підпадають під регулювання для таких продуктів. Чітке віднесення зазначених продуктів до тютюнових виробів дозволить застосовувати всі належні обмеження до таких продуктів, в тому числі і ліцензування їх продаж.</w:t>
      </w:r>
    </w:p>
    <w:p w14:paraId="0000000B" w14:textId="77777777" w:rsidR="00507689" w:rsidRDefault="00507689">
      <w:pPr>
        <w:pBdr>
          <w:top w:val="nil"/>
          <w:left w:val="nil"/>
          <w:bottom w:val="nil"/>
          <w:right w:val="nil"/>
          <w:between w:val="nil"/>
        </w:pBdr>
        <w:ind w:firstLine="698"/>
        <w:jc w:val="both"/>
        <w:rPr>
          <w:rFonts w:ascii="Times New Roman" w:eastAsia="Times New Roman" w:hAnsi="Times New Roman" w:cs="Times New Roman"/>
          <w:color w:val="000000"/>
          <w:sz w:val="28"/>
          <w:szCs w:val="28"/>
          <w:u w:val="single"/>
        </w:rPr>
      </w:pPr>
    </w:p>
    <w:p w14:paraId="0000000C" w14:textId="77777777" w:rsidR="00507689" w:rsidRDefault="00507689">
      <w:pPr>
        <w:tabs>
          <w:tab w:val="center" w:pos="4677"/>
          <w:tab w:val="right" w:pos="9355"/>
        </w:tabs>
        <w:jc w:val="both"/>
        <w:rPr>
          <w:rFonts w:ascii="Times New Roman" w:eastAsia="Times New Roman" w:hAnsi="Times New Roman" w:cs="Times New Roman"/>
          <w:sz w:val="28"/>
          <w:szCs w:val="28"/>
        </w:rPr>
      </w:pPr>
    </w:p>
    <w:p w14:paraId="0000000D" w14:textId="77777777" w:rsidR="00507689" w:rsidRDefault="00C62873">
      <w:pPr>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2. Мета та завдання проекту Закону</w:t>
      </w:r>
    </w:p>
    <w:p w14:paraId="0000000E" w14:textId="77777777" w:rsidR="00507689" w:rsidRDefault="00507689">
      <w:pPr>
        <w:jc w:val="both"/>
        <w:rPr>
          <w:rFonts w:ascii="Times New Roman" w:eastAsia="Times New Roman" w:hAnsi="Times New Roman" w:cs="Times New Roman"/>
          <w:b/>
          <w:color w:val="000000"/>
          <w:sz w:val="28"/>
          <w:szCs w:val="28"/>
        </w:rPr>
      </w:pPr>
    </w:p>
    <w:p w14:paraId="0000000F" w14:textId="77777777" w:rsidR="00507689" w:rsidRDefault="00C62873">
      <w:pPr>
        <w:tabs>
          <w:tab w:val="center" w:pos="4677"/>
          <w:tab w:val="right" w:pos="9355"/>
        </w:tabs>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Мета законопроекту - удосконалення норм законодавства, що регулює засади державної політики щодо вимог до суб’єктів господарської діяльності, що отримують право на оптову торгівлю  тютюновими виробами. Крім того вводяться законодавчі запобіжники для попередження створення монопольних утворень на ринку оптової торгівлі тютюном.</w:t>
      </w:r>
    </w:p>
    <w:p w14:paraId="00000010" w14:textId="77777777" w:rsidR="00507689" w:rsidRDefault="00507689">
      <w:pPr>
        <w:tabs>
          <w:tab w:val="center" w:pos="4677"/>
          <w:tab w:val="right" w:pos="9355"/>
        </w:tabs>
        <w:jc w:val="both"/>
        <w:rPr>
          <w:rFonts w:ascii="Times New Roman" w:eastAsia="Times New Roman" w:hAnsi="Times New Roman" w:cs="Times New Roman"/>
          <w:color w:val="000000"/>
          <w:sz w:val="28"/>
          <w:szCs w:val="28"/>
        </w:rPr>
      </w:pPr>
    </w:p>
    <w:p w14:paraId="00000011" w14:textId="77777777" w:rsidR="00507689" w:rsidRDefault="00C62873">
      <w:pPr>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3. Загальна характеристика і основні положення проекту Закону</w:t>
      </w:r>
    </w:p>
    <w:p w14:paraId="00000012" w14:textId="77777777" w:rsidR="00507689" w:rsidRDefault="00507689">
      <w:pPr>
        <w:jc w:val="both"/>
        <w:rPr>
          <w:rFonts w:ascii="Times New Roman" w:eastAsia="Times New Roman" w:hAnsi="Times New Roman" w:cs="Times New Roman"/>
          <w:b/>
          <w:sz w:val="28"/>
          <w:szCs w:val="28"/>
        </w:rPr>
      </w:pPr>
    </w:p>
    <w:p w14:paraId="00000013" w14:textId="77777777" w:rsidR="00507689" w:rsidRDefault="00C62873">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Поданим проектом Закону передбачається внесення змін та доповнень до Закону України «Про державне регулювання виробництва і обігу спирту етилового, коньячного і плодового, алкогольних напоїв, тютюнових виробів та пального» (Відомості Верховної Ради України (ВВР), 1995, № 46, ст. 345) </w:t>
      </w:r>
    </w:p>
    <w:p w14:paraId="00000014" w14:textId="77777777" w:rsidR="00507689" w:rsidRDefault="00C62873">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Законопроект передбачає такі основні положення:</w:t>
      </w:r>
    </w:p>
    <w:p w14:paraId="00000015" w14:textId="77777777" w:rsidR="00507689" w:rsidRDefault="00C62873">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уточнення законодавчого визначення поняття «тютюнові вироби»;</w:t>
      </w:r>
    </w:p>
    <w:p w14:paraId="00000016" w14:textId="77777777" w:rsidR="00507689" w:rsidRDefault="00C62873">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встановлення вимог для суб’єктів господарювання, які мають намір отримати ліцензії на право оптової торгівлі тютюновими виробами</w:t>
      </w:r>
      <w:r>
        <w:rPr>
          <w:rFonts w:ascii="Times New Roman" w:eastAsia="Times New Roman" w:hAnsi="Times New Roman" w:cs="Times New Roman"/>
          <w:color w:val="000000"/>
          <w:sz w:val="28"/>
          <w:szCs w:val="28"/>
        </w:rPr>
        <w:t xml:space="preserve"> в частині обов’язкової наявності </w:t>
      </w:r>
      <w:r>
        <w:rPr>
          <w:rFonts w:ascii="Times New Roman" w:eastAsia="Times New Roman" w:hAnsi="Times New Roman" w:cs="Times New Roman"/>
          <w:sz w:val="28"/>
          <w:szCs w:val="28"/>
        </w:rPr>
        <w:t>юридичної адреси та адреси провадження діяльності. У разі відсутності ліцензіата за цими адресами передбачено анулювання ліцензії;</w:t>
      </w:r>
    </w:p>
    <w:p w14:paraId="00000017" w14:textId="77777777" w:rsidR="00507689" w:rsidRDefault="00C62873">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встановлення вимог для суб’єктів господарювання, які мають намір отримати ліцензії на право оптової торгівлі тютюновими виробами в частині надання відомості про суб'єктів господарювання з якими заявник пов’язаний відносинами контролю;</w:t>
      </w:r>
    </w:p>
    <w:p w14:paraId="00000018" w14:textId="77777777" w:rsidR="00507689" w:rsidRDefault="00C62873">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 ліцензії на право оптової торгівлі тютюновими виробами видаються лише суб'єктам господарювання, у яких відсутній податковий борг у розмірі;</w:t>
      </w:r>
    </w:p>
    <w:p w14:paraId="00000019" w14:textId="77777777" w:rsidR="00507689" w:rsidRDefault="00C62873">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у суб'єктів господарювання, які отримали ліцензії на право оптової торгівлі тютюновими виробами при  реалізація тютюнових виробів в обсягах, і які перевищують 35 відсотків загального обсягу  реалізації таких виробів у кількісному вигляді на ринку України повторно протягом року – ліцензія анулюється. Ця норма не стосується суб'єктів господарювання, що мають ліцензію на виробництво тютюнових виробів. </w:t>
      </w:r>
    </w:p>
    <w:p w14:paraId="0000001A" w14:textId="77777777" w:rsidR="00507689" w:rsidRDefault="00507689">
      <w:pPr>
        <w:ind w:firstLine="0"/>
        <w:jc w:val="both"/>
        <w:rPr>
          <w:rFonts w:ascii="Times New Roman" w:eastAsia="Times New Roman" w:hAnsi="Times New Roman" w:cs="Times New Roman"/>
          <w:sz w:val="28"/>
          <w:szCs w:val="28"/>
        </w:rPr>
      </w:pPr>
    </w:p>
    <w:p w14:paraId="0000001B" w14:textId="77777777" w:rsidR="00507689" w:rsidRDefault="00C62873">
      <w:pPr>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4. Стан нормативно-правової бази у даній сфері правового регулювання</w:t>
      </w:r>
    </w:p>
    <w:p w14:paraId="0000001C" w14:textId="77777777" w:rsidR="00507689" w:rsidRDefault="00507689">
      <w:pPr>
        <w:jc w:val="both"/>
        <w:rPr>
          <w:rFonts w:ascii="Times New Roman" w:eastAsia="Times New Roman" w:hAnsi="Times New Roman" w:cs="Times New Roman"/>
          <w:b/>
          <w:sz w:val="28"/>
          <w:szCs w:val="28"/>
        </w:rPr>
      </w:pPr>
    </w:p>
    <w:p w14:paraId="0000001D" w14:textId="77777777" w:rsidR="00507689" w:rsidRDefault="00C62873">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Відповідні суспільні відносини регулюються Законом України «Про державне регулювання виробництва і обігу спирту етилового, коньячного і плодового, алкогольних напоїв, тютюнових виробів та пального» (Відомості Верховної Ради України (ВВР), 1995, № 46, ст. 345) </w:t>
      </w:r>
    </w:p>
    <w:p w14:paraId="0000001E" w14:textId="77777777" w:rsidR="00507689" w:rsidRDefault="00507689">
      <w:pPr>
        <w:jc w:val="both"/>
        <w:rPr>
          <w:rFonts w:ascii="Times New Roman" w:eastAsia="Times New Roman" w:hAnsi="Times New Roman" w:cs="Times New Roman"/>
          <w:b/>
          <w:sz w:val="28"/>
          <w:szCs w:val="28"/>
        </w:rPr>
      </w:pPr>
    </w:p>
    <w:p w14:paraId="0000001F" w14:textId="77777777" w:rsidR="00507689" w:rsidRDefault="00C62873">
      <w:pPr>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5. Фінансово-економічне обґрунтування прийняття проекту Закону</w:t>
      </w:r>
    </w:p>
    <w:p w14:paraId="00000020" w14:textId="77777777" w:rsidR="00507689" w:rsidRDefault="00507689">
      <w:pPr>
        <w:jc w:val="both"/>
        <w:rPr>
          <w:rFonts w:ascii="Times New Roman" w:eastAsia="Times New Roman" w:hAnsi="Times New Roman" w:cs="Times New Roman"/>
          <w:b/>
          <w:sz w:val="28"/>
          <w:szCs w:val="28"/>
        </w:rPr>
      </w:pPr>
    </w:p>
    <w:p w14:paraId="00000021" w14:textId="0E25E1EC" w:rsidR="00507689" w:rsidRDefault="00C62873">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Реалізація положень проекту Закону не потребує додаткових витрат з Державного бюджету України.</w:t>
      </w:r>
    </w:p>
    <w:p w14:paraId="00000022" w14:textId="77777777" w:rsidR="00507689" w:rsidRDefault="00C62873">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
    <w:p w14:paraId="00000023" w14:textId="77777777" w:rsidR="00507689" w:rsidRDefault="00C62873">
      <w:pPr>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6. Прогноз соціально-економічних та інших наслідків прийняття проекту Закону</w:t>
      </w:r>
    </w:p>
    <w:p w14:paraId="00000024" w14:textId="77777777" w:rsidR="00507689" w:rsidRDefault="00507689">
      <w:pPr>
        <w:jc w:val="both"/>
        <w:rPr>
          <w:rFonts w:ascii="Times New Roman" w:eastAsia="Times New Roman" w:hAnsi="Times New Roman" w:cs="Times New Roman"/>
          <w:b/>
          <w:sz w:val="28"/>
          <w:szCs w:val="28"/>
        </w:rPr>
      </w:pPr>
    </w:p>
    <w:p w14:paraId="00000025" w14:textId="77777777" w:rsidR="00507689" w:rsidRDefault="00C62873">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Прийняття законопроекту унеможливить створення</w:t>
      </w:r>
      <w:r>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sz w:val="28"/>
          <w:szCs w:val="28"/>
        </w:rPr>
        <w:t>монопольних утворень на ринку оптової торгівлі тютюном та дозволить удосконалити положення чинного законодавства, що регулює засади державної політики щодо регулювання оптової торгівлі тютюновими виробами з метою досягнення позитивного ефекту адміністрування податків з реалізації тютюнових виробів.</w:t>
      </w:r>
      <w:r>
        <w:rPr>
          <w:rFonts w:ascii="Times New Roman" w:eastAsia="Times New Roman" w:hAnsi="Times New Roman" w:cs="Times New Roman"/>
          <w:sz w:val="28"/>
          <w:szCs w:val="28"/>
        </w:rPr>
        <w:tab/>
      </w:r>
    </w:p>
    <w:p w14:paraId="00000026" w14:textId="77777777" w:rsidR="00507689" w:rsidRDefault="00507689">
      <w:pPr>
        <w:jc w:val="both"/>
        <w:rPr>
          <w:rFonts w:ascii="Times New Roman" w:eastAsia="Times New Roman" w:hAnsi="Times New Roman" w:cs="Times New Roman"/>
          <w:sz w:val="28"/>
          <w:szCs w:val="28"/>
        </w:rPr>
      </w:pPr>
    </w:p>
    <w:p w14:paraId="00000027" w14:textId="77777777" w:rsidR="00507689" w:rsidRDefault="00507689">
      <w:pPr>
        <w:jc w:val="both"/>
        <w:rPr>
          <w:rFonts w:ascii="Times New Roman" w:eastAsia="Times New Roman" w:hAnsi="Times New Roman" w:cs="Times New Roman"/>
          <w:sz w:val="28"/>
          <w:szCs w:val="28"/>
        </w:rPr>
      </w:pPr>
    </w:p>
    <w:p w14:paraId="00000028" w14:textId="77777777" w:rsidR="00507689" w:rsidRDefault="00507689">
      <w:pPr>
        <w:spacing w:line="360" w:lineRule="auto"/>
        <w:ind w:left="-425" w:firstLine="425"/>
        <w:jc w:val="both"/>
        <w:rPr>
          <w:rFonts w:ascii="Times New Roman" w:eastAsia="Times New Roman" w:hAnsi="Times New Roman" w:cs="Times New Roman"/>
          <w:b/>
          <w:sz w:val="28"/>
          <w:szCs w:val="28"/>
        </w:rPr>
      </w:pPr>
    </w:p>
    <w:p w14:paraId="00000029" w14:textId="35CA4534" w:rsidR="00507689" w:rsidRDefault="00C62873">
      <w:pPr>
        <w:pBdr>
          <w:top w:val="nil"/>
          <w:left w:val="nil"/>
          <w:bottom w:val="nil"/>
          <w:right w:val="nil"/>
          <w:between w:val="nil"/>
        </w:pBdr>
        <w:ind w:firstLine="0"/>
        <w:jc w:val="both"/>
        <w:rPr>
          <w:rFonts w:ascii="Times New Roman" w:eastAsia="Times New Roman" w:hAnsi="Times New Roman" w:cs="Times New Roman"/>
          <w:b/>
          <w:color w:val="000000"/>
          <w:sz w:val="28"/>
          <w:szCs w:val="28"/>
        </w:rPr>
      </w:pPr>
      <w:bookmarkStart w:id="1" w:name="_gjdgxs" w:colFirst="0" w:colLast="0"/>
      <w:bookmarkEnd w:id="1"/>
      <w:r>
        <w:rPr>
          <w:rFonts w:ascii="Times New Roman" w:eastAsia="Times New Roman" w:hAnsi="Times New Roman" w:cs="Times New Roman"/>
          <w:b/>
          <w:color w:val="000000"/>
          <w:sz w:val="28"/>
          <w:szCs w:val="28"/>
        </w:rPr>
        <w:t xml:space="preserve">Народний депутат України                                            Дануца О.А. (посв. </w:t>
      </w:r>
      <w:r w:rsidR="000727AD">
        <w:rPr>
          <w:rFonts w:ascii="Times New Roman" w:eastAsia="Times New Roman" w:hAnsi="Times New Roman" w:cs="Times New Roman"/>
          <w:b/>
          <w:color w:val="000000"/>
          <w:sz w:val="28"/>
          <w:szCs w:val="28"/>
        </w:rPr>
        <w:t>305</w:t>
      </w:r>
      <w:r>
        <w:rPr>
          <w:rFonts w:ascii="Times New Roman" w:eastAsia="Times New Roman" w:hAnsi="Times New Roman" w:cs="Times New Roman"/>
          <w:b/>
          <w:color w:val="000000"/>
          <w:sz w:val="28"/>
          <w:szCs w:val="28"/>
        </w:rPr>
        <w:t>)</w:t>
      </w:r>
    </w:p>
    <w:p w14:paraId="0000002A" w14:textId="77777777" w:rsidR="00507689" w:rsidRDefault="00C62873">
      <w:pPr>
        <w:pBdr>
          <w:top w:val="nil"/>
          <w:left w:val="nil"/>
          <w:bottom w:val="nil"/>
          <w:right w:val="nil"/>
          <w:between w:val="nil"/>
        </w:pBdr>
        <w:ind w:firstLine="0"/>
        <w:jc w:val="both"/>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 xml:space="preserve">                             </w:t>
      </w:r>
    </w:p>
    <w:p w14:paraId="0000002B" w14:textId="77777777" w:rsidR="00507689" w:rsidRDefault="00C62873">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ab/>
      </w:r>
      <w:r>
        <w:rPr>
          <w:rFonts w:ascii="Times New Roman" w:eastAsia="Times New Roman" w:hAnsi="Times New Roman" w:cs="Times New Roman"/>
          <w:sz w:val="28"/>
          <w:szCs w:val="28"/>
        </w:rPr>
        <w:tab/>
      </w:r>
    </w:p>
    <w:sectPr w:rsidR="00507689">
      <w:headerReference w:type="even" r:id="rId11"/>
      <w:footerReference w:type="default" r:id="rId12"/>
      <w:pgSz w:w="11906" w:h="16838"/>
      <w:pgMar w:top="1134" w:right="851" w:bottom="1134" w:left="1701"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AFAE4A" w14:textId="77777777" w:rsidR="00D4305E" w:rsidRDefault="00D4305E">
      <w:r>
        <w:separator/>
      </w:r>
    </w:p>
  </w:endnote>
  <w:endnote w:type="continuationSeparator" w:id="0">
    <w:p w14:paraId="53C75398" w14:textId="77777777" w:rsidR="00D4305E" w:rsidRDefault="00D43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1334585"/>
      <w:docPartObj>
        <w:docPartGallery w:val="Page Numbers (Bottom of Page)"/>
        <w:docPartUnique/>
      </w:docPartObj>
    </w:sdtPr>
    <w:sdtEndPr>
      <w:rPr>
        <w:rFonts w:ascii="Times New Roman" w:hAnsi="Times New Roman" w:cs="Times New Roman"/>
        <w:sz w:val="24"/>
        <w:szCs w:val="24"/>
      </w:rPr>
    </w:sdtEndPr>
    <w:sdtContent>
      <w:p w14:paraId="5DBB1E84" w14:textId="6CDE147F" w:rsidR="000727AD" w:rsidRPr="000727AD" w:rsidRDefault="000727AD">
        <w:pPr>
          <w:pStyle w:val="a7"/>
          <w:jc w:val="right"/>
          <w:rPr>
            <w:rFonts w:ascii="Times New Roman" w:hAnsi="Times New Roman" w:cs="Times New Roman"/>
            <w:sz w:val="24"/>
            <w:szCs w:val="24"/>
          </w:rPr>
        </w:pPr>
        <w:r w:rsidRPr="000727AD">
          <w:rPr>
            <w:rFonts w:ascii="Times New Roman" w:hAnsi="Times New Roman" w:cs="Times New Roman"/>
            <w:sz w:val="24"/>
            <w:szCs w:val="24"/>
          </w:rPr>
          <w:fldChar w:fldCharType="begin"/>
        </w:r>
        <w:r w:rsidRPr="000727AD">
          <w:rPr>
            <w:rFonts w:ascii="Times New Roman" w:hAnsi="Times New Roman" w:cs="Times New Roman"/>
            <w:sz w:val="24"/>
            <w:szCs w:val="24"/>
          </w:rPr>
          <w:instrText>PAGE   \* MERGEFORMAT</w:instrText>
        </w:r>
        <w:r w:rsidRPr="000727AD">
          <w:rPr>
            <w:rFonts w:ascii="Times New Roman" w:hAnsi="Times New Roman" w:cs="Times New Roman"/>
            <w:sz w:val="24"/>
            <w:szCs w:val="24"/>
          </w:rPr>
          <w:fldChar w:fldCharType="separate"/>
        </w:r>
        <w:r w:rsidR="00000161">
          <w:rPr>
            <w:rFonts w:ascii="Times New Roman" w:hAnsi="Times New Roman" w:cs="Times New Roman"/>
            <w:noProof/>
            <w:sz w:val="24"/>
            <w:szCs w:val="24"/>
          </w:rPr>
          <w:t>2</w:t>
        </w:r>
        <w:r w:rsidRPr="000727AD">
          <w:rPr>
            <w:rFonts w:ascii="Times New Roman" w:hAnsi="Times New Roman" w:cs="Times New Roman"/>
            <w:sz w:val="24"/>
            <w:szCs w:val="24"/>
          </w:rPr>
          <w:fldChar w:fldCharType="end"/>
        </w:r>
      </w:p>
    </w:sdtContent>
  </w:sdt>
  <w:p w14:paraId="0000002F" w14:textId="77777777" w:rsidR="00507689" w:rsidRDefault="00507689">
    <w:pPr>
      <w:pBdr>
        <w:top w:val="nil"/>
        <w:left w:val="nil"/>
        <w:bottom w:val="nil"/>
        <w:right w:val="nil"/>
        <w:between w:val="nil"/>
      </w:pBdr>
      <w:tabs>
        <w:tab w:val="center" w:pos="4819"/>
        <w:tab w:val="right" w:pos="9639"/>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78D4BF" w14:textId="77777777" w:rsidR="00D4305E" w:rsidRDefault="00D4305E">
      <w:r>
        <w:separator/>
      </w:r>
    </w:p>
  </w:footnote>
  <w:footnote w:type="continuationSeparator" w:id="0">
    <w:p w14:paraId="0BDE4A02" w14:textId="77777777" w:rsidR="00D4305E" w:rsidRDefault="00D430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02C" w14:textId="77777777" w:rsidR="00507689" w:rsidRDefault="00C62873">
    <w:pPr>
      <w:pBdr>
        <w:top w:val="nil"/>
        <w:left w:val="nil"/>
        <w:bottom w:val="nil"/>
        <w:right w:val="nil"/>
        <w:between w:val="nil"/>
      </w:pBdr>
      <w:tabs>
        <w:tab w:val="center" w:pos="4819"/>
        <w:tab w:val="right" w:pos="9639"/>
      </w:tabs>
      <w:jc w:val="center"/>
      <w:rPr>
        <w:color w:val="000000"/>
      </w:rPr>
    </w:pPr>
    <w:r>
      <w:rPr>
        <w:color w:val="000000"/>
      </w:rPr>
      <w:fldChar w:fldCharType="begin"/>
    </w:r>
    <w:r>
      <w:rPr>
        <w:color w:val="000000"/>
      </w:rPr>
      <w:instrText>PAGE</w:instrText>
    </w:r>
    <w:r>
      <w:rPr>
        <w:color w:val="000000"/>
      </w:rPr>
      <w:fldChar w:fldCharType="end"/>
    </w:r>
  </w:p>
  <w:p w14:paraId="0000002D" w14:textId="77777777" w:rsidR="00507689" w:rsidRDefault="00507689">
    <w:pPr>
      <w:pBdr>
        <w:top w:val="nil"/>
        <w:left w:val="nil"/>
        <w:bottom w:val="nil"/>
        <w:right w:val="nil"/>
        <w:between w:val="nil"/>
      </w:pBdr>
      <w:tabs>
        <w:tab w:val="center" w:pos="4819"/>
        <w:tab w:val="right" w:pos="9639"/>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23A58C5"/>
    <w:multiLevelType w:val="multilevel"/>
    <w:tmpl w:val="7E840122"/>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7689"/>
    <w:rsid w:val="00000161"/>
    <w:rsid w:val="000727AD"/>
    <w:rsid w:val="00507689"/>
    <w:rsid w:val="00C62873"/>
    <w:rsid w:val="00D4305E"/>
    <w:rsid w:val="00D76F0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36470"/>
  <w15:docId w15:val="{4046585D-1232-496F-BE13-4C08FA87C4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uk-UA" w:bidi="ar-SA"/>
      </w:rPr>
    </w:rPrDefault>
    <w:pPrDefault>
      <w:pPr>
        <w:ind w:firstLine="709"/>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 w:type="paragraph" w:styleId="a5">
    <w:name w:val="header"/>
    <w:basedOn w:val="a"/>
    <w:link w:val="a6"/>
    <w:uiPriority w:val="99"/>
    <w:unhideWhenUsed/>
    <w:rsid w:val="000727AD"/>
    <w:pPr>
      <w:tabs>
        <w:tab w:val="center" w:pos="4819"/>
        <w:tab w:val="right" w:pos="9639"/>
      </w:tabs>
    </w:pPr>
  </w:style>
  <w:style w:type="character" w:customStyle="1" w:styleId="a6">
    <w:name w:val="Верхній колонтитул Знак"/>
    <w:basedOn w:val="a0"/>
    <w:link w:val="a5"/>
    <w:uiPriority w:val="99"/>
    <w:rsid w:val="000727AD"/>
  </w:style>
  <w:style w:type="paragraph" w:styleId="a7">
    <w:name w:val="footer"/>
    <w:basedOn w:val="a"/>
    <w:link w:val="a8"/>
    <w:uiPriority w:val="99"/>
    <w:unhideWhenUsed/>
    <w:rsid w:val="000727AD"/>
    <w:pPr>
      <w:tabs>
        <w:tab w:val="center" w:pos="4819"/>
        <w:tab w:val="right" w:pos="9639"/>
      </w:tabs>
    </w:pPr>
  </w:style>
  <w:style w:type="character" w:customStyle="1" w:styleId="a8">
    <w:name w:val="Нижній колонтитул Знак"/>
    <w:basedOn w:val="a0"/>
    <w:link w:val="a7"/>
    <w:uiPriority w:val="99"/>
    <w:rsid w:val="000727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s://zakon.rada.gov.ua/laws/show/236/96-%D0%B2%D1%8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48DB88-A34D-40A7-8C80-37EEF08E103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E74F769-590A-4792-ABC3-5C4D41B3201F}">
  <ds:schemaRefs>
    <ds:schemaRef ds:uri="http://schemas.microsoft.com/sharepoint/v3/contenttype/forms"/>
  </ds:schemaRefs>
</ds:datastoreItem>
</file>

<file path=customXml/itemProps3.xml><?xml version="1.0" encoding="utf-8"?>
<ds:datastoreItem xmlns:ds="http://schemas.openxmlformats.org/officeDocument/2006/customXml" ds:itemID="{42932A9E-6613-463E-841D-1B76C9EDA0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4440</Words>
  <Characters>2532</Characters>
  <Application>Microsoft Office Word</Application>
  <DocSecurity>0</DocSecurity>
  <Lines>21</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2020-10-16T07:35:00Z</dcterms:created>
  <dcterms:modified xsi:type="dcterms:W3CDTF">2020-10-16T07:35:00Z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