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597" w:rsidRPr="00AA2EC8" w:rsidRDefault="00B3778A" w:rsidP="009F0CED">
      <w:pPr>
        <w:ind w:left="5760"/>
        <w:jc w:val="right"/>
        <w:rPr>
          <w:rFonts w:ascii="Times New Roman" w:hAnsi="Times New Roman" w:cs="Times New Roman"/>
          <w:sz w:val="28"/>
          <w:szCs w:val="28"/>
          <w:lang w:eastAsia="uk-UA"/>
        </w:rPr>
      </w:pPr>
      <w:bookmarkStart w:id="0" w:name="_GoBack"/>
      <w:bookmarkEnd w:id="0"/>
      <w:r>
        <w:rPr>
          <w:rFonts w:ascii="Times New Roman" w:hAnsi="Times New Roman" w:cs="Times New Roman"/>
          <w:sz w:val="28"/>
          <w:szCs w:val="28"/>
          <w:lang w:eastAsia="uk-UA"/>
        </w:rPr>
        <w:t>П</w:t>
      </w:r>
      <w:r w:rsidR="006D5597" w:rsidRPr="00AA2EC8">
        <w:rPr>
          <w:rFonts w:ascii="Times New Roman" w:hAnsi="Times New Roman" w:cs="Times New Roman"/>
          <w:sz w:val="28"/>
          <w:szCs w:val="28"/>
          <w:lang w:eastAsia="uk-UA"/>
        </w:rPr>
        <w:t>роект вноситься народним депутатом України</w:t>
      </w:r>
    </w:p>
    <w:p w:rsidR="00F2089F" w:rsidRPr="00AA2EC8" w:rsidRDefault="009F0CED" w:rsidP="009F0CED">
      <w:pPr>
        <w:spacing w:before="120"/>
        <w:ind w:left="5761"/>
        <w:jc w:val="right"/>
        <w:rPr>
          <w:rFonts w:ascii="Times New Roman" w:hAnsi="Times New Roman" w:cs="Times New Roman"/>
          <w:sz w:val="28"/>
          <w:szCs w:val="28"/>
          <w:lang w:eastAsia="uk-UA"/>
        </w:rPr>
      </w:pPr>
      <w:r>
        <w:rPr>
          <w:rFonts w:ascii="Times New Roman" w:hAnsi="Times New Roman" w:cs="Times New Roman"/>
          <w:sz w:val="28"/>
          <w:szCs w:val="28"/>
          <w:lang w:eastAsia="uk-UA"/>
        </w:rPr>
        <w:t xml:space="preserve">Масловим Д.В. </w:t>
      </w:r>
    </w:p>
    <w:p w:rsidR="006D5597" w:rsidRDefault="006D5597"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Pr="00C72C6C" w:rsidRDefault="00C72C6C" w:rsidP="00C7049A">
      <w:pPr>
        <w:jc w:val="center"/>
        <w:rPr>
          <w:rFonts w:ascii="Times New Roman" w:hAnsi="Times New Roman" w:cs="Times New Roman"/>
          <w:b/>
          <w:bCs/>
          <w:sz w:val="28"/>
          <w:szCs w:val="28"/>
        </w:rPr>
      </w:pPr>
      <w:r w:rsidRPr="00C72C6C">
        <w:rPr>
          <w:rFonts w:ascii="Times New Roman" w:hAnsi="Times New Roman" w:cs="Times New Roman"/>
          <w:b/>
          <w:sz w:val="28"/>
          <w:szCs w:val="28"/>
        </w:rPr>
        <w:t>З</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О</w:t>
      </w:r>
      <w:r>
        <w:rPr>
          <w:rFonts w:ascii="Times New Roman" w:hAnsi="Times New Roman" w:cs="Times New Roman"/>
          <w:b/>
          <w:sz w:val="28"/>
          <w:szCs w:val="28"/>
        </w:rPr>
        <w:t xml:space="preserve"> </w:t>
      </w:r>
      <w:r w:rsidRPr="00C72C6C">
        <w:rPr>
          <w:rFonts w:ascii="Times New Roman" w:hAnsi="Times New Roman" w:cs="Times New Roman"/>
          <w:b/>
          <w:sz w:val="28"/>
          <w:szCs w:val="28"/>
        </w:rPr>
        <w:t xml:space="preserve">Н </w:t>
      </w:r>
      <w:r>
        <w:rPr>
          <w:rFonts w:ascii="Times New Roman" w:hAnsi="Times New Roman" w:cs="Times New Roman"/>
          <w:b/>
          <w:sz w:val="28"/>
          <w:szCs w:val="28"/>
        </w:rPr>
        <w:t xml:space="preserve">  </w:t>
      </w:r>
      <w:r w:rsidRPr="00C72C6C">
        <w:rPr>
          <w:rFonts w:ascii="Times New Roman" w:hAnsi="Times New Roman" w:cs="Times New Roman"/>
          <w:b/>
          <w:sz w:val="28"/>
          <w:szCs w:val="28"/>
        </w:rPr>
        <w:t>У</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Р</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Ї</w:t>
      </w:r>
      <w:r>
        <w:rPr>
          <w:rFonts w:ascii="Times New Roman" w:hAnsi="Times New Roman" w:cs="Times New Roman"/>
          <w:b/>
          <w:sz w:val="28"/>
          <w:szCs w:val="28"/>
        </w:rPr>
        <w:t xml:space="preserve"> </w:t>
      </w:r>
      <w:r w:rsidRPr="00C72C6C">
        <w:rPr>
          <w:rFonts w:ascii="Times New Roman" w:hAnsi="Times New Roman" w:cs="Times New Roman"/>
          <w:b/>
          <w:sz w:val="28"/>
          <w:szCs w:val="28"/>
        </w:rPr>
        <w:t>Н</w:t>
      </w:r>
      <w:r>
        <w:rPr>
          <w:rFonts w:ascii="Times New Roman" w:hAnsi="Times New Roman" w:cs="Times New Roman"/>
          <w:b/>
          <w:sz w:val="28"/>
          <w:szCs w:val="28"/>
        </w:rPr>
        <w:t xml:space="preserve"> </w:t>
      </w:r>
      <w:r w:rsidRPr="00C72C6C">
        <w:rPr>
          <w:rFonts w:ascii="Times New Roman" w:hAnsi="Times New Roman" w:cs="Times New Roman"/>
          <w:b/>
          <w:sz w:val="28"/>
          <w:szCs w:val="28"/>
        </w:rPr>
        <w:t>И</w:t>
      </w:r>
    </w:p>
    <w:p w:rsidR="00C72C6C" w:rsidRPr="00B3778A" w:rsidRDefault="00C72C6C" w:rsidP="00FC7F30">
      <w:pPr>
        <w:ind w:firstLine="680"/>
        <w:jc w:val="center"/>
        <w:rPr>
          <w:rFonts w:ascii="Times New Roman" w:hAnsi="Times New Roman" w:cs="Times New Roman"/>
          <w:b/>
          <w:bCs/>
          <w:sz w:val="28"/>
          <w:szCs w:val="28"/>
        </w:rPr>
      </w:pPr>
    </w:p>
    <w:p w:rsidR="00093CED" w:rsidRDefault="009F0CED" w:rsidP="00717074">
      <w:pPr>
        <w:pStyle w:val="rvps6"/>
        <w:spacing w:before="0" w:beforeAutospacing="0" w:after="0" w:afterAutospacing="0"/>
        <w:jc w:val="center"/>
        <w:rPr>
          <w:rFonts w:ascii="Times New Roman" w:hAnsi="Times New Roman"/>
          <w:b/>
          <w:sz w:val="28"/>
          <w:szCs w:val="28"/>
          <w:lang w:val="uk-UA"/>
        </w:rPr>
      </w:pPr>
      <w:r>
        <w:rPr>
          <w:rFonts w:ascii="Times New Roman" w:hAnsi="Times New Roman"/>
          <w:b/>
          <w:sz w:val="28"/>
          <w:szCs w:val="28"/>
          <w:lang w:val="uk-UA"/>
        </w:rPr>
        <w:t>«</w:t>
      </w:r>
      <w:r w:rsidR="00B3778A" w:rsidRPr="00B3778A">
        <w:rPr>
          <w:rFonts w:ascii="Times New Roman" w:hAnsi="Times New Roman"/>
          <w:b/>
          <w:sz w:val="28"/>
          <w:szCs w:val="28"/>
          <w:lang w:val="uk-UA"/>
        </w:rPr>
        <w:t xml:space="preserve">Про внесення змін </w:t>
      </w:r>
      <w:r w:rsidR="00093CED" w:rsidRPr="00093CED">
        <w:rPr>
          <w:rFonts w:ascii="Times New Roman" w:hAnsi="Times New Roman"/>
          <w:b/>
          <w:sz w:val="28"/>
          <w:szCs w:val="28"/>
          <w:lang w:val="uk-UA"/>
        </w:rPr>
        <w:t>до</w:t>
      </w:r>
      <w:r w:rsidR="00093CED">
        <w:rPr>
          <w:rFonts w:ascii="Times New Roman" w:hAnsi="Times New Roman"/>
          <w:b/>
          <w:sz w:val="28"/>
          <w:szCs w:val="28"/>
          <w:lang w:val="uk-UA"/>
        </w:rPr>
        <w:t xml:space="preserve"> Закону України</w:t>
      </w:r>
    </w:p>
    <w:p w:rsidR="00C72C6C" w:rsidRPr="00B3778A" w:rsidRDefault="0016085B" w:rsidP="00717074">
      <w:pPr>
        <w:pStyle w:val="rvps6"/>
        <w:spacing w:before="0" w:beforeAutospacing="0" w:after="0" w:afterAutospacing="0"/>
        <w:jc w:val="center"/>
        <w:rPr>
          <w:b/>
          <w:lang w:val="uk-UA"/>
        </w:rPr>
      </w:pPr>
      <w:r w:rsidRPr="0016085B">
        <w:rPr>
          <w:rFonts w:ascii="Times New Roman" w:hAnsi="Times New Roman"/>
          <w:b/>
          <w:sz w:val="28"/>
          <w:szCs w:val="28"/>
          <w:lang w:val="uk-UA"/>
        </w:rPr>
        <w:t xml:space="preserve"> «Про судоустрій і статус суддів» щодо визначення правових та організаційних засад функціонування системи запобігання корупції в судах</w:t>
      </w:r>
      <w:r w:rsidR="00CD43BB">
        <w:rPr>
          <w:rFonts w:ascii="Times New Roman" w:hAnsi="Times New Roman"/>
          <w:b/>
          <w:sz w:val="28"/>
          <w:szCs w:val="28"/>
          <w:lang w:val="uk-UA"/>
        </w:rPr>
        <w:t>»</w:t>
      </w:r>
    </w:p>
    <w:p w:rsidR="00C72C6C" w:rsidRPr="00B3778A" w:rsidRDefault="00C72C6C" w:rsidP="00C72C6C">
      <w:pPr>
        <w:pStyle w:val="1"/>
        <w:ind w:firstLine="567"/>
        <w:outlineLvl w:val="0"/>
        <w:rPr>
          <w:rFonts w:ascii="Times New Roman" w:hAnsi="Times New Roman" w:cs="Times New Roman"/>
          <w:b w:val="0"/>
          <w:bCs w:val="0"/>
        </w:rPr>
      </w:pPr>
      <w:r w:rsidRPr="00B3778A">
        <w:rPr>
          <w:rFonts w:ascii="Times New Roman" w:hAnsi="Times New Roman" w:cs="Times New Roman"/>
        </w:rPr>
        <w:t xml:space="preserve"> </w:t>
      </w:r>
    </w:p>
    <w:p w:rsidR="00C72C6C" w:rsidRPr="00B3778A" w:rsidRDefault="00C72C6C" w:rsidP="00C72C6C">
      <w:pPr>
        <w:ind w:right="-36" w:firstLine="567"/>
        <w:jc w:val="both"/>
        <w:rPr>
          <w:rFonts w:ascii="Times New Roman" w:hAnsi="Times New Roman" w:cs="Times New Roman"/>
          <w:b/>
          <w:bCs/>
          <w:sz w:val="28"/>
          <w:szCs w:val="28"/>
        </w:rPr>
      </w:pPr>
      <w:r w:rsidRPr="00B3778A">
        <w:rPr>
          <w:rFonts w:ascii="Times New Roman" w:hAnsi="Times New Roman" w:cs="Times New Roman"/>
          <w:sz w:val="28"/>
          <w:szCs w:val="28"/>
        </w:rPr>
        <w:t xml:space="preserve">Верховна Рада України </w:t>
      </w:r>
      <w:r w:rsidRPr="00B3778A">
        <w:rPr>
          <w:rFonts w:ascii="Times New Roman" w:hAnsi="Times New Roman" w:cs="Times New Roman"/>
          <w:b/>
          <w:bCs/>
          <w:sz w:val="28"/>
          <w:szCs w:val="28"/>
        </w:rPr>
        <w:t>п о с т а н о в л я є:</w:t>
      </w:r>
    </w:p>
    <w:p w:rsidR="00C72C6C" w:rsidRPr="00F619DE" w:rsidRDefault="00C72C6C" w:rsidP="00C72C6C">
      <w:pPr>
        <w:ind w:right="-36" w:firstLine="567"/>
        <w:jc w:val="both"/>
        <w:rPr>
          <w:rFonts w:ascii="Times New Roman" w:hAnsi="Times New Roman" w:cs="Times New Roman"/>
          <w:sz w:val="24"/>
          <w:szCs w:val="24"/>
        </w:rPr>
      </w:pPr>
    </w:p>
    <w:p w:rsidR="00394097" w:rsidRDefault="00C72C6C" w:rsidP="00394097">
      <w:pPr>
        <w:ind w:firstLine="567"/>
        <w:jc w:val="both"/>
        <w:rPr>
          <w:rFonts w:ascii="Times New Roman" w:eastAsia="BatangChe" w:hAnsi="Times New Roman" w:cs="Times New Roman"/>
          <w:sz w:val="28"/>
          <w:szCs w:val="28"/>
        </w:rPr>
      </w:pPr>
      <w:r w:rsidRPr="00F619DE">
        <w:rPr>
          <w:rFonts w:ascii="Times New Roman" w:hAnsi="Times New Roman" w:cs="Times New Roman"/>
          <w:sz w:val="28"/>
          <w:szCs w:val="28"/>
        </w:rPr>
        <w:t xml:space="preserve">І. </w:t>
      </w:r>
      <w:r>
        <w:rPr>
          <w:rFonts w:ascii="Times New Roman" w:hAnsi="Times New Roman"/>
          <w:sz w:val="28"/>
          <w:szCs w:val="28"/>
        </w:rPr>
        <w:t xml:space="preserve">Внести до </w:t>
      </w:r>
      <w:r w:rsidR="00394097">
        <w:rPr>
          <w:rFonts w:ascii="Times New Roman" w:hAnsi="Times New Roman"/>
          <w:sz w:val="28"/>
          <w:szCs w:val="28"/>
        </w:rPr>
        <w:t>Закону України «</w:t>
      </w:r>
      <w:r w:rsidR="0014062A">
        <w:rPr>
          <w:rFonts w:ascii="Times New Roman" w:hAnsi="Times New Roman"/>
          <w:sz w:val="28"/>
          <w:szCs w:val="28"/>
        </w:rPr>
        <w:t>Про судоустрій і</w:t>
      </w:r>
      <w:r w:rsidR="0016085B">
        <w:rPr>
          <w:rFonts w:ascii="Times New Roman" w:hAnsi="Times New Roman"/>
          <w:sz w:val="28"/>
          <w:szCs w:val="28"/>
        </w:rPr>
        <w:t xml:space="preserve"> статус суддів</w:t>
      </w:r>
      <w:r w:rsidR="00394097">
        <w:rPr>
          <w:rFonts w:ascii="Times New Roman" w:hAnsi="Times New Roman"/>
          <w:sz w:val="28"/>
          <w:szCs w:val="28"/>
        </w:rPr>
        <w:t xml:space="preserve">» </w:t>
      </w:r>
      <w:r w:rsidR="00051970">
        <w:rPr>
          <w:rFonts w:ascii="Times New Roman" w:hAnsi="Times New Roman"/>
          <w:sz w:val="28"/>
          <w:szCs w:val="28"/>
        </w:rPr>
        <w:t>(</w:t>
      </w:r>
      <w:r w:rsidR="00AA7502" w:rsidRPr="00AA7502">
        <w:rPr>
          <w:rFonts w:ascii="Times New Roman" w:eastAsia="BatangChe" w:hAnsi="Times New Roman" w:cs="Times New Roman"/>
          <w:sz w:val="28"/>
          <w:szCs w:val="28"/>
        </w:rPr>
        <w:t>Відомості Верховної Ради (ВВР), 2016, № 31, ст.545</w:t>
      </w:r>
      <w:r w:rsidR="00394097">
        <w:rPr>
          <w:rFonts w:ascii="Times New Roman" w:hAnsi="Times New Roman"/>
          <w:sz w:val="28"/>
          <w:szCs w:val="28"/>
        </w:rPr>
        <w:t xml:space="preserve"> </w:t>
      </w:r>
      <w:r>
        <w:rPr>
          <w:rFonts w:ascii="Times New Roman" w:hAnsi="Times New Roman"/>
          <w:sz w:val="28"/>
          <w:szCs w:val="28"/>
        </w:rPr>
        <w:t>з наступними змінами) такі зміни</w:t>
      </w:r>
      <w:r w:rsidRPr="00F619DE">
        <w:rPr>
          <w:rFonts w:ascii="Times New Roman" w:eastAsia="BatangChe" w:hAnsi="Times New Roman" w:cs="Times New Roman"/>
          <w:sz w:val="28"/>
          <w:szCs w:val="28"/>
        </w:rPr>
        <w:t>:</w:t>
      </w:r>
    </w:p>
    <w:p w:rsidR="00394097" w:rsidRDefault="00394097" w:rsidP="00394097">
      <w:pPr>
        <w:ind w:firstLine="567"/>
        <w:jc w:val="both"/>
        <w:rPr>
          <w:rFonts w:ascii="Times New Roman" w:eastAsia="BatangChe" w:hAnsi="Times New Roman" w:cs="Times New Roman"/>
          <w:sz w:val="28"/>
          <w:szCs w:val="28"/>
        </w:rPr>
      </w:pPr>
    </w:p>
    <w:p w:rsidR="00093CED" w:rsidRDefault="00093CED" w:rsidP="007A1AB4">
      <w:pPr>
        <w:spacing w:after="120"/>
        <w:ind w:firstLine="567"/>
        <w:jc w:val="both"/>
        <w:rPr>
          <w:rFonts w:ascii="Times New Roman" w:hAnsi="Times New Roman" w:cs="Times New Roman"/>
          <w:sz w:val="28"/>
          <w:szCs w:val="28"/>
        </w:rPr>
      </w:pPr>
      <w:r>
        <w:rPr>
          <w:rFonts w:ascii="Times New Roman" w:hAnsi="Times New Roman" w:cs="Times New Roman"/>
          <w:sz w:val="28"/>
          <w:szCs w:val="28"/>
        </w:rPr>
        <w:t>1) </w:t>
      </w:r>
      <w:r w:rsidR="00AA7502">
        <w:rPr>
          <w:rFonts w:ascii="Times New Roman" w:hAnsi="Times New Roman" w:cs="Times New Roman"/>
          <w:sz w:val="28"/>
          <w:szCs w:val="28"/>
        </w:rPr>
        <w:t>в статті 56</w:t>
      </w:r>
      <w:r>
        <w:rPr>
          <w:rFonts w:ascii="Times New Roman" w:hAnsi="Times New Roman" w:cs="Times New Roman"/>
          <w:sz w:val="28"/>
          <w:szCs w:val="28"/>
        </w:rPr>
        <w:t>:</w:t>
      </w:r>
    </w:p>
    <w:p w:rsidR="00AA7502" w:rsidRDefault="00AA7502" w:rsidP="007A1AB4">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7 частини сьомої після слів «</w:t>
      </w:r>
      <w:r w:rsidRPr="00AA7502">
        <w:rPr>
          <w:rFonts w:ascii="Times New Roman" w:hAnsi="Times New Roman" w:cs="Times New Roman"/>
          <w:sz w:val="28"/>
          <w:szCs w:val="28"/>
        </w:rPr>
        <w:t>або місцевого самоврядування</w:t>
      </w:r>
      <w:r>
        <w:rPr>
          <w:rFonts w:ascii="Times New Roman" w:hAnsi="Times New Roman" w:cs="Times New Roman"/>
          <w:sz w:val="28"/>
          <w:szCs w:val="28"/>
        </w:rPr>
        <w:t>» доповнити словами «</w:t>
      </w:r>
      <w:r w:rsidRPr="00AA7502">
        <w:rPr>
          <w:rFonts w:ascii="Times New Roman" w:hAnsi="Times New Roman" w:cs="Times New Roman"/>
          <w:sz w:val="28"/>
          <w:szCs w:val="28"/>
        </w:rPr>
        <w:t>, в пор</w:t>
      </w:r>
      <w:r>
        <w:rPr>
          <w:rFonts w:ascii="Times New Roman" w:hAnsi="Times New Roman" w:cs="Times New Roman"/>
          <w:sz w:val="28"/>
          <w:szCs w:val="28"/>
        </w:rPr>
        <w:t>ядку, передбаченому цим Законом»</w:t>
      </w:r>
    </w:p>
    <w:p w:rsidR="00AA7502" w:rsidRDefault="00AA7502" w:rsidP="007A1AB4">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сьому доповнити новим пунктом 7-1 наступного змісту:</w:t>
      </w:r>
    </w:p>
    <w:p w:rsidR="00AA7502" w:rsidRDefault="00AA7502" w:rsidP="007A1AB4">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AA7502">
        <w:rPr>
          <w:rFonts w:ascii="Times New Roman" w:hAnsi="Times New Roman" w:cs="Times New Roman"/>
          <w:sz w:val="28"/>
          <w:szCs w:val="28"/>
        </w:rPr>
        <w:t>7-1) в порядку, передбаченому цим Законом, інформувати про відкриття валютного рахунка в установі банку-нерезидента, а також про суттєві зміни у майновому стані;</w:t>
      </w:r>
      <w:r>
        <w:rPr>
          <w:rFonts w:ascii="Times New Roman" w:hAnsi="Times New Roman" w:cs="Times New Roman"/>
          <w:sz w:val="28"/>
          <w:szCs w:val="28"/>
        </w:rPr>
        <w:t>»</w:t>
      </w:r>
    </w:p>
    <w:p w:rsidR="00AA7502" w:rsidRDefault="00AA7502" w:rsidP="007A1AB4">
      <w:pPr>
        <w:spacing w:after="120"/>
        <w:ind w:firstLine="567"/>
        <w:jc w:val="both"/>
        <w:rPr>
          <w:rFonts w:ascii="Times New Roman" w:hAnsi="Times New Roman" w:cs="Times New Roman"/>
          <w:sz w:val="28"/>
          <w:szCs w:val="28"/>
        </w:rPr>
      </w:pPr>
      <w:r>
        <w:rPr>
          <w:rFonts w:ascii="Times New Roman" w:hAnsi="Times New Roman" w:cs="Times New Roman"/>
          <w:sz w:val="28"/>
          <w:szCs w:val="28"/>
        </w:rPr>
        <w:t>2) статтю 59 викласти в наступній редакції:</w:t>
      </w:r>
    </w:p>
    <w:p w:rsidR="00AA7502" w:rsidRP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AA7502">
        <w:rPr>
          <w:rFonts w:ascii="Times New Roman" w:hAnsi="Times New Roman" w:cs="Times New Roman"/>
          <w:sz w:val="28"/>
          <w:szCs w:val="28"/>
        </w:rPr>
        <w:t>Стаття 59. Моніторинг способу життя судді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1. Вища кваліфікаційна комісія суддів України здійснює моніторинг способу життя судді з метою встановлення відповідності його рівня життя наявним у нього та членів його сім’ї майну і одержаним ними доходам згідно з декларацією особи, уповноваженої на виконання функцій держави або місцевого самоврядування, що подається суддями відповідно до цього Закону.</w:t>
      </w:r>
    </w:p>
    <w:p w:rsidR="008E4235" w:rsidRPr="008E4235" w:rsidRDefault="00AA7502" w:rsidP="008E4235">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2. </w:t>
      </w:r>
      <w:r w:rsidR="008E4235" w:rsidRPr="008E4235">
        <w:rPr>
          <w:rFonts w:ascii="Times New Roman" w:hAnsi="Times New Roman" w:cs="Times New Roman"/>
          <w:sz w:val="28"/>
          <w:szCs w:val="28"/>
        </w:rPr>
        <w:t>Моніторинг способу життя судді може бути проведений:</w:t>
      </w:r>
    </w:p>
    <w:p w:rsidR="008E4235" w:rsidRPr="008E4235" w:rsidRDefault="008E4235" w:rsidP="008E4235">
      <w:pPr>
        <w:pStyle w:val="ae"/>
        <w:numPr>
          <w:ilvl w:val="0"/>
          <w:numId w:val="4"/>
        </w:numPr>
        <w:spacing w:after="120"/>
        <w:jc w:val="both"/>
        <w:rPr>
          <w:rFonts w:ascii="Times New Roman" w:hAnsi="Times New Roman" w:cs="Times New Roman"/>
          <w:sz w:val="28"/>
          <w:szCs w:val="28"/>
        </w:rPr>
      </w:pPr>
      <w:r w:rsidRPr="008E4235">
        <w:rPr>
          <w:rFonts w:ascii="Times New Roman" w:hAnsi="Times New Roman" w:cs="Times New Roman"/>
          <w:sz w:val="28"/>
          <w:szCs w:val="28"/>
        </w:rPr>
        <w:t>на підставі окремого рішення Вищої кваліфікаційної комісії суддів України;</w:t>
      </w:r>
    </w:p>
    <w:p w:rsidR="008E4235" w:rsidRPr="008E4235" w:rsidRDefault="008E4235" w:rsidP="008E4235">
      <w:pPr>
        <w:pStyle w:val="ae"/>
        <w:numPr>
          <w:ilvl w:val="0"/>
          <w:numId w:val="4"/>
        </w:numPr>
        <w:spacing w:after="120"/>
        <w:jc w:val="both"/>
        <w:rPr>
          <w:rFonts w:ascii="Times New Roman" w:hAnsi="Times New Roman" w:cs="Times New Roman"/>
          <w:sz w:val="28"/>
          <w:szCs w:val="28"/>
        </w:rPr>
      </w:pPr>
      <w:r w:rsidRPr="008E4235">
        <w:rPr>
          <w:rFonts w:ascii="Times New Roman" w:hAnsi="Times New Roman" w:cs="Times New Roman"/>
          <w:sz w:val="28"/>
          <w:szCs w:val="28"/>
        </w:rPr>
        <w:t>на вимогу Вищої ради правосуддя;</w:t>
      </w:r>
    </w:p>
    <w:p w:rsidR="00AA7502" w:rsidRPr="008E4235" w:rsidRDefault="008E4235" w:rsidP="008E4235">
      <w:pPr>
        <w:pStyle w:val="ae"/>
        <w:numPr>
          <w:ilvl w:val="0"/>
          <w:numId w:val="4"/>
        </w:numPr>
        <w:spacing w:after="120"/>
        <w:jc w:val="both"/>
        <w:rPr>
          <w:rFonts w:ascii="Times New Roman" w:hAnsi="Times New Roman" w:cs="Times New Roman"/>
          <w:sz w:val="28"/>
          <w:szCs w:val="28"/>
        </w:rPr>
      </w:pPr>
      <w:r w:rsidRPr="008E4235">
        <w:rPr>
          <w:rFonts w:ascii="Times New Roman" w:hAnsi="Times New Roman" w:cs="Times New Roman"/>
          <w:sz w:val="28"/>
          <w:szCs w:val="28"/>
        </w:rPr>
        <w:t>в інших випадках, визначених цим Законом</w:t>
      </w:r>
      <w:r w:rsidR="00AA7502" w:rsidRPr="008E4235">
        <w:rPr>
          <w:rFonts w:ascii="Times New Roman" w:hAnsi="Times New Roman" w:cs="Times New Roman"/>
          <w:sz w:val="28"/>
          <w:szCs w:val="28"/>
        </w:rPr>
        <w:t>.</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3. Моніторинг способу життя судді здійснюється Вищою кваліфікаційною комісією суддів України із використанням інформації, отриманої від фізичних та юридичних осіб, органів державної влади та органів місцевого самоврядування, установ, підприємств та організацій всіх форм власності, яка містить відомості про невідповідність рівня життя судді задекларованим ним майну і доходам.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lastRenderedPageBreak/>
        <w:t>При здійснені моніторингу способу життя судді, забороняється використання інформації отриманої від анонімних джерел чи інформації, джерело походження якої достовірно не встановлено.</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4. Порядок здійснення моніторингу способу життя судді визначається Вищою кваліфікаційною комісією суддів України після консультацій з Вищою радою правосуддя, Радою суддів України та Національним агентством з питань запобігання корупції.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Моніторинг способу життя судді 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судді, а також не повинен порушувати принцип незалежності судів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5. Результати моніторингу способу життя судді можуть також використовуватися для оцінки дотримання суддею правил суддівської етики.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6. Встановлення невідповідності рівня життя судді задекларованим ним майну і доходам є підставою для здійснення повної перевірки його декларації. У разі встановлення невідповідності рівня життя Вищою кваліфікаційною комісією суддів України надається можливість судді протягом десяти робочих днів надати письмове пояснення за таким фактом.</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У разі виявлення за результатами моніторингу способу життя ознак корупційного правопорушення або правопорушення, пов’язаного з корупцією, Вища кваліфікаційна комісія суддів України інформує про них Вищу раду правосуддя, а також вчиняє інші дії передбачені законодавством.</w:t>
      </w:r>
    </w:p>
    <w:p w:rsid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7. Інформація, отримана за результатами моніторингу способу життя судді, включається до суддівського досьє.</w:t>
      </w:r>
      <w:r>
        <w:rPr>
          <w:rFonts w:ascii="Times New Roman" w:hAnsi="Times New Roman" w:cs="Times New Roman"/>
          <w:sz w:val="28"/>
          <w:szCs w:val="28"/>
        </w:rPr>
        <w:t>»</w:t>
      </w:r>
    </w:p>
    <w:p w:rsid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3) доповнити Закон новою статтею 59-1 наступного змісту:</w:t>
      </w:r>
    </w:p>
    <w:p w:rsidR="00AA7502" w:rsidRP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AA7502">
        <w:rPr>
          <w:rFonts w:ascii="Times New Roman" w:hAnsi="Times New Roman" w:cs="Times New Roman"/>
          <w:sz w:val="28"/>
          <w:szCs w:val="28"/>
        </w:rPr>
        <w:t>Стаття 59-1. Подання суддею декларації особи, уповноваженої на виконання функцій держави або місцевого самоврядування.</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1. Судді зобов’язані щорічно до 1 квітня подавати шляхом заповнення на офіційному веб-сайті Вищої кваліфікаційної комісії суддів України декларацію особи, уповноваженої на виконання функцій держави або місцевого самоврядування (далі - декларація), за минулий рік за формою, що визначається Вищою кваліфікаційною комісією суддів України після консультацій з Вищою радою правосуддя, Радою суддів України та Національним агентством з питань запобігання корупції.</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2. Судді, які звільнені або повноваження яких припинено,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 не пізніше 20 робочих днів з дати звільнення або припинення повноважень судді.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Судді, які звільнені або повноваження яких припинено, зобов’язані наступного року після звільнення або припинення повноважень судді подавати в установленому частиною першою цієї статті порядку декларацію особи, </w:t>
      </w:r>
      <w:r w:rsidRPr="00AA7502">
        <w:rPr>
          <w:rFonts w:ascii="Times New Roman" w:hAnsi="Times New Roman" w:cs="Times New Roman"/>
          <w:sz w:val="28"/>
          <w:szCs w:val="28"/>
        </w:rPr>
        <w:lastRenderedPageBreak/>
        <w:t>уповноваженої на виконання функцій держави або місцевого самоврядування, за минулий рік.</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3. Особа, яка претендує на зайняття посади судді, до призначення на відповідну посаду подає в установленому цим Законом порядку декларацію особи, уповноваженої на виконання функцій держави або місцевого самоврядування, за минулий рік.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4. Упродовж семи днів після подання декларації суддя має право подати виправлену декларацію, але не більше трьох разів.</w:t>
      </w:r>
    </w:p>
    <w:p w:rsid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У разі притягнення судді до відповідальності за неподання, несвоєчасне подання декларації або в разі виявлення у ній недостовірних відомостей суддя зобов’язаний подати відповідну декларацію з достовірними відомостями.</w:t>
      </w:r>
      <w:r>
        <w:rPr>
          <w:rFonts w:ascii="Times New Roman" w:hAnsi="Times New Roman" w:cs="Times New Roman"/>
          <w:sz w:val="28"/>
          <w:szCs w:val="28"/>
        </w:rPr>
        <w:t>»</w:t>
      </w:r>
    </w:p>
    <w:p w:rsid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4) доповнити Закон новою статтею 59-2 наступного змісту:</w:t>
      </w:r>
    </w:p>
    <w:p w:rsidR="00AA7502" w:rsidRP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AA7502">
        <w:rPr>
          <w:rFonts w:ascii="Times New Roman" w:hAnsi="Times New Roman" w:cs="Times New Roman"/>
          <w:sz w:val="28"/>
          <w:szCs w:val="28"/>
        </w:rPr>
        <w:t>Стаття 59-2. Інформація, що зазначається суддею в декларації особи, уповноваженої на виконання функцій держави або місцевого самоврядування</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1. У декларації суддею зазначаються відомості про:</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1) прізвище,  ім’я, по батькові, число, місяць і рік народження, реєстраційний номер облікової картки платника податків, серію та номер паспорта громадянина України, унікальний номер запису в Єдиному державному демографічному реєстрі судді та членів його сім’ї, зареєстроване місце їх проживання, а також місце фактичного проживання або поштову адресу, на яку судді Вищою кваліфікаційною комісією суддів України може бути надіслано кореспонденцію, місце роботи (суд, в якому особа обіймає посаду судді) або місце майбутньої роботи (суд, в якому особа бажає обіймати посаду судді).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2) об’єкти нерухомості, що належать судді та членам його сім’ї на праві приватної власності, включаючи спільну власність, або знаходяться у них в оренді чи на іншому праві користування, незалежно від форми укладення правочину, внаслідок якого набуте таке право. Такі відомості включають:</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а) дані щодо виду, характеристики майна, місцезнаходження, дату набуття майна у власність, оренду або інше право користування, вартість майна на дату набуття його у власність, володіння або користування;</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б) у разі якщо нерухоме майно перебуває у спільній власності, про усіх співвласників такого майна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У разі якщо нерухоме майно перебуває в оренді або на іншому праві користування, про власника такого майна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lastRenderedPageBreak/>
        <w:t>2-1) об’єкти незавершеного будівництва, об’єкти, не прийняті в експлуатацію або право власності на які не зареєстроване в установленому законом порядку, які: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а) належать судді або членам його сім’ї на праві власності відповідно до Цивільного кодексу України;</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б) розташовані на земельних ділянках, що належать судді або членам його сім’ї на праві приватної власності, включаючи спільну власність, або передані їм в оренду чи на іншому праві користування, незалежно від правових підстав набуття такого права;</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 повністю або частково побудовані з матеріалів чи за кошти судді або членів його сім’ї.</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Такі відомості включають:</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а) інформацію про місцезнаходження об’єкта;</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б) інформацію про власника або користувача земельної ділянки, на якій здійснюється будівництво об’єкта;</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 якщо об’єкт перебуває у спільній власності - про всіх його співвласників зазначаються відомості, передбачені пунктом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3) цінне рухоме майно, вартість якого перевищує 100 прожиткових мінімумів, встановлених для працездатних осіб на 1 січня звітного року, що належить судді або членам його сім’ї на праві приватної власності, у тому числі спільної власності, або перебуває в її володінні або користуванні незалежно від форми правочину, внаслідок якого набуте таке право. Такі відомості включають:</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а) дані щодо виду майна, характеристики майна, дату набуття його у власність, володіння або користування, вартість майна на дату його набуття у власність, володіння або користування;</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б) дані щодо транспортних засобів та інших самохідних машин і механізмів, а також щодо їх марки та моделі, року випуску, ідентифікаційного номера (за наявності). Відомості про транспортні засоби та інші самохідні машини і механізми зазначаються незалежно від їх вартості;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 у разі якщо рухоме майно перебуває у спільній власності, про усіх співвласників такого майна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У разі якщо рухоме майно перебуває у володінні або користуванні, про власників такого майна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Примітка. Декларування цінного рухомого майна, зазначеного у цьому пункті (крім транспортних засобів та інших самохідних машин і механізмів), </w:t>
      </w:r>
      <w:r w:rsidRPr="00AA7502">
        <w:rPr>
          <w:rFonts w:ascii="Times New Roman" w:hAnsi="Times New Roman" w:cs="Times New Roman"/>
          <w:sz w:val="28"/>
          <w:szCs w:val="28"/>
        </w:rPr>
        <w:lastRenderedPageBreak/>
        <w:t>права на яке набуті до подання суддею першої декларації відповідно до вимог цього Закону, здійснюється з обов’язковим зазначенням інформації про набуття такого майна до початку періоду здійснення діяльності судді або у такий період. При цьому зазначення даних щодо його вартості та дати набуття у власність, володіння або користування не є обов’язковим;</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4) цінні папери, у тому числі акції, облігації, чеки, сертифікати, векселі, що належать судді або членам його сім’ї, із відображенням відомостей стосовно виду цінного папера, його емітента, дати набуття цінних паперів у власність, кількості та номінальної вартості цінних паперів. У разі якщо цінні папери передані в управління іншій особі, щодо цієї особи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5) інші корпоративні права, що належать судді або членам його сім’ї, із зазначенням найменування кожного суб’єкта господарювання, його організаційно-правової форми, коду Єдиного державного реєстру підприємств і організацій України, частки у статутному (складеному) капіталі товариства, підприємства, організації у грошовому та відсотковому вираженні;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5-1) юридичні особи, трасти або інші подібні правові утворення, кінцевим бенефіціарним власником (контролером) яких є суддя або члени його сім’ї.</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Термін "кінцевий бенефіціарний власник (контролер)", "траст" вживаються у значеннях, наведених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6) нематеріальні активи, що належать судді або членам його сім’ї, у тому числі об’єкти інтелектуальної власності, що можуть бути оцінені в грошовому еквіваленті, криптовалюти. До відомостей щодо нематеріальних активів включаються дані про вид та характеристики таких активів, вартість активів на момент виникнення права власності, а також про дату виникнення права на них;</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7) отримані доходи судді або членів його сім’ї, у тому числі доходи у вигляді заробітної плати (грошового забезпечення), отримані як за основним місцем роботи, так і за сумісництвом, гонорари, дивіденди, проценти, роялті, страхові виплати, благодійна допомога, пенсія, доходи від відчуження цінних паперів та корпоративних прав, подарунки та інші доходи.</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Такі відомості включають дані про вид доходу, джерело доходу та його розмір. Відомості щодо подарунка зазначаються лише у разі, якщо його вартість перевищує п’ять прожиткових мінімумів, встановлених для працездатних осіб на 1 січня звітного року, а для подарунків у вигляді грошових коштів - якщо розмір таких подарунків, отриманих від однієї особи (групи осіб) протягом року, перевищує п’ять прожиткових мінімумів, встановлених для працездатних осіб на 1 січня звітного року;</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8) наявні у судді або членів його сім’ї грошові активи, у тому числі готівкові кошти, кошти, розміщені на банківських рахунках або які зберігаються у банку, </w:t>
      </w:r>
      <w:r w:rsidRPr="00AA7502">
        <w:rPr>
          <w:rFonts w:ascii="Times New Roman" w:hAnsi="Times New Roman" w:cs="Times New Roman"/>
          <w:sz w:val="28"/>
          <w:szCs w:val="28"/>
        </w:rPr>
        <w:lastRenderedPageBreak/>
        <w:t>внески до кредитних спілок та інших небанківських фінансових установ, кошти, позичені третім особам, а також активи у дорогоцінних (банківських) металах. Відомості щодо грошових активів включають дані про вид, розмір та валюту активу, а також найменування та код Єдиного державного реєстру підприємств і організацій України установи, в якій відкриті відповідні рахунки або до якої зроблені відповідні внески. Не підлягають декларуванню наявні грошові активи (у тому числі готівкові кошти, кошти, розміщені на банківських рахунках, внески до кредитних спілок та інших небанківських фінансових установ, кошти, позичені третім особам) та активи у дорогоцінних (банківських) металах, сукупна вартість яких не перевищує 50 прожиткових мінімумів, встановлених для працездатних осіб на 1 січня звітного року;</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8-1) банківські та інші фінансові установи, у тому числі за кордоном, у яких у судді або членів його сім’ї відкриті рахунки (незалежно від типу рахунку, а також рахунки, відкриті третіми особами на ім’я судді або членів його сім’ї) або зберігаються кошти, інше майно. Такі відомості включають дані про тип та номер рахунку, дані про банківську або іншу фінансову установу, осіб, які мають право розпоряджатися таким рахунком або мають доступ до індивідуального банківського сейфа, осіб, які відкрили рахунок на ім’я судді або членів його сім’ї;</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9) фінансові зобов’язання судді або членів його сім’ї, у тому числі отримані кредити, позики, зобов’язання за договорами лізингу, розмір сплачених коштів у рахунок основної суми позики (кредиту) та процентів за позикою (кредитом), залишок позики (кредиту) станом на кінець звітного періоду, зобов’язання за договорами страхування та недержавного пенсійного забезпечення. Відомості щодо фінансових зобов’язань включають дані про вид зобов’язання, його розмір, валюту зобов’язання, інформацію про особу, стосовно якої виникли такі зобов’язання, відповідно до пункту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та дату виникнення зобов’язання. Такі відомості зазначаються лише у разі, якщо розмір зобов’язання перевищує 50 прожиткових мінімумів, встановлених для працездатних осіб на 1 січня звітного року.</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У разі якщо предметом правочину щодо забезпечення виконання зобов’язання є нерухоме або рухоме майно, в декларації зазначаються вид майна, його місцезнаходження, вартість та інформація про власника майна відповідно до пункту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У разі якщо засобом забезпечення отриманого зобов’язання є порука, в декларації має бути вказано інформацію про поручителя, зазначену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10) видатки, а також будь-які інші правочини, вчинені у звітному періоді, на підставі яких у судді виникає або припиняється право власності, володіння чи користування, у тому числі спільної власності, на нерухоме або рухоме майно, </w:t>
      </w:r>
      <w:r w:rsidRPr="00AA7502">
        <w:rPr>
          <w:rFonts w:ascii="Times New Roman" w:hAnsi="Times New Roman" w:cs="Times New Roman"/>
          <w:sz w:val="28"/>
          <w:szCs w:val="28"/>
        </w:rPr>
        <w:lastRenderedPageBreak/>
        <w:t>нематеріальні та інші активи, а також виникають фінансові зобов’язання, які зазначені у пунктах 2-9 частини першої цієї статті.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Такі відомості зазначаються у разі, якщо розмір відповідного видатку перевищує 50 прожиткових мінімумів, встановлених для працездатних осіб на 1 січня звітного року; до таких відомостей включаються дані про вид правочину, його предмет. На письмовий запит Вищої кваліфікаційної комісії суддів України суддя надає інформацію щодо найменування контрагента;</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11) посаду чи роботу, що виконується або виконувалася за сумісництвом: дані про займану посаду чи роботу (оплачувану чи ні), що виконується за договором (контрактом), найменування юридичної чи фізичної особи, в якій (яких) особа працює або працювала за сумісництвом, із зазначенням коду Єдиного державного реєстру юридичних осіб та фізичних осіб - підприємців, або прізвище, ім’я, по батькові фізичної особи із зазначенням її реєстраційного номера облікової картки платника податків;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12) входження судді до керівних, ревізійних чи наглядових органів громадських об’єднань, благодійних організацій, саморегулівних чи самоврядних професійних об’єднань, членство в таких об’єднаннях (організаціях) із зазначенням назви відповідних об’єднань (організацій) та їх коду Єдиного державного реєстру юридичних осіб та фізичних осіб - підприємців.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2. Відомості, зазначені у частині першій цієї статті, подаються незалежно від того, знаходиться об’єкт декларування на території України чи за її межами.</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Вища кваліфікаційна комісія суддів України визначає у формі декларації дані, що повинні зазначатися з метою ідентифікації фізичних або юридичних осіб, у тому числі іноземців, осіб без громадянства, іноземних юридичних осіб, а також об’єктів декларування, інформація щодо яких подається у декларації.</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Дані про об’єкт декларування, що перебував у володінні або користуванні судді або членів його сім’ї, зазначаються в декларації, якщо такий об’єкт перебував у володінні або користуванні станом на останній день звітного періоду або протягом не менше половини днів протягом звітного періоду.</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3. У декларації зазначаються також відомості про об’єкти декларування, передбачені пунктами 2-8 частини першої цієї статті, що є об’єктами права власності третьої особи, якщо суддя або член його сім’ї отримує чи має право на отримання доходу від такого об’єкта або може прямо чи опосередковано (через інших фізичних або юридичних осіб) вчиняти щодо такого об’єкта дії, тотожні за змістом здійсненню права розпорядження ним.</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Відомості, передбачені цією частиною, не зазначаються в декларації, якщо відповідні об’єкти належать на праві власності юридичній особі, зазначеній у пункті 5-1 частини першої цієї статті, та їх головним призначенням є використання у господарській діяльності такої юридичної особи (промислове обладнання, спеціальна техніка тощо).</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lastRenderedPageBreak/>
        <w:t>4. Відомості, передбачені пунктом 10 частини першої цієї статті, не зазначаються у деклараціях осіб, які претендують на зайняття посади судді, що подаються відповідно до частини третьої статті 59-1 цього Закону.</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5. Відображення доходів і видатків суддів здійснюється у грошовій одиниці України.</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Вартість майна, майнових прав, активів, інших об’єктів декларування, передбачених частиною першою цієї статті, зазначається у грошовій одиниці України на момент їх набуття у власність або останньої грошової оцінки.</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Вартість майна, майнових прав, активів, інших об’єктів декларування, що перебувають у володінні чи користуванні судді, зазначається у випадку, якщо вона відома судді або повинна була стати відомою внаслідок вчинення відповідного правочину.</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6. Доходи/видатки, одержані/здійснені в іноземній валюті, з метою відображення у декларації перераховуються в грошовій одиниці України за валютним (обмінним) курсом Національного банку України, що діяв на дату одержання доходів/здійснення видатків. Щодо доходів/видатків, одержаних/здійснених за кордоном, зазначається держава, в якій їх було одержано/здійснено.</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7. У разі відмови члена сім’ї судді надати будь-які відомості чи їх частину для заповнення декларації суддя зобов’язаний зазначити про це в декларації, відобразивши всю відому йому інформацію про такого члена сім’ї, визначену пунктами 1-12 частини першої цієї статті.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Примітка. Під «членом сім’ї судді» для цілей цього Закону розуміється: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а) особа, яка перебуває у шлюбі із суддею та діти судді до досягнення ними повноліття - незалежно від спільного проживання із суб’єктом;</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б) будь-які особи, які спільно проживають, пов’язані спільним побутом, мають взаємні права та обов’язки із суддею (крім осіб, взаємні права та обов’язки яких не мають характеру сімейних), у тому числі особи, які спільно проживають, але не перебувають у шлюбі;</w:t>
      </w:r>
    </w:p>
    <w:p w:rsid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 особа, що спільно проживали із суддею станом на останній день подання декларації або сукупно протягом не менше 183 днів протягом року, що передує року подання декларації.</w:t>
      </w:r>
      <w:r>
        <w:rPr>
          <w:rFonts w:ascii="Times New Roman" w:hAnsi="Times New Roman" w:cs="Times New Roman"/>
          <w:sz w:val="28"/>
          <w:szCs w:val="28"/>
        </w:rPr>
        <w:t>»</w:t>
      </w:r>
    </w:p>
    <w:p w:rsid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5) доповнити Закон новою статтею 59-3 наступного змісту:</w:t>
      </w:r>
    </w:p>
    <w:p w:rsidR="00AA7502" w:rsidRP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AA7502">
        <w:rPr>
          <w:rFonts w:ascii="Times New Roman" w:hAnsi="Times New Roman" w:cs="Times New Roman"/>
          <w:sz w:val="28"/>
          <w:szCs w:val="28"/>
        </w:rPr>
        <w:t>Стаття 59-3. Облік та оприлюднення декларацій суддів</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 xml:space="preserve">1. Подані суддями декларації осіб, уповноважених на виконання функцій держави або місцевого самоврядування, оприлюднюються на офіційному веб-сайті Вищої кваліфікаційної комісії суддів України. </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Вища кваліфікаційна комісія суддів України забезпечує відкритий цілодобовий доступ до поданих суддями декларацій осіб, уповноважених на виконання функцій держави або місцевого самоврядування, на своєму офіційному веб-сайті.</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lastRenderedPageBreak/>
        <w:t>Доступ до поданих суддями декларацій осіб, уповноважених на виконання функцій держави або місцевого самоврядування, на офіційному веб-сайті Вищої кваліфікаційної комісії суддів України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rsidR="00AA7502" w:rsidRP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Зазначені у декларації відомості щодо реєстраційного номера облікової картки платника податків або серії та номера паспорта громадянина України, унікального номера запису в Єдиному державному демографічному реєстрі, місця проживання, дати народження фізичних осіб, щодо яких зазначається інформація в декларації, місцезнаходження об’єктів, які наводяться в декларації (крім області, району, населеного пункту, де знаходиться об’єкт), номера рахунку в банківській чи іншій фінансовій установі, є інформацією з обмеженим доступом та не підлягають відображенню у відкритому доступі.</w:t>
      </w:r>
    </w:p>
    <w:p w:rsidR="00AA7502" w:rsidRDefault="00AA7502" w:rsidP="00AA7502">
      <w:pPr>
        <w:spacing w:after="120"/>
        <w:ind w:firstLine="567"/>
        <w:jc w:val="both"/>
        <w:rPr>
          <w:rFonts w:ascii="Times New Roman" w:hAnsi="Times New Roman" w:cs="Times New Roman"/>
          <w:sz w:val="28"/>
          <w:szCs w:val="28"/>
        </w:rPr>
      </w:pPr>
      <w:r w:rsidRPr="00AA7502">
        <w:rPr>
          <w:rFonts w:ascii="Times New Roman" w:hAnsi="Times New Roman" w:cs="Times New Roman"/>
          <w:sz w:val="28"/>
          <w:szCs w:val="28"/>
        </w:rPr>
        <w:t>2. Подані суддями декларації осіб, уповноважених на виконання функцій держави або місцевого самоврядування, зберігаються на офіційному веб-сайті Вищої кваліфікаційної комісії суддів України упродовж всього часу виконання суддею його повноважень, а також упродовж п’яти років після звільнення або припинення такою особою повноважень судді, крім останньої декларації, поданої суддею, яка зберігається на офіційному веб-сайті Вищої кваліфікаційної комісії суддів України безстроково.</w:t>
      </w:r>
      <w:r>
        <w:rPr>
          <w:rFonts w:ascii="Times New Roman" w:hAnsi="Times New Roman" w:cs="Times New Roman"/>
          <w:sz w:val="28"/>
          <w:szCs w:val="28"/>
        </w:rPr>
        <w:t>»</w:t>
      </w:r>
    </w:p>
    <w:p w:rsidR="00AA7502" w:rsidRDefault="00AA7502" w:rsidP="00AA7502">
      <w:pPr>
        <w:spacing w:after="120"/>
        <w:ind w:firstLine="567"/>
        <w:jc w:val="both"/>
        <w:rPr>
          <w:rFonts w:ascii="Times New Roman" w:hAnsi="Times New Roman" w:cs="Times New Roman"/>
          <w:sz w:val="28"/>
          <w:szCs w:val="28"/>
        </w:rPr>
      </w:pPr>
      <w:r>
        <w:rPr>
          <w:rFonts w:ascii="Times New Roman" w:hAnsi="Times New Roman" w:cs="Times New Roman"/>
          <w:sz w:val="28"/>
          <w:szCs w:val="28"/>
        </w:rPr>
        <w:t>6) доповнити Закон новою статтею 59-4 наступного змісту:</w:t>
      </w:r>
    </w:p>
    <w:p w:rsidR="00D96AFC" w:rsidRPr="00D96AFC" w:rsidRDefault="00AA7502"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D96AFC" w:rsidRPr="00D96AFC">
        <w:rPr>
          <w:rFonts w:ascii="Times New Roman" w:hAnsi="Times New Roman" w:cs="Times New Roman"/>
          <w:sz w:val="28"/>
          <w:szCs w:val="28"/>
        </w:rPr>
        <w:t>Стаття 59-4. Контроль та перевірка декларацій суддів</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1. Вища кваліфікаційна комісія суддів України проводить щодо поданих суддями декларацій осіб, уповноважених на виконання функцій держави або місцевого самоврядування, такі види контролю:</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1) щодо своєчасності подання;</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2) щодо правильності та повноти заповнення;</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3) логічний та арифметичний контроль.</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2. Вища кваліфікаційна комісія суддів України проводить повну перевірку декларацій відповідно до цього Закону.</w:t>
      </w:r>
    </w:p>
    <w:p w:rsidR="00AA7502"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3. Порядок проведення передбачених цієї статтею видів контролю, а також повної перевірки декларації визначається Вищою кваліфікаційною комісією суддів України після консультацій з Вищою радою правосуддя, Радою суддів України та Національним агентством з питань запобігання корупції.</w:t>
      </w:r>
      <w:r>
        <w:rPr>
          <w:rFonts w:ascii="Times New Roman" w:hAnsi="Times New Roman" w:cs="Times New Roman"/>
          <w:sz w:val="28"/>
          <w:szCs w:val="28"/>
        </w:rPr>
        <w:t>»</w:t>
      </w:r>
    </w:p>
    <w:p w:rsidR="00D96AFC" w:rsidRDefault="00D96AFC"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7) доповнити Закон новою статтею 59-5 наступного змісту:</w:t>
      </w:r>
    </w:p>
    <w:p w:rsidR="00D96AFC" w:rsidRPr="00D96AFC" w:rsidRDefault="00D96AFC"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D96AFC">
        <w:rPr>
          <w:rFonts w:ascii="Times New Roman" w:hAnsi="Times New Roman" w:cs="Times New Roman"/>
          <w:sz w:val="28"/>
          <w:szCs w:val="28"/>
        </w:rPr>
        <w:t>Стаття 59-5. Встановлення своєчасності подання декларацій</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 xml:space="preserve">1. Вища кваліфікаційна комісія суддів України перевіряє факт подання суддями декларацій осіб, уповноважених на виконання функцій держави або місцевого самоврядування, відповідно до цього Закону. </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lastRenderedPageBreak/>
        <w:t>2. Якщо за результатами контролю встановлено, що суддя не подав декларацію, Вища кваліфікаційна комісія суддів України повідомляє такого суддю про факт неподання декларації, і суддя повинен протягом десяти днів з дня отримання такого повідомлення подати декларацію в порядку, визначеному статтею 59-1 цього Закону.</w:t>
      </w:r>
    </w:p>
    <w:p w:rsid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Одночасно Вища кваліфікаційна комісія суддів України письмово повідомляє про факт неподання декларації суддею Вищу раду правосуддя для розгляду питання щодо притягнення такого судді до дисциплінарної відповідальності, а також за наявності підстав невідкладно вчиняє дії передбачені чинним законодавством України для притягнення такої особи до відповідальності за законом.</w:t>
      </w:r>
      <w:r>
        <w:rPr>
          <w:rFonts w:ascii="Times New Roman" w:hAnsi="Times New Roman" w:cs="Times New Roman"/>
          <w:sz w:val="28"/>
          <w:szCs w:val="28"/>
        </w:rPr>
        <w:t>»</w:t>
      </w:r>
    </w:p>
    <w:p w:rsidR="00D96AFC" w:rsidRDefault="00D96AFC"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8) доповнити Закон новою статтею 59-6 наступного змісту:</w:t>
      </w:r>
    </w:p>
    <w:p w:rsidR="00D96AFC" w:rsidRPr="00D96AFC" w:rsidRDefault="00D96AFC"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D96AFC">
        <w:rPr>
          <w:rFonts w:ascii="Times New Roman" w:hAnsi="Times New Roman" w:cs="Times New Roman"/>
          <w:sz w:val="28"/>
          <w:szCs w:val="28"/>
        </w:rPr>
        <w:t>Стаття 59-6. Додаткові заходи здійснення фінансового контролю</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1. У разі відкриття суддею або членом його сім’ї валютного рахунка в установі банку-нерезидента відповідний суддя зобов’язаний у десятиденний строк письмово повідомити про це Вищу кваліфікаційну комісію суддів України у встановленому порядку, із зазначенням номера рахунка і місцезнаходження банку-нерезидента.</w:t>
      </w:r>
    </w:p>
    <w:p w:rsidR="00D96AFC" w:rsidRP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2. У разі суттєвої зміни у майновому стані судді, а саме отримання доходу, придбання майна або здійснення видатку на суму, яка перевищує 50 прожиткових мінімумів, встановлених для працездатних осіб на 1 січня відповідного року, зазначений суддя у десятиденний строк з моменту отримання доходу, придбання майна або здійснення видатку зобов’язаний повідомити про це Вищу кваліфікаційну комісію суддів України. Зазначена інформація має бути оприлюднена на офіційному веб-сайті Вищої кваліфікаційної комісії суддів України поряд з останньою поданою декларацією такого судді, з урахуванням обмежень на оприлюднення персональних даних, встановлених абзацом четвертим частини першої статті 59-3 цього Закону.</w:t>
      </w:r>
    </w:p>
    <w:p w:rsidR="00D96AFC" w:rsidRDefault="00D96AFC" w:rsidP="00D96AFC">
      <w:pPr>
        <w:spacing w:after="120"/>
        <w:ind w:firstLine="567"/>
        <w:jc w:val="both"/>
        <w:rPr>
          <w:rFonts w:ascii="Times New Roman" w:hAnsi="Times New Roman" w:cs="Times New Roman"/>
          <w:sz w:val="28"/>
          <w:szCs w:val="28"/>
        </w:rPr>
      </w:pPr>
      <w:r w:rsidRPr="00D96AFC">
        <w:rPr>
          <w:rFonts w:ascii="Times New Roman" w:hAnsi="Times New Roman" w:cs="Times New Roman"/>
          <w:sz w:val="28"/>
          <w:szCs w:val="28"/>
        </w:rPr>
        <w:t>3. Порядок інформування Вищої кваліфікаційної комісії суддів України та форма повідомлення про відкриття валютного рахунка в установі банку-нерезидента, а також про суттєві зміни у майновому стані визначаються Вищою кваліфікаційною комісією суддів України після консультацій з Вищою радою правосуддя, Радою суддів України та Національним агентством з питань запобігання корупції.</w:t>
      </w:r>
      <w:r>
        <w:rPr>
          <w:rFonts w:ascii="Times New Roman" w:hAnsi="Times New Roman" w:cs="Times New Roman"/>
          <w:sz w:val="28"/>
          <w:szCs w:val="28"/>
        </w:rPr>
        <w:t>»</w:t>
      </w:r>
    </w:p>
    <w:p w:rsidR="00D96AFC" w:rsidRDefault="00D96AFC"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00F84080">
        <w:rPr>
          <w:rFonts w:ascii="Times New Roman" w:hAnsi="Times New Roman" w:cs="Times New Roman"/>
          <w:sz w:val="28"/>
          <w:szCs w:val="28"/>
        </w:rPr>
        <w:t>у статті 60:</w:t>
      </w:r>
    </w:p>
    <w:p w:rsidR="00F84080" w:rsidRDefault="00F84080"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частині першій:</w:t>
      </w:r>
    </w:p>
    <w:p w:rsidR="00F84080" w:rsidRDefault="00F84080"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після слів «</w:t>
      </w:r>
      <w:r w:rsidRPr="00F84080">
        <w:rPr>
          <w:rFonts w:ascii="Times New Roman" w:hAnsi="Times New Roman" w:cs="Times New Roman"/>
          <w:sz w:val="28"/>
          <w:szCs w:val="28"/>
        </w:rPr>
        <w:t>яка подається суддею</w:t>
      </w:r>
      <w:r>
        <w:rPr>
          <w:rFonts w:ascii="Times New Roman" w:hAnsi="Times New Roman" w:cs="Times New Roman"/>
          <w:sz w:val="28"/>
          <w:szCs w:val="28"/>
        </w:rPr>
        <w:t>» додати «</w:t>
      </w:r>
      <w:r w:rsidRPr="00F84080">
        <w:rPr>
          <w:rFonts w:ascii="Times New Roman" w:hAnsi="Times New Roman" w:cs="Times New Roman"/>
          <w:sz w:val="28"/>
          <w:szCs w:val="28"/>
        </w:rPr>
        <w:t>відповідно до статті 59-1 цього Закону</w:t>
      </w:r>
    </w:p>
    <w:p w:rsidR="00F84080" w:rsidRDefault="00F84080"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словосполучення «</w:t>
      </w:r>
      <w:r w:rsidRPr="00F84080">
        <w:rPr>
          <w:rFonts w:ascii="Times New Roman" w:hAnsi="Times New Roman" w:cs="Times New Roman"/>
          <w:sz w:val="28"/>
          <w:szCs w:val="28"/>
        </w:rPr>
        <w:t>закону центральним органом виконавчої влади зі спеціальним статусом, який забезпечує формування та реалізує державну антикорупційну політику</w:t>
      </w:r>
      <w:r>
        <w:rPr>
          <w:rFonts w:ascii="Times New Roman" w:hAnsi="Times New Roman" w:cs="Times New Roman"/>
          <w:sz w:val="28"/>
          <w:szCs w:val="28"/>
        </w:rPr>
        <w:t>» замінити на «</w:t>
      </w:r>
      <w:r w:rsidRPr="00F84080">
        <w:rPr>
          <w:rFonts w:ascii="Times New Roman" w:hAnsi="Times New Roman" w:cs="Times New Roman"/>
          <w:sz w:val="28"/>
          <w:szCs w:val="28"/>
        </w:rPr>
        <w:t>цього Закону Вищою кваліфікаційною комісією суддів України</w:t>
      </w:r>
      <w:r>
        <w:rPr>
          <w:rFonts w:ascii="Times New Roman" w:hAnsi="Times New Roman" w:cs="Times New Roman"/>
          <w:sz w:val="28"/>
          <w:szCs w:val="28"/>
        </w:rPr>
        <w:t>»</w:t>
      </w:r>
    </w:p>
    <w:p w:rsidR="00AE0A63" w:rsidRDefault="00AE0A63"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частині другій:</w:t>
      </w:r>
    </w:p>
    <w:p w:rsidR="00AE0A63" w:rsidRDefault="00AE0A63"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словосполучення «</w:t>
      </w:r>
      <w:r w:rsidRPr="00AE0A63">
        <w:rPr>
          <w:rFonts w:ascii="Times New Roman" w:hAnsi="Times New Roman" w:cs="Times New Roman"/>
          <w:sz w:val="28"/>
          <w:szCs w:val="28"/>
        </w:rPr>
        <w:t>(якщо інше не передбачено законом</w:t>
      </w:r>
      <w:r>
        <w:rPr>
          <w:rFonts w:ascii="Times New Roman" w:hAnsi="Times New Roman" w:cs="Times New Roman"/>
          <w:sz w:val="28"/>
          <w:szCs w:val="28"/>
        </w:rPr>
        <w:t>)» видалити</w:t>
      </w:r>
    </w:p>
    <w:p w:rsidR="00AE0A63" w:rsidRDefault="00AE0A63"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словосполучення «</w:t>
      </w:r>
      <w:r w:rsidRPr="00AE0A63">
        <w:rPr>
          <w:rFonts w:ascii="Times New Roman" w:hAnsi="Times New Roman" w:cs="Times New Roman"/>
          <w:sz w:val="28"/>
          <w:szCs w:val="28"/>
        </w:rPr>
        <w:t>Вищої кваліфікаційної комісії суддів України або</w:t>
      </w:r>
      <w:r>
        <w:rPr>
          <w:rFonts w:ascii="Times New Roman" w:hAnsi="Times New Roman" w:cs="Times New Roman"/>
          <w:sz w:val="28"/>
          <w:szCs w:val="28"/>
        </w:rPr>
        <w:t>» видалити</w:t>
      </w:r>
    </w:p>
    <w:p w:rsidR="00F84080" w:rsidRDefault="00F84080" w:rsidP="00D96AFC">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доповнити </w:t>
      </w:r>
      <w:r w:rsidR="00CF0484">
        <w:rPr>
          <w:rFonts w:ascii="Times New Roman" w:hAnsi="Times New Roman" w:cs="Times New Roman"/>
          <w:sz w:val="28"/>
          <w:szCs w:val="28"/>
        </w:rPr>
        <w:t xml:space="preserve">статтю </w:t>
      </w:r>
      <w:r>
        <w:rPr>
          <w:rFonts w:ascii="Times New Roman" w:hAnsi="Times New Roman" w:cs="Times New Roman"/>
          <w:sz w:val="28"/>
          <w:szCs w:val="28"/>
        </w:rPr>
        <w:t xml:space="preserve">новими частинами третьою, четвертою, п’ятою, шостою та сьомою наступного змісту: </w:t>
      </w:r>
    </w:p>
    <w:p w:rsidR="00F84080" w:rsidRP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F84080">
        <w:rPr>
          <w:rFonts w:ascii="Times New Roman" w:hAnsi="Times New Roman" w:cs="Times New Roman"/>
          <w:sz w:val="28"/>
          <w:szCs w:val="28"/>
        </w:rPr>
        <w:t>3.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суддею суддівських повноважень, а також протягом трьох років після припинення такої діяльності.</w:t>
      </w:r>
    </w:p>
    <w:p w:rsidR="0080357F" w:rsidRPr="0080357F" w:rsidRDefault="00F84080" w:rsidP="0080357F">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 xml:space="preserve">4. </w:t>
      </w:r>
      <w:r w:rsidR="0080357F" w:rsidRPr="0080357F">
        <w:rPr>
          <w:rFonts w:ascii="Times New Roman" w:hAnsi="Times New Roman" w:cs="Times New Roman"/>
          <w:sz w:val="28"/>
          <w:szCs w:val="28"/>
        </w:rPr>
        <w:t>Перевірка декларації може бути проведена:</w:t>
      </w:r>
    </w:p>
    <w:p w:rsidR="0080357F" w:rsidRPr="0080357F" w:rsidRDefault="0080357F" w:rsidP="0080357F">
      <w:pPr>
        <w:pStyle w:val="ae"/>
        <w:numPr>
          <w:ilvl w:val="0"/>
          <w:numId w:val="7"/>
        </w:numPr>
        <w:spacing w:after="120"/>
        <w:jc w:val="both"/>
        <w:rPr>
          <w:rFonts w:ascii="Times New Roman" w:hAnsi="Times New Roman" w:cs="Times New Roman"/>
          <w:sz w:val="28"/>
          <w:szCs w:val="28"/>
        </w:rPr>
      </w:pPr>
      <w:r w:rsidRPr="0080357F">
        <w:rPr>
          <w:rFonts w:ascii="Times New Roman" w:hAnsi="Times New Roman" w:cs="Times New Roman"/>
          <w:sz w:val="28"/>
          <w:szCs w:val="28"/>
        </w:rPr>
        <w:t>на підставі окремого рішення Вищої кваліфікаційної комісії суддів України;</w:t>
      </w:r>
    </w:p>
    <w:p w:rsidR="0080357F" w:rsidRPr="0080357F" w:rsidRDefault="0080357F" w:rsidP="0080357F">
      <w:pPr>
        <w:pStyle w:val="ae"/>
        <w:numPr>
          <w:ilvl w:val="0"/>
          <w:numId w:val="7"/>
        </w:numPr>
        <w:spacing w:after="120"/>
        <w:jc w:val="both"/>
        <w:rPr>
          <w:rFonts w:ascii="Times New Roman" w:hAnsi="Times New Roman" w:cs="Times New Roman"/>
          <w:sz w:val="28"/>
          <w:szCs w:val="28"/>
        </w:rPr>
      </w:pPr>
      <w:r w:rsidRPr="0080357F">
        <w:rPr>
          <w:rFonts w:ascii="Times New Roman" w:hAnsi="Times New Roman" w:cs="Times New Roman"/>
          <w:sz w:val="28"/>
          <w:szCs w:val="28"/>
        </w:rPr>
        <w:t>на вимогу Вищої ради правосуддя;</w:t>
      </w:r>
    </w:p>
    <w:p w:rsidR="00F84080" w:rsidRPr="0080357F" w:rsidRDefault="0080357F" w:rsidP="0080357F">
      <w:pPr>
        <w:pStyle w:val="ae"/>
        <w:numPr>
          <w:ilvl w:val="0"/>
          <w:numId w:val="7"/>
        </w:numPr>
        <w:spacing w:after="120"/>
        <w:jc w:val="both"/>
        <w:rPr>
          <w:rFonts w:ascii="Times New Roman" w:hAnsi="Times New Roman" w:cs="Times New Roman"/>
          <w:sz w:val="28"/>
          <w:szCs w:val="28"/>
        </w:rPr>
      </w:pPr>
      <w:r w:rsidRPr="0080357F">
        <w:rPr>
          <w:rFonts w:ascii="Times New Roman" w:hAnsi="Times New Roman" w:cs="Times New Roman"/>
          <w:sz w:val="28"/>
          <w:szCs w:val="28"/>
        </w:rPr>
        <w:t>в інших випадках, визначених цим Законом</w:t>
      </w:r>
      <w:r w:rsidR="00F84080" w:rsidRPr="0080357F">
        <w:rPr>
          <w:rFonts w:ascii="Times New Roman" w:hAnsi="Times New Roman" w:cs="Times New Roman"/>
          <w:sz w:val="28"/>
          <w:szCs w:val="28"/>
        </w:rPr>
        <w:t>.</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 xml:space="preserve">Перевірка декларації здійснюється Вищою кваліфікаційною комісією суддів України із використанням інформації, отриманої від фізичних та юридичних осіб, органів державної влади та органів місцевого самоврядування, установ, підприємств та організацій всіх форм власності, яка містить відомості про невідповідність рівня життя судді задекларованим ним майну і доходам. </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При здійснені перевірки декларації судді, забороняється використання інформації отриманої від анонімних джерел чи інформації, джерело походження якої достовірно не встановлено.</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 xml:space="preserve">5. Порядок здійснення перевірки декларації судді визначається Вищою кваліфікаційною комісією суддів України після консультацій з Вищою радою правосуддя, Радою суддів України та Національним агентством з питань запобігання корупції. </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6. У разі встановлення за результатами повної перевірки декларації відображення у декларації недостовірних відомостей Вища кваліфікаційна комісія суддів України письмово повідомляє про це Вищу раду правосуддя для розгляду питання щодо притягнення такого судді до дисциплінарної відповідальності, а також в разі наявності підстав невідкладно вчиняє дії передбачені чинним законодавством України для притягнення такої особи до відповідальності за законом.</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 xml:space="preserve">7. У разі виявлення за результатами повної перевірки декларації ознак необґрунтованості активів Вищою кваліфікаційною комісією суддів України надається можливість судді протягом десяти робочих днів надати письмове пояснення за таким фактом із відповідними доказами. </w:t>
      </w:r>
    </w:p>
    <w:p w:rsid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 xml:space="preserve">У разі ненадання суддею у зазначені строки письмових пояснень і доказів чи надання їх не в повному обсязі, Вища кваліфікаційна комісія суддів України </w:t>
      </w:r>
      <w:r w:rsidRPr="00F84080">
        <w:rPr>
          <w:rFonts w:ascii="Times New Roman" w:hAnsi="Times New Roman" w:cs="Times New Roman"/>
          <w:sz w:val="28"/>
          <w:szCs w:val="28"/>
        </w:rPr>
        <w:lastRenderedPageBreak/>
        <w:t>інформує про це Вищу раду правосуддя для розгляду питання щодо притягнення такого судді до дисциплінарної відповідальності, а також в разі наявності підстав невідкладно вчиняє дії передбачені чинним законодавством України для притягнення такої особи до відповідальності за законом.</w:t>
      </w:r>
      <w:r>
        <w:rPr>
          <w:rFonts w:ascii="Times New Roman" w:hAnsi="Times New Roman" w:cs="Times New Roman"/>
          <w:sz w:val="28"/>
          <w:szCs w:val="28"/>
        </w:rPr>
        <w:t>»</w:t>
      </w:r>
    </w:p>
    <w:p w:rsid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10) в пункті 11 частини першої статті 71 словосполучення «</w:t>
      </w:r>
      <w:r w:rsidRPr="00F84080">
        <w:rPr>
          <w:rFonts w:ascii="Times New Roman" w:hAnsi="Times New Roman" w:cs="Times New Roman"/>
          <w:sz w:val="28"/>
          <w:szCs w:val="28"/>
        </w:rPr>
        <w:t>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r>
        <w:rPr>
          <w:rFonts w:ascii="Times New Roman" w:hAnsi="Times New Roman" w:cs="Times New Roman"/>
          <w:sz w:val="28"/>
          <w:szCs w:val="28"/>
        </w:rPr>
        <w:t>» замінити на «</w:t>
      </w:r>
      <w:r w:rsidRPr="00F84080">
        <w:rPr>
          <w:rFonts w:ascii="Times New Roman" w:hAnsi="Times New Roman" w:cs="Times New Roman"/>
          <w:sz w:val="28"/>
          <w:szCs w:val="28"/>
        </w:rPr>
        <w:t>складену у відп</w:t>
      </w:r>
      <w:r>
        <w:rPr>
          <w:rFonts w:ascii="Times New Roman" w:hAnsi="Times New Roman" w:cs="Times New Roman"/>
          <w:sz w:val="28"/>
          <w:szCs w:val="28"/>
        </w:rPr>
        <w:t>овідності до вимог цього Закону»</w:t>
      </w:r>
    </w:p>
    <w:p w:rsid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11) в статті 75:</w:t>
      </w:r>
    </w:p>
    <w:p w:rsid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частині першій словосполучення «</w:t>
      </w:r>
      <w:r w:rsidRPr="00F84080">
        <w:rPr>
          <w:rFonts w:ascii="Times New Roman" w:hAnsi="Times New Roman" w:cs="Times New Roman"/>
          <w:sz w:val="28"/>
          <w:szCs w:val="28"/>
        </w:rPr>
        <w:t>здійснюється відповідно до закону центральним органом виконавчої влади зі спеціальним статусом, який забезпечує формування та реалізує державну антикорупційну політику</w:t>
      </w:r>
      <w:r>
        <w:rPr>
          <w:rFonts w:ascii="Times New Roman" w:hAnsi="Times New Roman" w:cs="Times New Roman"/>
          <w:sz w:val="28"/>
          <w:szCs w:val="28"/>
        </w:rPr>
        <w:t>» замінити на «</w:t>
      </w:r>
      <w:r w:rsidRPr="00F84080">
        <w:rPr>
          <w:rFonts w:ascii="Times New Roman" w:hAnsi="Times New Roman" w:cs="Times New Roman"/>
          <w:sz w:val="28"/>
          <w:szCs w:val="28"/>
        </w:rPr>
        <w:t>здійснюється Вищою кваліфікаційною комісією суддів України відповідно до цього Закону</w:t>
      </w:r>
      <w:r>
        <w:rPr>
          <w:rFonts w:ascii="Times New Roman" w:hAnsi="Times New Roman" w:cs="Times New Roman"/>
          <w:sz w:val="28"/>
          <w:szCs w:val="28"/>
        </w:rPr>
        <w:t>»</w:t>
      </w:r>
    </w:p>
    <w:p w:rsid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доповнити новими частинами третьою та четвертою наступного змісту:</w:t>
      </w:r>
    </w:p>
    <w:p w:rsidR="00F84080" w:rsidRP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F84080">
        <w:rPr>
          <w:rFonts w:ascii="Times New Roman" w:hAnsi="Times New Roman" w:cs="Times New Roman"/>
          <w:sz w:val="28"/>
          <w:szCs w:val="28"/>
        </w:rPr>
        <w:t xml:space="preserve">3. У разі одержання інформації, що може свідчити про недостовірність (у тому числі неповноту) відомостей, поданих кандидатом на посаду судді у декларації, Вища кваліфікаційна комісія суддів України запрошує кандидата для розгляду такої інформації на своєму засіданні. </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Кандидат на посаду судді має право ознайомитися з цією інформацією, надати відповідні пояснення, спростувати та заперечити її.</w:t>
      </w:r>
    </w:p>
    <w:p w:rsidR="00F84080" w:rsidRP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 xml:space="preserve">За необхідності Комісія може провести відповідне засідання з використанням засобів телекомунікаційного зв’язку в режимі відео-конференції, з забезпеченням участі та доступу до такої конференції відповідного кандидата. </w:t>
      </w:r>
    </w:p>
    <w:p w:rsidR="00F84080" w:rsidRDefault="00F84080" w:rsidP="00F84080">
      <w:pPr>
        <w:spacing w:after="120"/>
        <w:ind w:firstLine="567"/>
        <w:jc w:val="both"/>
        <w:rPr>
          <w:rFonts w:ascii="Times New Roman" w:hAnsi="Times New Roman" w:cs="Times New Roman"/>
          <w:sz w:val="28"/>
          <w:szCs w:val="28"/>
        </w:rPr>
      </w:pPr>
      <w:r w:rsidRPr="00F84080">
        <w:rPr>
          <w:rFonts w:ascii="Times New Roman" w:hAnsi="Times New Roman" w:cs="Times New Roman"/>
          <w:sz w:val="28"/>
          <w:szCs w:val="28"/>
        </w:rPr>
        <w:t>4. Якщо за результатами розгляду інформації Вища кваліфікаційна комісія суддів України дійде висновку про недостовірність (у тому числі неповноту) відомостей, поданих кандидатом на посаду судді у декларації, Комісія ухвалює вмотивоване рішення про припинення подальшої участі в доборі та призначенні кандидата на посаду судді.</w:t>
      </w:r>
      <w:r>
        <w:rPr>
          <w:rFonts w:ascii="Times New Roman" w:hAnsi="Times New Roman" w:cs="Times New Roman"/>
          <w:sz w:val="28"/>
          <w:szCs w:val="28"/>
        </w:rPr>
        <w:t>»</w:t>
      </w:r>
    </w:p>
    <w:p w:rsidR="00F84080" w:rsidRDefault="00E1759D"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ru-RU"/>
        </w:rPr>
        <w:t>2</w:t>
      </w:r>
      <w:r w:rsidR="00F84080">
        <w:rPr>
          <w:rFonts w:ascii="Times New Roman" w:hAnsi="Times New Roman" w:cs="Times New Roman"/>
          <w:sz w:val="28"/>
          <w:szCs w:val="28"/>
        </w:rPr>
        <w:t>) в статті 85:</w:t>
      </w:r>
    </w:p>
    <w:p w:rsid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підпункті «а» пункту 11 частини четвертої слова «</w:t>
      </w:r>
      <w:r w:rsidRPr="00F84080">
        <w:rPr>
          <w:rFonts w:ascii="Times New Roman" w:hAnsi="Times New Roman" w:cs="Times New Roman"/>
          <w:sz w:val="28"/>
          <w:szCs w:val="28"/>
        </w:rPr>
        <w:t>законодавства у сфері запобігання корупції</w:t>
      </w:r>
      <w:r>
        <w:rPr>
          <w:rFonts w:ascii="Times New Roman" w:hAnsi="Times New Roman" w:cs="Times New Roman"/>
          <w:sz w:val="28"/>
          <w:szCs w:val="28"/>
        </w:rPr>
        <w:t>» замінити на «</w:t>
      </w:r>
      <w:r w:rsidRPr="00F84080">
        <w:rPr>
          <w:rFonts w:ascii="Times New Roman" w:hAnsi="Times New Roman" w:cs="Times New Roman"/>
          <w:sz w:val="28"/>
          <w:szCs w:val="28"/>
        </w:rPr>
        <w:t>вимог цього Закону</w:t>
      </w:r>
      <w:r>
        <w:rPr>
          <w:rFonts w:ascii="Times New Roman" w:hAnsi="Times New Roman" w:cs="Times New Roman"/>
          <w:sz w:val="28"/>
          <w:szCs w:val="28"/>
        </w:rPr>
        <w:t>»</w:t>
      </w:r>
    </w:p>
    <w:p w:rsidR="00F84080" w:rsidRDefault="00F84080"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підпункту «б» пункту 11 частини четвертої після слів «</w:t>
      </w:r>
      <w:r w:rsidR="00044C6C" w:rsidRPr="00044C6C">
        <w:rPr>
          <w:rFonts w:ascii="Times New Roman" w:hAnsi="Times New Roman" w:cs="Times New Roman"/>
          <w:sz w:val="28"/>
          <w:szCs w:val="28"/>
        </w:rPr>
        <w:t>відповідності судді вимогам</w:t>
      </w:r>
      <w:r w:rsidR="00044C6C">
        <w:rPr>
          <w:rFonts w:ascii="Times New Roman" w:hAnsi="Times New Roman" w:cs="Times New Roman"/>
          <w:sz w:val="28"/>
          <w:szCs w:val="28"/>
        </w:rPr>
        <w:t>» додати «</w:t>
      </w:r>
      <w:r w:rsidR="00044C6C" w:rsidRPr="00044C6C">
        <w:rPr>
          <w:rFonts w:ascii="Times New Roman" w:hAnsi="Times New Roman" w:cs="Times New Roman"/>
          <w:sz w:val="28"/>
          <w:szCs w:val="28"/>
        </w:rPr>
        <w:t>цього Закону та</w:t>
      </w:r>
      <w:r w:rsidR="00044C6C">
        <w:rPr>
          <w:rFonts w:ascii="Times New Roman" w:hAnsi="Times New Roman" w:cs="Times New Roman"/>
          <w:sz w:val="28"/>
          <w:szCs w:val="28"/>
        </w:rPr>
        <w:t>»</w:t>
      </w:r>
    </w:p>
    <w:p w:rsidR="00044C6C" w:rsidRDefault="00044C6C"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3 частини п’ятої видалити словосполучення «</w:t>
      </w:r>
      <w:r w:rsidRPr="00044C6C">
        <w:rPr>
          <w:rFonts w:ascii="Times New Roman" w:hAnsi="Times New Roman" w:cs="Times New Roman"/>
          <w:sz w:val="28"/>
          <w:szCs w:val="28"/>
        </w:rPr>
        <w:t>та законодавства у сфері запобігання корупці</w:t>
      </w:r>
      <w:r>
        <w:rPr>
          <w:rFonts w:ascii="Times New Roman" w:hAnsi="Times New Roman" w:cs="Times New Roman"/>
          <w:sz w:val="28"/>
          <w:szCs w:val="28"/>
        </w:rPr>
        <w:t>ї»</w:t>
      </w:r>
    </w:p>
    <w:p w:rsidR="00044C6C" w:rsidRDefault="00044C6C"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3 частини сьомої після слів «</w:t>
      </w:r>
      <w:r w:rsidRPr="00044C6C">
        <w:rPr>
          <w:rFonts w:ascii="Times New Roman" w:hAnsi="Times New Roman" w:cs="Times New Roman"/>
          <w:sz w:val="28"/>
          <w:szCs w:val="28"/>
        </w:rPr>
        <w:t>(кандидатом на посаду судді)</w:t>
      </w:r>
      <w:r>
        <w:rPr>
          <w:rFonts w:ascii="Times New Roman" w:hAnsi="Times New Roman" w:cs="Times New Roman"/>
          <w:sz w:val="28"/>
          <w:szCs w:val="28"/>
        </w:rPr>
        <w:t>» додати «</w:t>
      </w:r>
      <w:r w:rsidRPr="00044C6C">
        <w:rPr>
          <w:rFonts w:ascii="Times New Roman" w:hAnsi="Times New Roman" w:cs="Times New Roman"/>
          <w:sz w:val="28"/>
          <w:szCs w:val="28"/>
        </w:rPr>
        <w:t>відповідно до вимог цього Закону</w:t>
      </w:r>
      <w:r>
        <w:rPr>
          <w:rFonts w:ascii="Times New Roman" w:hAnsi="Times New Roman" w:cs="Times New Roman"/>
          <w:sz w:val="28"/>
          <w:szCs w:val="28"/>
        </w:rPr>
        <w:t xml:space="preserve">» </w:t>
      </w:r>
    </w:p>
    <w:p w:rsidR="00044C6C" w:rsidRDefault="00E1759D" w:rsidP="00F84080">
      <w:pPr>
        <w:spacing w:after="120"/>
        <w:ind w:firstLine="567"/>
        <w:jc w:val="both"/>
        <w:rPr>
          <w:rFonts w:ascii="Times New Roman" w:hAnsi="Times New Roman" w:cs="Times New Roman"/>
          <w:sz w:val="28"/>
          <w:szCs w:val="28"/>
        </w:rPr>
      </w:pPr>
      <w:r>
        <w:rPr>
          <w:rFonts w:ascii="Times New Roman" w:hAnsi="Times New Roman" w:cs="Times New Roman"/>
          <w:sz w:val="28"/>
          <w:szCs w:val="28"/>
        </w:rPr>
        <w:t>13</w:t>
      </w:r>
      <w:r w:rsidR="00044C6C">
        <w:rPr>
          <w:rFonts w:ascii="Times New Roman" w:hAnsi="Times New Roman" w:cs="Times New Roman"/>
          <w:sz w:val="28"/>
          <w:szCs w:val="28"/>
        </w:rPr>
        <w:t>) пункт 1 статті 93 доповнити підпунктами 9-1, 9-2, 9-3, 9-4, 9-5, 9-6, 9-7 та 9-8 наступного змісту:</w:t>
      </w:r>
    </w:p>
    <w:p w:rsidR="00044C6C" w:rsidRPr="00044C6C" w:rsidRDefault="00044C6C" w:rsidP="00044C6C">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w:t>
      </w:r>
      <w:r w:rsidRPr="00044C6C">
        <w:rPr>
          <w:rFonts w:ascii="Times New Roman" w:hAnsi="Times New Roman" w:cs="Times New Roman"/>
          <w:sz w:val="28"/>
          <w:szCs w:val="28"/>
        </w:rPr>
        <w:t>9-1) здійснює моніторинг та контроль за виконанням актів законодавства з питань етичної поведінки суддів, запобігання та врегулювання конфлікту інтересів у діяльності суддів;</w:t>
      </w:r>
    </w:p>
    <w:p w:rsidR="00044C6C" w:rsidRP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9-2) здійснює в порядку, визначеному цим Законом, контроль та перевірку декларацій суддів, зберігає та оприлюднює такі декларації, проводить моніторинг способу життя суддів;</w:t>
      </w:r>
    </w:p>
    <w:p w:rsidR="00044C6C" w:rsidRP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 xml:space="preserve">9-3) затверджує у спосіб, визначений цим Законом: порядок здійснення моніторингу способу життя судді; форму декларації особи, уповноваженої на виконання функцій держави або місцевого самоврядування, яка подається суддями (кандидатами на посаду судді); порядок проведення видів контролю декларацій суддів; порядок проведення перевірок декларацій суддів; порядок інформування суддями Вищої кваліфікаційної комісії суддів України про відкриття валютного рахунка в установі банку-нерезидента, а також про суттєві зміни у майновому стані. </w:t>
      </w:r>
    </w:p>
    <w:p w:rsidR="00044C6C" w:rsidRP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9-4) у випадку виявлення ознак вчинення суддею адміністративного правопорушення у сфері фінансового контролю, в порядку, передбаченому чинним законодавством, вчиняє дії з метою притягнення такої особи до адміністративної відповідальності (складає протокол про адміністративне правопорушення);</w:t>
      </w:r>
    </w:p>
    <w:p w:rsidR="00044C6C" w:rsidRP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 xml:space="preserve">9-5) у випадках, передбачених цим Законом, повідомляє Вищу раду правосуддя про обставини що можуть слугувати підставою для притягнення судді до дисциплінарної відповідальності; </w:t>
      </w:r>
    </w:p>
    <w:p w:rsidR="00044C6C" w:rsidRP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9-6) отримує заяви фізичних та юридичних осіб, органів державної влади та органів місцевого самоврядування, установ, підприємств та організацій всіх форм власності про порушення cуддями вимог цього Закону в частині подання декларації осіб, уповноважених на виконання функцій держави або місцевого самоврядування, проводити за власною ініціативою перевірку можливих фактів порушення вимог цього Закону;</w:t>
      </w:r>
    </w:p>
    <w:p w:rsidR="00044C6C" w:rsidRP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9-7) отримує від суддів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rsidR="00044C6C" w:rsidRDefault="00044C6C" w:rsidP="00044C6C">
      <w:pPr>
        <w:spacing w:after="120"/>
        <w:ind w:firstLine="567"/>
        <w:jc w:val="both"/>
        <w:rPr>
          <w:rFonts w:ascii="Times New Roman" w:hAnsi="Times New Roman" w:cs="Times New Roman"/>
          <w:sz w:val="28"/>
          <w:szCs w:val="28"/>
        </w:rPr>
      </w:pPr>
      <w:r w:rsidRPr="00044C6C">
        <w:rPr>
          <w:rFonts w:ascii="Times New Roman" w:hAnsi="Times New Roman" w:cs="Times New Roman"/>
          <w:sz w:val="28"/>
          <w:szCs w:val="28"/>
        </w:rPr>
        <w:t>9-8) запитує та отримує від фізичних та юридичних осіб, органів державної влади та місцевого самоврядування, підприємств, установ та організацій усіх форм власності, персональні дані; зберігає, обробляє, узагал</w:t>
      </w:r>
      <w:r>
        <w:rPr>
          <w:rFonts w:ascii="Times New Roman" w:hAnsi="Times New Roman" w:cs="Times New Roman"/>
          <w:sz w:val="28"/>
          <w:szCs w:val="28"/>
        </w:rPr>
        <w:t>ьнює отримані персональні дані.»</w:t>
      </w:r>
    </w:p>
    <w:p w:rsidR="00044C6C" w:rsidRDefault="00E1759D" w:rsidP="00044C6C">
      <w:pPr>
        <w:spacing w:after="120"/>
        <w:ind w:firstLine="567"/>
        <w:jc w:val="both"/>
        <w:rPr>
          <w:rFonts w:ascii="Times New Roman" w:hAnsi="Times New Roman" w:cs="Times New Roman"/>
          <w:sz w:val="28"/>
          <w:szCs w:val="28"/>
        </w:rPr>
      </w:pPr>
      <w:r>
        <w:rPr>
          <w:rFonts w:ascii="Times New Roman" w:hAnsi="Times New Roman" w:cs="Times New Roman"/>
          <w:sz w:val="28"/>
          <w:szCs w:val="28"/>
        </w:rPr>
        <w:t>14</w:t>
      </w:r>
      <w:r w:rsidR="00044C6C">
        <w:rPr>
          <w:rFonts w:ascii="Times New Roman" w:hAnsi="Times New Roman" w:cs="Times New Roman"/>
          <w:sz w:val="28"/>
          <w:szCs w:val="28"/>
        </w:rPr>
        <w:t>) в статті 106:</w:t>
      </w:r>
    </w:p>
    <w:p w:rsidR="00044C6C" w:rsidRDefault="00044C6C" w:rsidP="00044C6C">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9 частини першої слова «</w:t>
      </w:r>
      <w:r w:rsidRPr="00044C6C">
        <w:rPr>
          <w:rFonts w:ascii="Times New Roman" w:hAnsi="Times New Roman" w:cs="Times New Roman"/>
          <w:sz w:val="28"/>
          <w:szCs w:val="28"/>
        </w:rPr>
        <w:t>встановленому законодавством у сфері запобігання корупці</w:t>
      </w:r>
      <w:r>
        <w:rPr>
          <w:rFonts w:ascii="Times New Roman" w:hAnsi="Times New Roman" w:cs="Times New Roman"/>
          <w:sz w:val="28"/>
          <w:szCs w:val="28"/>
        </w:rPr>
        <w:t>ї» замінити словами «встановленому цим Законом»</w:t>
      </w:r>
    </w:p>
    <w:p w:rsidR="00044C6C" w:rsidRDefault="00044C6C" w:rsidP="00044C6C">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доповнити частини першу новим пунктом 20 наступного змісту:</w:t>
      </w:r>
    </w:p>
    <w:p w:rsidR="00CD43BB" w:rsidRDefault="00044C6C" w:rsidP="00C7049A">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w:t>
      </w:r>
      <w:r w:rsidRPr="00044C6C">
        <w:rPr>
          <w:rFonts w:ascii="Times New Roman" w:hAnsi="Times New Roman" w:cs="Times New Roman"/>
          <w:sz w:val="28"/>
          <w:szCs w:val="28"/>
        </w:rPr>
        <w:t>20) неповідомлення або несвоєчасне повідомлення без поважних причин Вищої кваліфікаційної комісії суддів України про відкриття валютного рахунка в установі банку-нерезидента або про суттєві зміни у майновому стані;</w:t>
      </w:r>
      <w:r>
        <w:rPr>
          <w:rFonts w:ascii="Times New Roman" w:hAnsi="Times New Roman" w:cs="Times New Roman"/>
          <w:sz w:val="28"/>
          <w:szCs w:val="28"/>
        </w:rPr>
        <w:t>»</w:t>
      </w:r>
    </w:p>
    <w:p w:rsidR="00C7049A" w:rsidRPr="00C7049A" w:rsidRDefault="00C7049A" w:rsidP="00C7049A">
      <w:pPr>
        <w:spacing w:after="120"/>
        <w:ind w:firstLine="567"/>
        <w:jc w:val="both"/>
        <w:rPr>
          <w:rFonts w:ascii="Times New Roman" w:hAnsi="Times New Roman" w:cs="Times New Roman"/>
          <w:sz w:val="28"/>
          <w:szCs w:val="28"/>
        </w:rPr>
      </w:pPr>
    </w:p>
    <w:p w:rsidR="005A5E4D" w:rsidRDefault="005A5E4D" w:rsidP="005A5E4D">
      <w:pPr>
        <w:spacing w:before="120"/>
        <w:ind w:firstLine="567"/>
        <w:jc w:val="both"/>
        <w:rPr>
          <w:rFonts w:ascii="Times New Roman" w:hAnsi="Times New Roman" w:cs="Times New Roman"/>
          <w:sz w:val="28"/>
        </w:rPr>
      </w:pPr>
      <w:r>
        <w:rPr>
          <w:rFonts w:ascii="Times New Roman" w:hAnsi="Times New Roman" w:cs="Times New Roman"/>
          <w:sz w:val="28"/>
        </w:rPr>
        <w:t>I</w:t>
      </w:r>
      <w:r w:rsidR="00CD43BB">
        <w:rPr>
          <w:rFonts w:ascii="Times New Roman" w:hAnsi="Times New Roman" w:cs="Times New Roman"/>
          <w:sz w:val="28"/>
        </w:rPr>
        <w:t>І</w:t>
      </w:r>
      <w:r>
        <w:rPr>
          <w:rFonts w:ascii="Times New Roman" w:hAnsi="Times New Roman" w:cs="Times New Roman"/>
          <w:sz w:val="28"/>
        </w:rPr>
        <w:t>. Прикінцеві положення.</w:t>
      </w:r>
    </w:p>
    <w:p w:rsidR="00C72C6C" w:rsidRDefault="005A5E4D" w:rsidP="005A5E4D">
      <w:pPr>
        <w:spacing w:before="120"/>
        <w:ind w:firstLine="567"/>
        <w:jc w:val="both"/>
        <w:rPr>
          <w:rFonts w:ascii="Times New Roman" w:hAnsi="Times New Roman" w:cs="Times New Roman"/>
          <w:sz w:val="28"/>
        </w:rPr>
      </w:pPr>
      <w:r w:rsidRPr="005A5E4D">
        <w:rPr>
          <w:rFonts w:ascii="Times New Roman" w:hAnsi="Times New Roman" w:cs="Times New Roman"/>
          <w:sz w:val="28"/>
        </w:rPr>
        <w:t xml:space="preserve">1. Цей Закон набирає чинності </w:t>
      </w:r>
      <w:r>
        <w:rPr>
          <w:rFonts w:ascii="Times New Roman" w:hAnsi="Times New Roman" w:cs="Times New Roman"/>
          <w:sz w:val="28"/>
        </w:rPr>
        <w:t xml:space="preserve">через 10 днів з дня </w:t>
      </w:r>
      <w:r w:rsidRPr="005A5E4D">
        <w:rPr>
          <w:rFonts w:ascii="Times New Roman" w:hAnsi="Times New Roman" w:cs="Times New Roman"/>
          <w:sz w:val="28"/>
        </w:rPr>
        <w:t>його офіційного оприлюднення</w:t>
      </w:r>
      <w:r>
        <w:rPr>
          <w:rFonts w:ascii="Times New Roman" w:hAnsi="Times New Roman" w:cs="Times New Roman"/>
          <w:sz w:val="28"/>
        </w:rPr>
        <w:t>.</w:t>
      </w:r>
    </w:p>
    <w:p w:rsidR="00C7049A" w:rsidRPr="00C7049A" w:rsidRDefault="00C7049A" w:rsidP="00C7049A">
      <w:pPr>
        <w:spacing w:before="120"/>
        <w:ind w:firstLine="567"/>
        <w:jc w:val="both"/>
        <w:rPr>
          <w:rFonts w:ascii="Times New Roman" w:hAnsi="Times New Roman" w:cs="Times New Roman"/>
          <w:sz w:val="28"/>
        </w:rPr>
      </w:pPr>
      <w:r>
        <w:rPr>
          <w:rFonts w:ascii="Times New Roman" w:hAnsi="Times New Roman" w:cs="Times New Roman"/>
          <w:sz w:val="28"/>
        </w:rPr>
        <w:t xml:space="preserve">2. </w:t>
      </w:r>
      <w:r w:rsidRPr="00C7049A">
        <w:rPr>
          <w:rFonts w:ascii="Times New Roman" w:hAnsi="Times New Roman" w:cs="Times New Roman"/>
          <w:sz w:val="28"/>
        </w:rPr>
        <w:t>Вищій кваліфік</w:t>
      </w:r>
      <w:r>
        <w:rPr>
          <w:rFonts w:ascii="Times New Roman" w:hAnsi="Times New Roman" w:cs="Times New Roman"/>
          <w:sz w:val="28"/>
        </w:rPr>
        <w:t>аційній комісії суддів України:</w:t>
      </w:r>
    </w:p>
    <w:p w:rsidR="00C7049A" w:rsidRPr="00C7049A" w:rsidRDefault="00C7049A" w:rsidP="00C46C82">
      <w:pPr>
        <w:spacing w:before="120"/>
        <w:ind w:firstLine="567"/>
        <w:jc w:val="both"/>
        <w:rPr>
          <w:rFonts w:ascii="Times New Roman" w:hAnsi="Times New Roman" w:cs="Times New Roman"/>
          <w:sz w:val="28"/>
        </w:rPr>
      </w:pPr>
      <w:r w:rsidRPr="00C7049A">
        <w:rPr>
          <w:rFonts w:ascii="Times New Roman" w:hAnsi="Times New Roman" w:cs="Times New Roman"/>
          <w:sz w:val="28"/>
        </w:rPr>
        <w:t>1) протягом тридцяти днів з дня набрання чинно</w:t>
      </w:r>
      <w:r w:rsidR="00C46C82">
        <w:rPr>
          <w:rFonts w:ascii="Times New Roman" w:hAnsi="Times New Roman" w:cs="Times New Roman"/>
          <w:sz w:val="28"/>
        </w:rPr>
        <w:t>сті цим Законом затвердити: п</w:t>
      </w:r>
      <w:r w:rsidR="00C46C82" w:rsidRPr="00C46C82">
        <w:rPr>
          <w:rFonts w:ascii="Times New Roman" w:hAnsi="Times New Roman" w:cs="Times New Roman"/>
          <w:sz w:val="28"/>
        </w:rPr>
        <w:t xml:space="preserve">орядок здійснення </w:t>
      </w:r>
      <w:r w:rsidR="00C46C82">
        <w:rPr>
          <w:rFonts w:ascii="Times New Roman" w:hAnsi="Times New Roman" w:cs="Times New Roman"/>
          <w:sz w:val="28"/>
        </w:rPr>
        <w:t xml:space="preserve">моніторингу способу життя судді; форму декларації особи, </w:t>
      </w:r>
      <w:r w:rsidRPr="00C7049A">
        <w:rPr>
          <w:rFonts w:ascii="Times New Roman" w:hAnsi="Times New Roman" w:cs="Times New Roman"/>
          <w:sz w:val="28"/>
        </w:rPr>
        <w:t xml:space="preserve"> </w:t>
      </w:r>
      <w:r w:rsidR="00C46C82" w:rsidRPr="00C46C82">
        <w:rPr>
          <w:rFonts w:ascii="Times New Roman" w:hAnsi="Times New Roman" w:cs="Times New Roman"/>
          <w:sz w:val="28"/>
        </w:rPr>
        <w:t>уповноваженої на виконання функцій держави або місцевого самоврядування</w:t>
      </w:r>
      <w:r w:rsidR="00C46C82">
        <w:rPr>
          <w:rFonts w:ascii="Times New Roman" w:hAnsi="Times New Roman" w:cs="Times New Roman"/>
          <w:sz w:val="28"/>
        </w:rPr>
        <w:t>, яка подається суддями;</w:t>
      </w:r>
      <w:r w:rsidR="00C46C82" w:rsidRPr="00C46C82">
        <w:rPr>
          <w:rFonts w:ascii="Times New Roman" w:hAnsi="Times New Roman" w:cs="Times New Roman"/>
          <w:sz w:val="28"/>
        </w:rPr>
        <w:t xml:space="preserve"> </w:t>
      </w:r>
      <w:r w:rsidR="00C46C82">
        <w:rPr>
          <w:rFonts w:ascii="Times New Roman" w:hAnsi="Times New Roman" w:cs="Times New Roman"/>
          <w:sz w:val="28"/>
        </w:rPr>
        <w:t>п</w:t>
      </w:r>
      <w:r w:rsidR="00C46C82" w:rsidRPr="00C46C82">
        <w:rPr>
          <w:rFonts w:ascii="Times New Roman" w:hAnsi="Times New Roman" w:cs="Times New Roman"/>
          <w:sz w:val="28"/>
        </w:rPr>
        <w:t xml:space="preserve">орядок проведення </w:t>
      </w:r>
      <w:r w:rsidR="00C46C82">
        <w:rPr>
          <w:rFonts w:ascii="Times New Roman" w:hAnsi="Times New Roman" w:cs="Times New Roman"/>
          <w:sz w:val="28"/>
        </w:rPr>
        <w:t>видів контролю (</w:t>
      </w:r>
      <w:r w:rsidR="00C46C82" w:rsidRPr="00C46C82">
        <w:rPr>
          <w:rFonts w:ascii="Times New Roman" w:hAnsi="Times New Roman" w:cs="Times New Roman"/>
          <w:sz w:val="28"/>
        </w:rPr>
        <w:t>щодо своєчасності подання</w:t>
      </w:r>
      <w:r w:rsidR="00C46C82">
        <w:rPr>
          <w:rFonts w:ascii="Times New Roman" w:hAnsi="Times New Roman" w:cs="Times New Roman"/>
          <w:sz w:val="28"/>
        </w:rPr>
        <w:t xml:space="preserve"> декларації, </w:t>
      </w:r>
      <w:r w:rsidR="00C46C82" w:rsidRPr="00C46C82">
        <w:rPr>
          <w:rFonts w:ascii="Times New Roman" w:hAnsi="Times New Roman" w:cs="Times New Roman"/>
          <w:sz w:val="28"/>
        </w:rPr>
        <w:t>щодо правильності та повноти заповнення</w:t>
      </w:r>
      <w:r w:rsidR="00C46C82">
        <w:rPr>
          <w:rFonts w:ascii="Times New Roman" w:hAnsi="Times New Roman" w:cs="Times New Roman"/>
          <w:sz w:val="28"/>
        </w:rPr>
        <w:t xml:space="preserve"> декларації, </w:t>
      </w:r>
      <w:r w:rsidR="00C46C82" w:rsidRPr="00C46C82">
        <w:rPr>
          <w:rFonts w:ascii="Times New Roman" w:hAnsi="Times New Roman" w:cs="Times New Roman"/>
          <w:sz w:val="28"/>
        </w:rPr>
        <w:t>ло</w:t>
      </w:r>
      <w:r w:rsidR="00C46C82">
        <w:rPr>
          <w:rFonts w:ascii="Times New Roman" w:hAnsi="Times New Roman" w:cs="Times New Roman"/>
          <w:sz w:val="28"/>
        </w:rPr>
        <w:t>гічний та арифметичний контроль декларації);</w:t>
      </w:r>
      <w:r w:rsidR="00C46C82" w:rsidRPr="00C46C82">
        <w:rPr>
          <w:rFonts w:ascii="Times New Roman" w:hAnsi="Times New Roman" w:cs="Times New Roman"/>
          <w:sz w:val="28"/>
        </w:rPr>
        <w:t xml:space="preserve"> </w:t>
      </w:r>
      <w:r w:rsidR="00C46C82">
        <w:rPr>
          <w:rFonts w:ascii="Times New Roman" w:hAnsi="Times New Roman" w:cs="Times New Roman"/>
          <w:sz w:val="28"/>
        </w:rPr>
        <w:t xml:space="preserve">порядок проведення перевірки декларації </w:t>
      </w:r>
      <w:r w:rsidR="00C46C82" w:rsidRPr="00C46C82">
        <w:rPr>
          <w:rFonts w:ascii="Times New Roman" w:hAnsi="Times New Roman" w:cs="Times New Roman"/>
          <w:sz w:val="28"/>
        </w:rPr>
        <w:t>особи, уповноваженої на виконання функцій держави або місцевого самоврядування</w:t>
      </w:r>
      <w:r w:rsidR="00C46C82">
        <w:rPr>
          <w:rFonts w:ascii="Times New Roman" w:hAnsi="Times New Roman" w:cs="Times New Roman"/>
          <w:sz w:val="28"/>
        </w:rPr>
        <w:t>, яка подається суддями; п</w:t>
      </w:r>
      <w:r w:rsidR="00C46C82" w:rsidRPr="00C46C82">
        <w:rPr>
          <w:rFonts w:ascii="Times New Roman" w:hAnsi="Times New Roman" w:cs="Times New Roman"/>
          <w:sz w:val="28"/>
        </w:rPr>
        <w:t>орядок інформування та форм</w:t>
      </w:r>
      <w:r w:rsidR="00C46C82">
        <w:rPr>
          <w:rFonts w:ascii="Times New Roman" w:hAnsi="Times New Roman" w:cs="Times New Roman"/>
          <w:sz w:val="28"/>
        </w:rPr>
        <w:t>у</w:t>
      </w:r>
      <w:r w:rsidR="00C46C82" w:rsidRPr="00C46C82">
        <w:rPr>
          <w:rFonts w:ascii="Times New Roman" w:hAnsi="Times New Roman" w:cs="Times New Roman"/>
          <w:sz w:val="28"/>
        </w:rPr>
        <w:t xml:space="preserve"> повідомлення про відкриття валютного рахунка</w:t>
      </w:r>
      <w:r w:rsidR="00C46C82">
        <w:rPr>
          <w:rFonts w:ascii="Times New Roman" w:hAnsi="Times New Roman" w:cs="Times New Roman"/>
          <w:sz w:val="28"/>
        </w:rPr>
        <w:t xml:space="preserve"> в установі банку-нерезидента та повідомлення</w:t>
      </w:r>
      <w:r w:rsidR="00C46C82" w:rsidRPr="00C46C82">
        <w:rPr>
          <w:rFonts w:ascii="Times New Roman" w:hAnsi="Times New Roman" w:cs="Times New Roman"/>
          <w:sz w:val="28"/>
        </w:rPr>
        <w:t xml:space="preserve"> про суттєві зміни у майновому</w:t>
      </w:r>
      <w:r w:rsidR="006A19F4">
        <w:rPr>
          <w:rFonts w:ascii="Times New Roman" w:hAnsi="Times New Roman" w:cs="Times New Roman"/>
          <w:sz w:val="28"/>
        </w:rPr>
        <w:t xml:space="preserve"> стані</w:t>
      </w:r>
      <w:r w:rsidR="00C46C82">
        <w:rPr>
          <w:rFonts w:ascii="Times New Roman" w:hAnsi="Times New Roman" w:cs="Times New Roman"/>
          <w:sz w:val="28"/>
        </w:rPr>
        <w:t>;</w:t>
      </w:r>
      <w:r w:rsidRPr="00C7049A">
        <w:rPr>
          <w:rFonts w:ascii="Times New Roman" w:hAnsi="Times New Roman" w:cs="Times New Roman"/>
          <w:sz w:val="28"/>
        </w:rPr>
        <w:t xml:space="preserve"> а також оприлюднити затверджені форми </w:t>
      </w:r>
      <w:r w:rsidR="00C46C82">
        <w:rPr>
          <w:rFonts w:ascii="Times New Roman" w:hAnsi="Times New Roman" w:cs="Times New Roman"/>
          <w:sz w:val="28"/>
        </w:rPr>
        <w:t>та порядки</w:t>
      </w:r>
      <w:r w:rsidRPr="00C7049A">
        <w:rPr>
          <w:rFonts w:ascii="Times New Roman" w:hAnsi="Times New Roman" w:cs="Times New Roman"/>
          <w:sz w:val="28"/>
        </w:rPr>
        <w:t xml:space="preserve"> н</w:t>
      </w:r>
      <w:r>
        <w:rPr>
          <w:rFonts w:ascii="Times New Roman" w:hAnsi="Times New Roman" w:cs="Times New Roman"/>
          <w:sz w:val="28"/>
        </w:rPr>
        <w:t>а офіційному веб-сайті Комісії;</w:t>
      </w:r>
    </w:p>
    <w:p w:rsidR="005A5E4D" w:rsidRDefault="00C7049A" w:rsidP="006A19F4">
      <w:pPr>
        <w:spacing w:before="120"/>
        <w:ind w:firstLine="567"/>
        <w:jc w:val="both"/>
        <w:rPr>
          <w:rFonts w:ascii="Times New Roman" w:hAnsi="Times New Roman" w:cs="Times New Roman"/>
          <w:sz w:val="28"/>
        </w:rPr>
      </w:pPr>
      <w:r w:rsidRPr="00C7049A">
        <w:rPr>
          <w:rFonts w:ascii="Times New Roman" w:hAnsi="Times New Roman" w:cs="Times New Roman"/>
          <w:sz w:val="28"/>
        </w:rPr>
        <w:t xml:space="preserve">2) у шестимісячний строк з дня набрання чинності цим Законом здійснити організаційно-технічні заходи, необхідні для </w:t>
      </w:r>
      <w:r w:rsidR="00C46C82">
        <w:rPr>
          <w:rFonts w:ascii="Times New Roman" w:hAnsi="Times New Roman" w:cs="Times New Roman"/>
          <w:sz w:val="28"/>
        </w:rPr>
        <w:t>подання суддями декларацій</w:t>
      </w:r>
      <w:r w:rsidR="00C46C82" w:rsidRPr="00C46C82">
        <w:rPr>
          <w:rFonts w:ascii="Times New Roman" w:hAnsi="Times New Roman" w:cs="Times New Roman"/>
          <w:sz w:val="28"/>
        </w:rPr>
        <w:t xml:space="preserve"> осіб, уповноважених на виконання функцій держави або місцевого самоврядування, </w:t>
      </w:r>
      <w:r w:rsidR="006A19F4">
        <w:rPr>
          <w:rFonts w:ascii="Times New Roman" w:hAnsi="Times New Roman" w:cs="Times New Roman"/>
          <w:sz w:val="28"/>
        </w:rPr>
        <w:t xml:space="preserve">через офіційний веб-сайт Комісії </w:t>
      </w:r>
      <w:r w:rsidR="00C46C82">
        <w:rPr>
          <w:rFonts w:ascii="Times New Roman" w:hAnsi="Times New Roman" w:cs="Times New Roman"/>
          <w:sz w:val="28"/>
        </w:rPr>
        <w:t xml:space="preserve">та оприлюднення </w:t>
      </w:r>
      <w:r w:rsidR="006A19F4">
        <w:rPr>
          <w:rFonts w:ascii="Times New Roman" w:hAnsi="Times New Roman" w:cs="Times New Roman"/>
          <w:sz w:val="28"/>
        </w:rPr>
        <w:t xml:space="preserve">таких </w:t>
      </w:r>
      <w:r w:rsidR="00C46C82">
        <w:rPr>
          <w:rFonts w:ascii="Times New Roman" w:hAnsi="Times New Roman" w:cs="Times New Roman"/>
          <w:sz w:val="28"/>
        </w:rPr>
        <w:t xml:space="preserve">декларацій на офіційному </w:t>
      </w:r>
      <w:r w:rsidRPr="00C7049A">
        <w:rPr>
          <w:rFonts w:ascii="Times New Roman" w:hAnsi="Times New Roman" w:cs="Times New Roman"/>
          <w:sz w:val="28"/>
        </w:rPr>
        <w:t>веб-сайті Комісії</w:t>
      </w:r>
      <w:r>
        <w:rPr>
          <w:rFonts w:ascii="Times New Roman" w:hAnsi="Times New Roman" w:cs="Times New Roman"/>
          <w:sz w:val="28"/>
        </w:rPr>
        <w:t xml:space="preserve"> відповідно до цього Закону;</w:t>
      </w:r>
    </w:p>
    <w:p w:rsidR="006A19F4" w:rsidRDefault="006A19F4" w:rsidP="006A19F4">
      <w:pPr>
        <w:spacing w:before="120"/>
        <w:ind w:firstLine="567"/>
        <w:jc w:val="both"/>
        <w:rPr>
          <w:rFonts w:ascii="Times New Roman" w:hAnsi="Times New Roman" w:cs="Times New Roman"/>
          <w:sz w:val="28"/>
        </w:rPr>
      </w:pPr>
      <w:r>
        <w:rPr>
          <w:rFonts w:ascii="Times New Roman" w:hAnsi="Times New Roman" w:cs="Times New Roman"/>
          <w:sz w:val="28"/>
        </w:rPr>
        <w:t xml:space="preserve">3) </w:t>
      </w:r>
      <w:r w:rsidRPr="006A19F4">
        <w:rPr>
          <w:rFonts w:ascii="Times New Roman" w:hAnsi="Times New Roman" w:cs="Times New Roman"/>
          <w:sz w:val="28"/>
        </w:rPr>
        <w:t>у шестимісячний строк з дня набрання чинності цим Законом здійснити організаційно-технічні заходи, необхідні для подання суддями повідомлення про відкриття валютного рахунка в установі банку-нерезидента та повідомлення про суттєві зміни у майновому стані через офіційний веб-сайт</w:t>
      </w:r>
      <w:r>
        <w:rPr>
          <w:rFonts w:ascii="Times New Roman" w:hAnsi="Times New Roman" w:cs="Times New Roman"/>
          <w:sz w:val="28"/>
        </w:rPr>
        <w:t xml:space="preserve"> Комісії та оприлюднення такої інформації</w:t>
      </w:r>
      <w:r w:rsidRPr="006A19F4">
        <w:rPr>
          <w:rFonts w:ascii="Times New Roman" w:hAnsi="Times New Roman" w:cs="Times New Roman"/>
          <w:sz w:val="28"/>
        </w:rPr>
        <w:t xml:space="preserve"> на офіційному веб-сайті Ком</w:t>
      </w:r>
      <w:r>
        <w:rPr>
          <w:rFonts w:ascii="Times New Roman" w:hAnsi="Times New Roman" w:cs="Times New Roman"/>
          <w:sz w:val="28"/>
        </w:rPr>
        <w:t>ісії відповідно до цього Закону.</w:t>
      </w:r>
    </w:p>
    <w:p w:rsidR="006A19F4" w:rsidRPr="005A5E4D" w:rsidRDefault="006A19F4" w:rsidP="006A19F4">
      <w:pPr>
        <w:spacing w:before="120"/>
        <w:ind w:firstLine="567"/>
        <w:jc w:val="both"/>
        <w:rPr>
          <w:rFonts w:ascii="Times New Roman" w:hAnsi="Times New Roman" w:cs="Times New Roman"/>
          <w:sz w:val="28"/>
        </w:rPr>
      </w:pPr>
    </w:p>
    <w:p w:rsidR="00C72C6C" w:rsidRDefault="00C72C6C" w:rsidP="00C72C6C">
      <w:pPr>
        <w:ind w:firstLine="567"/>
        <w:jc w:val="both"/>
        <w:rPr>
          <w:rFonts w:ascii="Times New Roman" w:hAnsi="Times New Roman" w:cs="Times New Roman"/>
          <w:sz w:val="28"/>
          <w:szCs w:val="28"/>
        </w:rPr>
      </w:pPr>
    </w:p>
    <w:p w:rsidR="00827990" w:rsidRPr="00C72C6C" w:rsidRDefault="00827990" w:rsidP="00C72C6C">
      <w:pPr>
        <w:ind w:firstLine="567"/>
        <w:jc w:val="both"/>
        <w:rPr>
          <w:rFonts w:ascii="Times New Roman" w:hAnsi="Times New Roman" w:cs="Times New Roman"/>
          <w:sz w:val="28"/>
          <w:szCs w:val="28"/>
        </w:rPr>
      </w:pPr>
    </w:p>
    <w:p w:rsidR="00C72C6C" w:rsidRPr="00C72C6C" w:rsidRDefault="00C72C6C" w:rsidP="00C72C6C">
      <w:pPr>
        <w:rPr>
          <w:rFonts w:ascii="Times New Roman" w:hAnsi="Times New Roman" w:cs="Times New Roman"/>
          <w:b/>
          <w:bCs/>
          <w:sz w:val="28"/>
          <w:szCs w:val="28"/>
        </w:rPr>
      </w:pPr>
      <w:r w:rsidRPr="00C72C6C">
        <w:rPr>
          <w:rFonts w:ascii="Times New Roman" w:hAnsi="Times New Roman" w:cs="Times New Roman"/>
          <w:b/>
          <w:bCs/>
          <w:sz w:val="28"/>
          <w:szCs w:val="28"/>
        </w:rPr>
        <w:t xml:space="preserve">Голова Верховної Ради </w:t>
      </w:r>
    </w:p>
    <w:p w:rsidR="00C72C6C" w:rsidRPr="00C72C6C" w:rsidRDefault="00C72C6C" w:rsidP="00C72C6C">
      <w:pPr>
        <w:pStyle w:val="ac"/>
        <w:spacing w:before="0" w:beforeAutospacing="0" w:after="0" w:afterAutospacing="0"/>
        <w:jc w:val="both"/>
        <w:rPr>
          <w:b/>
          <w:bCs/>
          <w:sz w:val="28"/>
          <w:szCs w:val="28"/>
          <w:lang w:val="uk-UA"/>
        </w:rPr>
      </w:pPr>
      <w:r w:rsidRPr="00C72C6C">
        <w:rPr>
          <w:b/>
          <w:bCs/>
          <w:sz w:val="28"/>
          <w:szCs w:val="28"/>
          <w:lang w:val="uk-UA"/>
        </w:rPr>
        <w:t xml:space="preserve">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Д. РАЗУМКОВ</w:t>
      </w:r>
    </w:p>
    <w:p w:rsidR="00C72C6C" w:rsidRPr="00C73356" w:rsidRDefault="00C72C6C" w:rsidP="00C72C6C">
      <w:pPr>
        <w:ind w:firstLine="567"/>
        <w:jc w:val="both"/>
        <w:rPr>
          <w:rFonts w:ascii="Times New Roman" w:hAnsi="Times New Roman" w:cs="Times New Roman"/>
          <w:sz w:val="28"/>
          <w:szCs w:val="28"/>
          <w:lang w:eastAsia="uk-UA"/>
        </w:rPr>
      </w:pPr>
    </w:p>
    <w:sectPr w:rsidR="00C72C6C" w:rsidRPr="00C73356" w:rsidSect="00FC7F30">
      <w:headerReference w:type="default" r:id="rId10"/>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E16" w:rsidRDefault="00242E16">
      <w:r>
        <w:separator/>
      </w:r>
    </w:p>
  </w:endnote>
  <w:endnote w:type="continuationSeparator" w:id="0">
    <w:p w:rsidR="00242E16" w:rsidRDefault="00242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E16" w:rsidRDefault="00242E16">
      <w:r>
        <w:separator/>
      </w:r>
    </w:p>
  </w:footnote>
  <w:footnote w:type="continuationSeparator" w:id="0">
    <w:p w:rsidR="00242E16" w:rsidRDefault="00242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11" w:rsidRDefault="004C2111">
    <w:pPr>
      <w:framePr w:wrap="auto" w:vAnchor="text" w:hAnchor="margin" w:xAlign="center" w:y="1"/>
    </w:pPr>
    <w:r>
      <w:fldChar w:fldCharType="begin"/>
    </w:r>
    <w:r>
      <w:instrText xml:space="preserve">PAGE  </w:instrText>
    </w:r>
    <w:r>
      <w:fldChar w:fldCharType="separate"/>
    </w:r>
    <w:r w:rsidR="00A44FCA">
      <w:rPr>
        <w:noProof/>
      </w:rPr>
      <w:t>2</w:t>
    </w:r>
    <w:r>
      <w:fldChar w:fldCharType="end"/>
    </w:r>
  </w:p>
  <w:p w:rsidR="004C2111" w:rsidRDefault="004C21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BE9"/>
    <w:multiLevelType w:val="hybridMultilevel"/>
    <w:tmpl w:val="B1221762"/>
    <w:lvl w:ilvl="0" w:tplc="6FC411D6">
      <w:numFmt w:val="bullet"/>
      <w:lvlText w:val="-"/>
      <w:lvlJc w:val="left"/>
      <w:pPr>
        <w:ind w:left="751" w:hanging="360"/>
      </w:pPr>
      <w:rPr>
        <w:rFonts w:ascii="Times New Roman" w:eastAsia="Times New Roman" w:hAnsi="Times New Roman" w:cs="Times New Roman" w:hint="default"/>
      </w:rPr>
    </w:lvl>
    <w:lvl w:ilvl="1" w:tplc="04190003" w:tentative="1">
      <w:start w:val="1"/>
      <w:numFmt w:val="bullet"/>
      <w:lvlText w:val="o"/>
      <w:lvlJc w:val="left"/>
      <w:pPr>
        <w:ind w:left="1471" w:hanging="360"/>
      </w:pPr>
      <w:rPr>
        <w:rFonts w:ascii="Courier New" w:hAnsi="Courier New" w:cs="Courier New" w:hint="default"/>
      </w:rPr>
    </w:lvl>
    <w:lvl w:ilvl="2" w:tplc="04190005" w:tentative="1">
      <w:start w:val="1"/>
      <w:numFmt w:val="bullet"/>
      <w:lvlText w:val=""/>
      <w:lvlJc w:val="left"/>
      <w:pPr>
        <w:ind w:left="2191" w:hanging="360"/>
      </w:pPr>
      <w:rPr>
        <w:rFonts w:ascii="Wingdings" w:hAnsi="Wingdings" w:hint="default"/>
      </w:rPr>
    </w:lvl>
    <w:lvl w:ilvl="3" w:tplc="04190001" w:tentative="1">
      <w:start w:val="1"/>
      <w:numFmt w:val="bullet"/>
      <w:lvlText w:val=""/>
      <w:lvlJc w:val="left"/>
      <w:pPr>
        <w:ind w:left="2911" w:hanging="360"/>
      </w:pPr>
      <w:rPr>
        <w:rFonts w:ascii="Symbol" w:hAnsi="Symbol" w:hint="default"/>
      </w:rPr>
    </w:lvl>
    <w:lvl w:ilvl="4" w:tplc="04190003" w:tentative="1">
      <w:start w:val="1"/>
      <w:numFmt w:val="bullet"/>
      <w:lvlText w:val="o"/>
      <w:lvlJc w:val="left"/>
      <w:pPr>
        <w:ind w:left="3631" w:hanging="360"/>
      </w:pPr>
      <w:rPr>
        <w:rFonts w:ascii="Courier New" w:hAnsi="Courier New" w:cs="Courier New" w:hint="default"/>
      </w:rPr>
    </w:lvl>
    <w:lvl w:ilvl="5" w:tplc="04190005" w:tentative="1">
      <w:start w:val="1"/>
      <w:numFmt w:val="bullet"/>
      <w:lvlText w:val=""/>
      <w:lvlJc w:val="left"/>
      <w:pPr>
        <w:ind w:left="4351" w:hanging="360"/>
      </w:pPr>
      <w:rPr>
        <w:rFonts w:ascii="Wingdings" w:hAnsi="Wingdings" w:hint="default"/>
      </w:rPr>
    </w:lvl>
    <w:lvl w:ilvl="6" w:tplc="04190001" w:tentative="1">
      <w:start w:val="1"/>
      <w:numFmt w:val="bullet"/>
      <w:lvlText w:val=""/>
      <w:lvlJc w:val="left"/>
      <w:pPr>
        <w:ind w:left="5071" w:hanging="360"/>
      </w:pPr>
      <w:rPr>
        <w:rFonts w:ascii="Symbol" w:hAnsi="Symbol" w:hint="default"/>
      </w:rPr>
    </w:lvl>
    <w:lvl w:ilvl="7" w:tplc="04190003" w:tentative="1">
      <w:start w:val="1"/>
      <w:numFmt w:val="bullet"/>
      <w:lvlText w:val="o"/>
      <w:lvlJc w:val="left"/>
      <w:pPr>
        <w:ind w:left="5791" w:hanging="360"/>
      </w:pPr>
      <w:rPr>
        <w:rFonts w:ascii="Courier New" w:hAnsi="Courier New" w:cs="Courier New" w:hint="default"/>
      </w:rPr>
    </w:lvl>
    <w:lvl w:ilvl="8" w:tplc="04190005" w:tentative="1">
      <w:start w:val="1"/>
      <w:numFmt w:val="bullet"/>
      <w:lvlText w:val=""/>
      <w:lvlJc w:val="left"/>
      <w:pPr>
        <w:ind w:left="6511" w:hanging="360"/>
      </w:pPr>
      <w:rPr>
        <w:rFonts w:ascii="Wingdings" w:hAnsi="Wingdings" w:hint="default"/>
      </w:rPr>
    </w:lvl>
  </w:abstractNum>
  <w:abstractNum w:abstractNumId="1" w15:restartNumberingAfterBreak="0">
    <w:nsid w:val="03BC76D8"/>
    <w:multiLevelType w:val="hybridMultilevel"/>
    <w:tmpl w:val="070A7D76"/>
    <w:lvl w:ilvl="0" w:tplc="DEA62FAC">
      <w:numFmt w:val="bullet"/>
      <w:lvlText w:val="-"/>
      <w:lvlJc w:val="left"/>
      <w:pPr>
        <w:ind w:left="1111" w:hanging="360"/>
      </w:pPr>
      <w:rPr>
        <w:rFonts w:ascii="Times New Roman" w:eastAsia="Times New Roman" w:hAnsi="Times New Roman" w:cs="Times New Roman" w:hint="default"/>
      </w:rPr>
    </w:lvl>
    <w:lvl w:ilvl="1" w:tplc="04190003" w:tentative="1">
      <w:start w:val="1"/>
      <w:numFmt w:val="bullet"/>
      <w:lvlText w:val="o"/>
      <w:lvlJc w:val="left"/>
      <w:pPr>
        <w:ind w:left="1831" w:hanging="360"/>
      </w:pPr>
      <w:rPr>
        <w:rFonts w:ascii="Courier New" w:hAnsi="Courier New" w:cs="Courier New" w:hint="default"/>
      </w:rPr>
    </w:lvl>
    <w:lvl w:ilvl="2" w:tplc="04190005" w:tentative="1">
      <w:start w:val="1"/>
      <w:numFmt w:val="bullet"/>
      <w:lvlText w:val=""/>
      <w:lvlJc w:val="left"/>
      <w:pPr>
        <w:ind w:left="2551" w:hanging="360"/>
      </w:pPr>
      <w:rPr>
        <w:rFonts w:ascii="Wingdings" w:hAnsi="Wingdings" w:hint="default"/>
      </w:rPr>
    </w:lvl>
    <w:lvl w:ilvl="3" w:tplc="04190001" w:tentative="1">
      <w:start w:val="1"/>
      <w:numFmt w:val="bullet"/>
      <w:lvlText w:val=""/>
      <w:lvlJc w:val="left"/>
      <w:pPr>
        <w:ind w:left="3271" w:hanging="360"/>
      </w:pPr>
      <w:rPr>
        <w:rFonts w:ascii="Symbol" w:hAnsi="Symbol" w:hint="default"/>
      </w:rPr>
    </w:lvl>
    <w:lvl w:ilvl="4" w:tplc="04190003" w:tentative="1">
      <w:start w:val="1"/>
      <w:numFmt w:val="bullet"/>
      <w:lvlText w:val="o"/>
      <w:lvlJc w:val="left"/>
      <w:pPr>
        <w:ind w:left="3991" w:hanging="360"/>
      </w:pPr>
      <w:rPr>
        <w:rFonts w:ascii="Courier New" w:hAnsi="Courier New" w:cs="Courier New" w:hint="default"/>
      </w:rPr>
    </w:lvl>
    <w:lvl w:ilvl="5" w:tplc="04190005" w:tentative="1">
      <w:start w:val="1"/>
      <w:numFmt w:val="bullet"/>
      <w:lvlText w:val=""/>
      <w:lvlJc w:val="left"/>
      <w:pPr>
        <w:ind w:left="4711" w:hanging="360"/>
      </w:pPr>
      <w:rPr>
        <w:rFonts w:ascii="Wingdings" w:hAnsi="Wingdings" w:hint="default"/>
      </w:rPr>
    </w:lvl>
    <w:lvl w:ilvl="6" w:tplc="04190001" w:tentative="1">
      <w:start w:val="1"/>
      <w:numFmt w:val="bullet"/>
      <w:lvlText w:val=""/>
      <w:lvlJc w:val="left"/>
      <w:pPr>
        <w:ind w:left="5431" w:hanging="360"/>
      </w:pPr>
      <w:rPr>
        <w:rFonts w:ascii="Symbol" w:hAnsi="Symbol" w:hint="default"/>
      </w:rPr>
    </w:lvl>
    <w:lvl w:ilvl="7" w:tplc="04190003" w:tentative="1">
      <w:start w:val="1"/>
      <w:numFmt w:val="bullet"/>
      <w:lvlText w:val="o"/>
      <w:lvlJc w:val="left"/>
      <w:pPr>
        <w:ind w:left="6151" w:hanging="360"/>
      </w:pPr>
      <w:rPr>
        <w:rFonts w:ascii="Courier New" w:hAnsi="Courier New" w:cs="Courier New" w:hint="default"/>
      </w:rPr>
    </w:lvl>
    <w:lvl w:ilvl="8" w:tplc="04190005" w:tentative="1">
      <w:start w:val="1"/>
      <w:numFmt w:val="bullet"/>
      <w:lvlText w:val=""/>
      <w:lvlJc w:val="left"/>
      <w:pPr>
        <w:ind w:left="6871" w:hanging="360"/>
      </w:pPr>
      <w:rPr>
        <w:rFonts w:ascii="Wingdings" w:hAnsi="Wingdings" w:hint="default"/>
      </w:rPr>
    </w:lvl>
  </w:abstractNum>
  <w:abstractNum w:abstractNumId="2" w15:restartNumberingAfterBreak="0">
    <w:nsid w:val="055B1530"/>
    <w:multiLevelType w:val="hybridMultilevel"/>
    <w:tmpl w:val="57B6797E"/>
    <w:lvl w:ilvl="0" w:tplc="DEA62FA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4"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5" w15:restartNumberingAfterBreak="0">
    <w:nsid w:val="3471196C"/>
    <w:multiLevelType w:val="hybridMultilevel"/>
    <w:tmpl w:val="F7482880"/>
    <w:lvl w:ilvl="0" w:tplc="04190001">
      <w:start w:val="1"/>
      <w:numFmt w:val="bullet"/>
      <w:lvlText w:val=""/>
      <w:lvlJc w:val="left"/>
      <w:pPr>
        <w:ind w:left="1111" w:hanging="360"/>
      </w:pPr>
      <w:rPr>
        <w:rFonts w:ascii="Symbol" w:hAnsi="Symbol" w:hint="default"/>
      </w:rPr>
    </w:lvl>
    <w:lvl w:ilvl="1" w:tplc="04190003" w:tentative="1">
      <w:start w:val="1"/>
      <w:numFmt w:val="bullet"/>
      <w:lvlText w:val="o"/>
      <w:lvlJc w:val="left"/>
      <w:pPr>
        <w:ind w:left="1831" w:hanging="360"/>
      </w:pPr>
      <w:rPr>
        <w:rFonts w:ascii="Courier New" w:hAnsi="Courier New" w:cs="Courier New" w:hint="default"/>
      </w:rPr>
    </w:lvl>
    <w:lvl w:ilvl="2" w:tplc="04190005" w:tentative="1">
      <w:start w:val="1"/>
      <w:numFmt w:val="bullet"/>
      <w:lvlText w:val=""/>
      <w:lvlJc w:val="left"/>
      <w:pPr>
        <w:ind w:left="2551" w:hanging="360"/>
      </w:pPr>
      <w:rPr>
        <w:rFonts w:ascii="Wingdings" w:hAnsi="Wingdings" w:hint="default"/>
      </w:rPr>
    </w:lvl>
    <w:lvl w:ilvl="3" w:tplc="04190001" w:tentative="1">
      <w:start w:val="1"/>
      <w:numFmt w:val="bullet"/>
      <w:lvlText w:val=""/>
      <w:lvlJc w:val="left"/>
      <w:pPr>
        <w:ind w:left="3271" w:hanging="360"/>
      </w:pPr>
      <w:rPr>
        <w:rFonts w:ascii="Symbol" w:hAnsi="Symbol" w:hint="default"/>
      </w:rPr>
    </w:lvl>
    <w:lvl w:ilvl="4" w:tplc="04190003" w:tentative="1">
      <w:start w:val="1"/>
      <w:numFmt w:val="bullet"/>
      <w:lvlText w:val="o"/>
      <w:lvlJc w:val="left"/>
      <w:pPr>
        <w:ind w:left="3991" w:hanging="360"/>
      </w:pPr>
      <w:rPr>
        <w:rFonts w:ascii="Courier New" w:hAnsi="Courier New" w:cs="Courier New" w:hint="default"/>
      </w:rPr>
    </w:lvl>
    <w:lvl w:ilvl="5" w:tplc="04190005" w:tentative="1">
      <w:start w:val="1"/>
      <w:numFmt w:val="bullet"/>
      <w:lvlText w:val=""/>
      <w:lvlJc w:val="left"/>
      <w:pPr>
        <w:ind w:left="4711" w:hanging="360"/>
      </w:pPr>
      <w:rPr>
        <w:rFonts w:ascii="Wingdings" w:hAnsi="Wingdings" w:hint="default"/>
      </w:rPr>
    </w:lvl>
    <w:lvl w:ilvl="6" w:tplc="04190001" w:tentative="1">
      <w:start w:val="1"/>
      <w:numFmt w:val="bullet"/>
      <w:lvlText w:val=""/>
      <w:lvlJc w:val="left"/>
      <w:pPr>
        <w:ind w:left="5431" w:hanging="360"/>
      </w:pPr>
      <w:rPr>
        <w:rFonts w:ascii="Symbol" w:hAnsi="Symbol" w:hint="default"/>
      </w:rPr>
    </w:lvl>
    <w:lvl w:ilvl="7" w:tplc="04190003" w:tentative="1">
      <w:start w:val="1"/>
      <w:numFmt w:val="bullet"/>
      <w:lvlText w:val="o"/>
      <w:lvlJc w:val="left"/>
      <w:pPr>
        <w:ind w:left="6151" w:hanging="360"/>
      </w:pPr>
      <w:rPr>
        <w:rFonts w:ascii="Courier New" w:hAnsi="Courier New" w:cs="Courier New" w:hint="default"/>
      </w:rPr>
    </w:lvl>
    <w:lvl w:ilvl="8" w:tplc="04190005" w:tentative="1">
      <w:start w:val="1"/>
      <w:numFmt w:val="bullet"/>
      <w:lvlText w:val=""/>
      <w:lvlJc w:val="left"/>
      <w:pPr>
        <w:ind w:left="6871" w:hanging="360"/>
      </w:pPr>
      <w:rPr>
        <w:rFonts w:ascii="Wingdings" w:hAnsi="Wingdings" w:hint="default"/>
      </w:rPr>
    </w:lvl>
  </w:abstractNum>
  <w:abstractNum w:abstractNumId="6" w15:restartNumberingAfterBreak="0">
    <w:nsid w:val="7EEE4489"/>
    <w:multiLevelType w:val="hybridMultilevel"/>
    <w:tmpl w:val="FFFAAA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2CD0"/>
    <w:rsid w:val="00021FAA"/>
    <w:rsid w:val="000251DB"/>
    <w:rsid w:val="00025F2A"/>
    <w:rsid w:val="0003724E"/>
    <w:rsid w:val="00043828"/>
    <w:rsid w:val="00044C6C"/>
    <w:rsid w:val="00051970"/>
    <w:rsid w:val="00052B23"/>
    <w:rsid w:val="00070A56"/>
    <w:rsid w:val="00085415"/>
    <w:rsid w:val="000866CE"/>
    <w:rsid w:val="00093CED"/>
    <w:rsid w:val="00096D61"/>
    <w:rsid w:val="00097F3C"/>
    <w:rsid w:val="000A1D9B"/>
    <w:rsid w:val="000A3175"/>
    <w:rsid w:val="000A384F"/>
    <w:rsid w:val="000B3D90"/>
    <w:rsid w:val="000C17FC"/>
    <w:rsid w:val="000D5023"/>
    <w:rsid w:val="000E56CF"/>
    <w:rsid w:val="000F324C"/>
    <w:rsid w:val="000F5A2D"/>
    <w:rsid w:val="00102D48"/>
    <w:rsid w:val="00104C7E"/>
    <w:rsid w:val="00107521"/>
    <w:rsid w:val="00113152"/>
    <w:rsid w:val="00114F45"/>
    <w:rsid w:val="001229BD"/>
    <w:rsid w:val="00133EE7"/>
    <w:rsid w:val="00135DEE"/>
    <w:rsid w:val="00140524"/>
    <w:rsid w:val="0014062A"/>
    <w:rsid w:val="00140BAD"/>
    <w:rsid w:val="00142C0C"/>
    <w:rsid w:val="00153182"/>
    <w:rsid w:val="0015522C"/>
    <w:rsid w:val="0016085B"/>
    <w:rsid w:val="00183491"/>
    <w:rsid w:val="00185014"/>
    <w:rsid w:val="001A462B"/>
    <w:rsid w:val="001B164B"/>
    <w:rsid w:val="001B4187"/>
    <w:rsid w:val="001C0B49"/>
    <w:rsid w:val="001C45C9"/>
    <w:rsid w:val="001C7D84"/>
    <w:rsid w:val="001F26E4"/>
    <w:rsid w:val="001F68B6"/>
    <w:rsid w:val="00203948"/>
    <w:rsid w:val="00212B89"/>
    <w:rsid w:val="00214432"/>
    <w:rsid w:val="00227128"/>
    <w:rsid w:val="00232344"/>
    <w:rsid w:val="0023410D"/>
    <w:rsid w:val="00242E16"/>
    <w:rsid w:val="00243B97"/>
    <w:rsid w:val="00250912"/>
    <w:rsid w:val="00271BE5"/>
    <w:rsid w:val="00280E9D"/>
    <w:rsid w:val="00281974"/>
    <w:rsid w:val="002B2392"/>
    <w:rsid w:val="002B3352"/>
    <w:rsid w:val="002B53D3"/>
    <w:rsid w:val="002C08E4"/>
    <w:rsid w:val="002C68A0"/>
    <w:rsid w:val="002C7C4E"/>
    <w:rsid w:val="002D0956"/>
    <w:rsid w:val="002D1969"/>
    <w:rsid w:val="002D2F87"/>
    <w:rsid w:val="002D3B1C"/>
    <w:rsid w:val="002E48FB"/>
    <w:rsid w:val="002E58B2"/>
    <w:rsid w:val="002F57B5"/>
    <w:rsid w:val="002F7B24"/>
    <w:rsid w:val="0031299E"/>
    <w:rsid w:val="0031384F"/>
    <w:rsid w:val="003146E9"/>
    <w:rsid w:val="0032111D"/>
    <w:rsid w:val="00321F61"/>
    <w:rsid w:val="00322902"/>
    <w:rsid w:val="00327DDB"/>
    <w:rsid w:val="00337CD0"/>
    <w:rsid w:val="00347ECC"/>
    <w:rsid w:val="00352F3E"/>
    <w:rsid w:val="00355709"/>
    <w:rsid w:val="00357432"/>
    <w:rsid w:val="00373668"/>
    <w:rsid w:val="0038064E"/>
    <w:rsid w:val="00382B7B"/>
    <w:rsid w:val="0039367C"/>
    <w:rsid w:val="00394097"/>
    <w:rsid w:val="00397316"/>
    <w:rsid w:val="003A6D6B"/>
    <w:rsid w:val="003B055E"/>
    <w:rsid w:val="003C7723"/>
    <w:rsid w:val="003D091C"/>
    <w:rsid w:val="003E1998"/>
    <w:rsid w:val="003E7C2D"/>
    <w:rsid w:val="00410EE8"/>
    <w:rsid w:val="00413735"/>
    <w:rsid w:val="0042071F"/>
    <w:rsid w:val="0042197C"/>
    <w:rsid w:val="00440227"/>
    <w:rsid w:val="004556E2"/>
    <w:rsid w:val="00455CFC"/>
    <w:rsid w:val="004708FB"/>
    <w:rsid w:val="0047232B"/>
    <w:rsid w:val="0048232C"/>
    <w:rsid w:val="00486EF2"/>
    <w:rsid w:val="00487526"/>
    <w:rsid w:val="004A0D40"/>
    <w:rsid w:val="004C2111"/>
    <w:rsid w:val="004D3F9A"/>
    <w:rsid w:val="004E17D3"/>
    <w:rsid w:val="004E1FD9"/>
    <w:rsid w:val="004E3B1C"/>
    <w:rsid w:val="004E3DB1"/>
    <w:rsid w:val="004F402D"/>
    <w:rsid w:val="004F6BAF"/>
    <w:rsid w:val="004F717F"/>
    <w:rsid w:val="005026A0"/>
    <w:rsid w:val="00511D79"/>
    <w:rsid w:val="00540378"/>
    <w:rsid w:val="00543403"/>
    <w:rsid w:val="005458BA"/>
    <w:rsid w:val="00555B97"/>
    <w:rsid w:val="005720FA"/>
    <w:rsid w:val="005775C4"/>
    <w:rsid w:val="005817DB"/>
    <w:rsid w:val="00581877"/>
    <w:rsid w:val="005825AE"/>
    <w:rsid w:val="00595A58"/>
    <w:rsid w:val="00597846"/>
    <w:rsid w:val="005A22B8"/>
    <w:rsid w:val="005A5E4D"/>
    <w:rsid w:val="005B48C2"/>
    <w:rsid w:val="005B5214"/>
    <w:rsid w:val="005B5F86"/>
    <w:rsid w:val="005C3CB4"/>
    <w:rsid w:val="005C5B78"/>
    <w:rsid w:val="005C5D50"/>
    <w:rsid w:val="005E1090"/>
    <w:rsid w:val="005E3FFD"/>
    <w:rsid w:val="005F3F85"/>
    <w:rsid w:val="005F5B52"/>
    <w:rsid w:val="0061050D"/>
    <w:rsid w:val="006113FB"/>
    <w:rsid w:val="0061303C"/>
    <w:rsid w:val="006241BE"/>
    <w:rsid w:val="0063332B"/>
    <w:rsid w:val="006524B7"/>
    <w:rsid w:val="006602D5"/>
    <w:rsid w:val="006612DA"/>
    <w:rsid w:val="0066551A"/>
    <w:rsid w:val="00677733"/>
    <w:rsid w:val="00685D0F"/>
    <w:rsid w:val="006A0F96"/>
    <w:rsid w:val="006A19F4"/>
    <w:rsid w:val="006C0CAA"/>
    <w:rsid w:val="006C0F98"/>
    <w:rsid w:val="006C6BA7"/>
    <w:rsid w:val="006C7090"/>
    <w:rsid w:val="006D1C77"/>
    <w:rsid w:val="006D5597"/>
    <w:rsid w:val="006E4532"/>
    <w:rsid w:val="006F1C74"/>
    <w:rsid w:val="0070557B"/>
    <w:rsid w:val="00717074"/>
    <w:rsid w:val="00723409"/>
    <w:rsid w:val="007354DF"/>
    <w:rsid w:val="007440A8"/>
    <w:rsid w:val="007466BA"/>
    <w:rsid w:val="00750D4A"/>
    <w:rsid w:val="007619D7"/>
    <w:rsid w:val="00764572"/>
    <w:rsid w:val="00771066"/>
    <w:rsid w:val="00783E28"/>
    <w:rsid w:val="00786C39"/>
    <w:rsid w:val="00795287"/>
    <w:rsid w:val="007A1AB4"/>
    <w:rsid w:val="007B2344"/>
    <w:rsid w:val="007B5FAB"/>
    <w:rsid w:val="007C5D81"/>
    <w:rsid w:val="007D0676"/>
    <w:rsid w:val="007D635B"/>
    <w:rsid w:val="007E4871"/>
    <w:rsid w:val="007E71EB"/>
    <w:rsid w:val="007E7FA3"/>
    <w:rsid w:val="0080357F"/>
    <w:rsid w:val="0081190C"/>
    <w:rsid w:val="00827990"/>
    <w:rsid w:val="008303AC"/>
    <w:rsid w:val="00842FC5"/>
    <w:rsid w:val="00847C59"/>
    <w:rsid w:val="00863D05"/>
    <w:rsid w:val="008642F2"/>
    <w:rsid w:val="0088209E"/>
    <w:rsid w:val="0088328D"/>
    <w:rsid w:val="008903A6"/>
    <w:rsid w:val="008957E3"/>
    <w:rsid w:val="008A49B5"/>
    <w:rsid w:val="008B203D"/>
    <w:rsid w:val="008B5F74"/>
    <w:rsid w:val="008B78B6"/>
    <w:rsid w:val="008D50E2"/>
    <w:rsid w:val="008E4235"/>
    <w:rsid w:val="008E657C"/>
    <w:rsid w:val="009158EF"/>
    <w:rsid w:val="00920B89"/>
    <w:rsid w:val="009216F0"/>
    <w:rsid w:val="009231F9"/>
    <w:rsid w:val="00944144"/>
    <w:rsid w:val="009469F7"/>
    <w:rsid w:val="00963416"/>
    <w:rsid w:val="00973E16"/>
    <w:rsid w:val="00990546"/>
    <w:rsid w:val="0099417B"/>
    <w:rsid w:val="009A3621"/>
    <w:rsid w:val="009C7295"/>
    <w:rsid w:val="009D2543"/>
    <w:rsid w:val="009E01D1"/>
    <w:rsid w:val="009F0CED"/>
    <w:rsid w:val="009F58BC"/>
    <w:rsid w:val="00A010C8"/>
    <w:rsid w:val="00A05692"/>
    <w:rsid w:val="00A13AFB"/>
    <w:rsid w:val="00A16A52"/>
    <w:rsid w:val="00A3171D"/>
    <w:rsid w:val="00A33B9F"/>
    <w:rsid w:val="00A41E70"/>
    <w:rsid w:val="00A4230E"/>
    <w:rsid w:val="00A44877"/>
    <w:rsid w:val="00A44FCA"/>
    <w:rsid w:val="00A455BA"/>
    <w:rsid w:val="00A50ECC"/>
    <w:rsid w:val="00A519A2"/>
    <w:rsid w:val="00A55FAC"/>
    <w:rsid w:val="00A726E0"/>
    <w:rsid w:val="00A76744"/>
    <w:rsid w:val="00A82D8B"/>
    <w:rsid w:val="00A84251"/>
    <w:rsid w:val="00A91A80"/>
    <w:rsid w:val="00AA2EC8"/>
    <w:rsid w:val="00AA493E"/>
    <w:rsid w:val="00AA7502"/>
    <w:rsid w:val="00AB036D"/>
    <w:rsid w:val="00AC462C"/>
    <w:rsid w:val="00AE0A63"/>
    <w:rsid w:val="00B05681"/>
    <w:rsid w:val="00B214C9"/>
    <w:rsid w:val="00B24A02"/>
    <w:rsid w:val="00B2652E"/>
    <w:rsid w:val="00B317EA"/>
    <w:rsid w:val="00B3778A"/>
    <w:rsid w:val="00B603D5"/>
    <w:rsid w:val="00B67982"/>
    <w:rsid w:val="00B70151"/>
    <w:rsid w:val="00B80871"/>
    <w:rsid w:val="00B846BA"/>
    <w:rsid w:val="00B92691"/>
    <w:rsid w:val="00BA3D81"/>
    <w:rsid w:val="00BB218A"/>
    <w:rsid w:val="00BB2AF4"/>
    <w:rsid w:val="00BB5AC4"/>
    <w:rsid w:val="00BC2950"/>
    <w:rsid w:val="00BC3CA1"/>
    <w:rsid w:val="00BC3CED"/>
    <w:rsid w:val="00BC5805"/>
    <w:rsid w:val="00BD01FF"/>
    <w:rsid w:val="00BD33EF"/>
    <w:rsid w:val="00BE0ED7"/>
    <w:rsid w:val="00BE4423"/>
    <w:rsid w:val="00BE4948"/>
    <w:rsid w:val="00BF1374"/>
    <w:rsid w:val="00BF6BC5"/>
    <w:rsid w:val="00C23A36"/>
    <w:rsid w:val="00C37D41"/>
    <w:rsid w:val="00C46C82"/>
    <w:rsid w:val="00C6317B"/>
    <w:rsid w:val="00C63651"/>
    <w:rsid w:val="00C64832"/>
    <w:rsid w:val="00C7049A"/>
    <w:rsid w:val="00C715B3"/>
    <w:rsid w:val="00C72C6C"/>
    <w:rsid w:val="00C72E2B"/>
    <w:rsid w:val="00C73356"/>
    <w:rsid w:val="00C95033"/>
    <w:rsid w:val="00C979FE"/>
    <w:rsid w:val="00CC62FE"/>
    <w:rsid w:val="00CD43BB"/>
    <w:rsid w:val="00CD5DF1"/>
    <w:rsid w:val="00CD784B"/>
    <w:rsid w:val="00CE6B4E"/>
    <w:rsid w:val="00CE6E2A"/>
    <w:rsid w:val="00CF0484"/>
    <w:rsid w:val="00CF1D31"/>
    <w:rsid w:val="00D40BC1"/>
    <w:rsid w:val="00D4191B"/>
    <w:rsid w:val="00D4562F"/>
    <w:rsid w:val="00D461C6"/>
    <w:rsid w:val="00D50212"/>
    <w:rsid w:val="00D66D15"/>
    <w:rsid w:val="00D7207A"/>
    <w:rsid w:val="00D74FFF"/>
    <w:rsid w:val="00D762E4"/>
    <w:rsid w:val="00D7760E"/>
    <w:rsid w:val="00D816BB"/>
    <w:rsid w:val="00D83F8B"/>
    <w:rsid w:val="00D84AF2"/>
    <w:rsid w:val="00D93D9D"/>
    <w:rsid w:val="00D96579"/>
    <w:rsid w:val="00D96AFC"/>
    <w:rsid w:val="00D97496"/>
    <w:rsid w:val="00D97838"/>
    <w:rsid w:val="00DA5C7F"/>
    <w:rsid w:val="00DA6E8B"/>
    <w:rsid w:val="00DB162C"/>
    <w:rsid w:val="00DB33F6"/>
    <w:rsid w:val="00DC2669"/>
    <w:rsid w:val="00DC517B"/>
    <w:rsid w:val="00DD3524"/>
    <w:rsid w:val="00DE24D8"/>
    <w:rsid w:val="00DF46BD"/>
    <w:rsid w:val="00DF4B43"/>
    <w:rsid w:val="00DF60A8"/>
    <w:rsid w:val="00E001BB"/>
    <w:rsid w:val="00E05F94"/>
    <w:rsid w:val="00E11DE1"/>
    <w:rsid w:val="00E1759D"/>
    <w:rsid w:val="00E32C74"/>
    <w:rsid w:val="00E40076"/>
    <w:rsid w:val="00E40753"/>
    <w:rsid w:val="00E61D30"/>
    <w:rsid w:val="00E71125"/>
    <w:rsid w:val="00E74897"/>
    <w:rsid w:val="00E86CED"/>
    <w:rsid w:val="00E878DC"/>
    <w:rsid w:val="00E93A3D"/>
    <w:rsid w:val="00E95CC2"/>
    <w:rsid w:val="00EA44A7"/>
    <w:rsid w:val="00EA684E"/>
    <w:rsid w:val="00EB3D17"/>
    <w:rsid w:val="00EB454C"/>
    <w:rsid w:val="00EC071E"/>
    <w:rsid w:val="00EC0844"/>
    <w:rsid w:val="00ED2397"/>
    <w:rsid w:val="00F04D2E"/>
    <w:rsid w:val="00F0620C"/>
    <w:rsid w:val="00F102B0"/>
    <w:rsid w:val="00F2089F"/>
    <w:rsid w:val="00F21AE7"/>
    <w:rsid w:val="00F34C6F"/>
    <w:rsid w:val="00F37B32"/>
    <w:rsid w:val="00F51610"/>
    <w:rsid w:val="00F619DE"/>
    <w:rsid w:val="00F6378E"/>
    <w:rsid w:val="00F64404"/>
    <w:rsid w:val="00F675C3"/>
    <w:rsid w:val="00F743D2"/>
    <w:rsid w:val="00F759E4"/>
    <w:rsid w:val="00F7643C"/>
    <w:rsid w:val="00F84080"/>
    <w:rsid w:val="00F94A1E"/>
    <w:rsid w:val="00F94AD4"/>
    <w:rsid w:val="00F94F3C"/>
    <w:rsid w:val="00FA03F5"/>
    <w:rsid w:val="00FB24EA"/>
    <w:rsid w:val="00FB50F2"/>
    <w:rsid w:val="00FC55A6"/>
    <w:rsid w:val="00FC58A9"/>
    <w:rsid w:val="00FC7F30"/>
    <w:rsid w:val="00FD4617"/>
    <w:rsid w:val="00FE3140"/>
    <w:rsid w:val="00FE6976"/>
    <w:rsid w:val="00FF3915"/>
    <w:rsid w:val="00FF4273"/>
    <w:rsid w:val="00FF4B98"/>
    <w:rsid w:val="00FF7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0808DA-17C6-489C-9081-A4A2D2ED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eastAsia="ru-RU"/>
    </w:rPr>
  </w:style>
  <w:style w:type="paragraph" w:styleId="2">
    <w:name w:val="heading 2"/>
    <w:basedOn w:val="a"/>
    <w:next w:val="a"/>
    <w:link w:val="20"/>
    <w:uiPriority w:val="99"/>
    <w:qFormat/>
    <w:rsid w:val="00F94F3C"/>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9"/>
    <w:qFormat/>
    <w:locked/>
    <w:rsid w:val="00A44877"/>
    <w:pPr>
      <w:keepNext/>
      <w:spacing w:before="240" w:after="60"/>
      <w:outlineLvl w:val="2"/>
    </w:pPr>
    <w:rPr>
      <w:rFonts w:ascii="Arial" w:hAnsi="Arial" w:cs="Arial"/>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94F3C"/>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A44877"/>
    <w:rPr>
      <w:rFonts w:ascii="Arial" w:hAnsi="Arial" w:cs="Arial"/>
      <w:b/>
      <w:bCs/>
      <w:sz w:val="26"/>
      <w:szCs w:val="26"/>
      <w:lang w:val="ru-RU" w:eastAsia="ru-RU"/>
    </w:rPr>
  </w:style>
  <w:style w:type="paragraph" w:styleId="a3">
    <w:name w:val="Balloon Text"/>
    <w:basedOn w:val="a"/>
    <w:link w:val="a4"/>
    <w:uiPriority w:val="99"/>
    <w:semiHidden/>
    <w:rPr>
      <w:rFonts w:ascii="Tahoma" w:hAnsi="Tahoma" w:cs="Tahoma"/>
      <w:sz w:val="16"/>
      <w:szCs w:val="16"/>
      <w:lang w:val="ru-RU"/>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paragraph" w:customStyle="1" w:styleId="a5">
    <w:name w:val="Нормальний текст"/>
    <w:basedOn w:val="a"/>
    <w:link w:val="a6"/>
    <w:rsid w:val="002B53D3"/>
    <w:pPr>
      <w:spacing w:before="120"/>
      <w:ind w:firstLine="567"/>
      <w:jc w:val="both"/>
    </w:pPr>
  </w:style>
  <w:style w:type="paragraph" w:customStyle="1" w:styleId="a7">
    <w:name w:val="Установа"/>
    <w:basedOn w:val="a"/>
    <w:uiPriority w:val="99"/>
    <w:rsid w:val="002B53D3"/>
    <w:pPr>
      <w:keepNext/>
      <w:keepLines/>
      <w:spacing w:before="120"/>
      <w:jc w:val="center"/>
    </w:pPr>
    <w:rPr>
      <w:b/>
      <w:bCs/>
      <w:i/>
      <w:iCs/>
      <w:caps/>
      <w:sz w:val="48"/>
      <w:szCs w:val="48"/>
    </w:rPr>
  </w:style>
  <w:style w:type="paragraph" w:customStyle="1" w:styleId="a8">
    <w:name w:val="Вид документа"/>
    <w:basedOn w:val="a7"/>
    <w:next w:val="a"/>
    <w:uiPriority w:val="99"/>
    <w:rsid w:val="002B53D3"/>
    <w:pPr>
      <w:spacing w:before="0" w:after="240"/>
      <w:jc w:val="right"/>
    </w:pPr>
    <w:rPr>
      <w:b w:val="0"/>
      <w:bCs w:val="0"/>
      <w:i w:val="0"/>
      <w:iCs w:val="0"/>
      <w:caps w:val="0"/>
      <w:spacing w:val="20"/>
      <w:sz w:val="26"/>
      <w:szCs w:val="26"/>
    </w:rPr>
  </w:style>
  <w:style w:type="paragraph" w:customStyle="1" w:styleId="a9">
    <w:name w:val="Назва документа"/>
    <w:basedOn w:val="a"/>
    <w:next w:val="a5"/>
    <w:uiPriority w:val="99"/>
    <w:rsid w:val="002B53D3"/>
    <w:pPr>
      <w:keepNext/>
      <w:keepLines/>
      <w:spacing w:before="360" w:after="360"/>
      <w:jc w:val="center"/>
    </w:pPr>
    <w:rPr>
      <w:b/>
      <w:bCs/>
    </w:rPr>
  </w:style>
  <w:style w:type="character" w:customStyle="1" w:styleId="a6">
    <w:name w:val="Нормальний текст Знак"/>
    <w:basedOn w:val="a0"/>
    <w:link w:val="a5"/>
    <w:uiPriority w:val="99"/>
    <w:locked/>
    <w:rsid w:val="00F6378E"/>
    <w:rPr>
      <w:rFonts w:ascii="Antiqua" w:hAnsi="Antiqua" w:cs="Antiqua"/>
      <w:sz w:val="26"/>
      <w:szCs w:val="26"/>
      <w:lang w:val="uk-UA" w:eastAsia="ru-RU"/>
    </w:rPr>
  </w:style>
  <w:style w:type="paragraph" w:customStyle="1" w:styleId="aa">
    <w:name w:val="Знак Знак Знак Знак Знак Знак Знак Знак Знак Знак Знак Знак"/>
    <w:basedOn w:val="a"/>
    <w:uiPriority w:val="99"/>
    <w:rsid w:val="000251DB"/>
    <w:rPr>
      <w:rFonts w:ascii="Verdana" w:hAnsi="Verdana" w:cs="Verdana"/>
      <w:color w:val="000000"/>
      <w:sz w:val="20"/>
      <w:szCs w:val="20"/>
      <w:lang w:val="en-US" w:eastAsia="en-US"/>
    </w:rPr>
  </w:style>
  <w:style w:type="paragraph" w:customStyle="1" w:styleId="ab">
    <w:name w:val="Знак Знак Знак Знак Знак Знак Знак Знак Знак Знак"/>
    <w:basedOn w:val="a"/>
    <w:uiPriority w:val="99"/>
    <w:rsid w:val="00D66D15"/>
    <w:rPr>
      <w:rFonts w:ascii="Verdana" w:hAnsi="Verdana" w:cs="Verdana"/>
      <w:color w:val="000000"/>
      <w:sz w:val="20"/>
      <w:szCs w:val="20"/>
      <w:lang w:val="en-US" w:eastAsia="en-US"/>
    </w:rPr>
  </w:style>
  <w:style w:type="paragraph" w:customStyle="1" w:styleId="StyleZakonu">
    <w:name w:val="StyleZakonu"/>
    <w:basedOn w:val="a"/>
    <w:rsid w:val="0032111D"/>
    <w:pPr>
      <w:autoSpaceDE w:val="0"/>
      <w:autoSpaceDN w:val="0"/>
      <w:spacing w:after="120"/>
      <w:ind w:firstLine="284"/>
      <w:jc w:val="both"/>
    </w:pPr>
    <w:rPr>
      <w:rFonts w:ascii="TextBook" w:hAnsi="TextBook" w:cs="TextBook"/>
      <w:sz w:val="18"/>
      <w:szCs w:val="18"/>
    </w:rPr>
  </w:style>
  <w:style w:type="character" w:customStyle="1" w:styleId="apple-converted-space">
    <w:name w:val="apple-converted-space"/>
    <w:basedOn w:val="a0"/>
    <w:uiPriority w:val="99"/>
    <w:rsid w:val="00D816BB"/>
    <w:rPr>
      <w:rFonts w:cs="Times New Roman"/>
    </w:rPr>
  </w:style>
  <w:style w:type="character" w:customStyle="1" w:styleId="rvts23">
    <w:name w:val="rvts23"/>
    <w:uiPriority w:val="99"/>
    <w:rsid w:val="00A44877"/>
  </w:style>
  <w:style w:type="paragraph" w:customStyle="1" w:styleId="1">
    <w:name w:val="заголовок 1"/>
    <w:basedOn w:val="a"/>
    <w:next w:val="a"/>
    <w:uiPriority w:val="99"/>
    <w:rsid w:val="00AA2EC8"/>
    <w:pPr>
      <w:keepNext/>
      <w:autoSpaceDE w:val="0"/>
      <w:autoSpaceDN w:val="0"/>
      <w:jc w:val="center"/>
    </w:pPr>
    <w:rPr>
      <w:rFonts w:ascii="Calibri" w:hAnsi="Calibri" w:cs="Calibri"/>
      <w:b/>
      <w:bCs/>
      <w:sz w:val="28"/>
      <w:szCs w:val="28"/>
    </w:rPr>
  </w:style>
  <w:style w:type="paragraph" w:customStyle="1" w:styleId="rvps6">
    <w:name w:val="rvps6"/>
    <w:basedOn w:val="a"/>
    <w:uiPriority w:val="99"/>
    <w:rsid w:val="00AA2EC8"/>
    <w:pPr>
      <w:spacing w:before="100" w:beforeAutospacing="1" w:after="100" w:afterAutospacing="1"/>
    </w:pPr>
    <w:rPr>
      <w:rFonts w:ascii="Calibri" w:hAnsi="Calibri" w:cs="Times New Roman"/>
      <w:sz w:val="24"/>
      <w:szCs w:val="24"/>
      <w:lang w:val="ru-RU"/>
    </w:rPr>
  </w:style>
  <w:style w:type="character" w:customStyle="1" w:styleId="rvts9">
    <w:name w:val="rvts9"/>
    <w:rsid w:val="00C72C6C"/>
  </w:style>
  <w:style w:type="paragraph" w:styleId="ac">
    <w:name w:val="Normal (Web)"/>
    <w:basedOn w:val="a"/>
    <w:uiPriority w:val="99"/>
    <w:rsid w:val="00C72C6C"/>
    <w:pPr>
      <w:spacing w:before="100" w:beforeAutospacing="1" w:after="100" w:afterAutospacing="1"/>
    </w:pPr>
    <w:rPr>
      <w:rFonts w:ascii="Times New Roman" w:hAnsi="Times New Roman" w:cs="Times New Roman"/>
      <w:sz w:val="24"/>
      <w:szCs w:val="24"/>
      <w:lang w:val="ru-RU"/>
    </w:rPr>
  </w:style>
  <w:style w:type="character" w:styleId="ad">
    <w:name w:val="Hyperlink"/>
    <w:basedOn w:val="a0"/>
    <w:uiPriority w:val="99"/>
    <w:unhideWhenUsed/>
    <w:rsid w:val="002B3352"/>
    <w:rPr>
      <w:color w:val="0563C1" w:themeColor="hyperlink"/>
      <w:u w:val="single"/>
    </w:rPr>
  </w:style>
  <w:style w:type="paragraph" w:styleId="HTML">
    <w:name w:val="HTML Preformatted"/>
    <w:basedOn w:val="a"/>
    <w:link w:val="HTML0"/>
    <w:uiPriority w:val="99"/>
    <w:semiHidden/>
    <w:unhideWhenUsed/>
    <w:rsid w:val="001A462B"/>
    <w:rPr>
      <w:rFonts w:ascii="Consolas" w:hAnsi="Consolas"/>
      <w:sz w:val="20"/>
      <w:szCs w:val="20"/>
    </w:rPr>
  </w:style>
  <w:style w:type="character" w:customStyle="1" w:styleId="HTML0">
    <w:name w:val="Стандартний HTML Знак"/>
    <w:basedOn w:val="a0"/>
    <w:link w:val="HTML"/>
    <w:uiPriority w:val="99"/>
    <w:semiHidden/>
    <w:rsid w:val="001A462B"/>
    <w:rPr>
      <w:rFonts w:ascii="Consolas" w:hAnsi="Consolas" w:cs="Antiqua"/>
      <w:sz w:val="20"/>
      <w:szCs w:val="20"/>
      <w:lang w:eastAsia="ru-RU"/>
    </w:rPr>
  </w:style>
  <w:style w:type="paragraph" w:styleId="ae">
    <w:name w:val="List Paragraph"/>
    <w:basedOn w:val="a"/>
    <w:uiPriority w:val="34"/>
    <w:qFormat/>
    <w:rsid w:val="008E4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331586">
      <w:bodyDiv w:val="1"/>
      <w:marLeft w:val="0"/>
      <w:marRight w:val="0"/>
      <w:marTop w:val="0"/>
      <w:marBottom w:val="0"/>
      <w:divBdr>
        <w:top w:val="none" w:sz="0" w:space="0" w:color="auto"/>
        <w:left w:val="none" w:sz="0" w:space="0" w:color="auto"/>
        <w:bottom w:val="none" w:sz="0" w:space="0" w:color="auto"/>
        <w:right w:val="none" w:sz="0" w:space="0" w:color="auto"/>
      </w:divBdr>
    </w:div>
    <w:div w:id="1100954267">
      <w:bodyDiv w:val="1"/>
      <w:marLeft w:val="0"/>
      <w:marRight w:val="0"/>
      <w:marTop w:val="0"/>
      <w:marBottom w:val="0"/>
      <w:divBdr>
        <w:top w:val="none" w:sz="0" w:space="0" w:color="auto"/>
        <w:left w:val="none" w:sz="0" w:space="0" w:color="auto"/>
        <w:bottom w:val="none" w:sz="0" w:space="0" w:color="auto"/>
        <w:right w:val="none" w:sz="0" w:space="0" w:color="auto"/>
      </w:divBdr>
    </w:div>
    <w:div w:id="1370688181">
      <w:bodyDiv w:val="1"/>
      <w:marLeft w:val="0"/>
      <w:marRight w:val="0"/>
      <w:marTop w:val="0"/>
      <w:marBottom w:val="0"/>
      <w:divBdr>
        <w:top w:val="none" w:sz="0" w:space="0" w:color="auto"/>
        <w:left w:val="none" w:sz="0" w:space="0" w:color="auto"/>
        <w:bottom w:val="none" w:sz="0" w:space="0" w:color="auto"/>
        <w:right w:val="none" w:sz="0" w:space="0" w:color="auto"/>
      </w:divBdr>
    </w:div>
    <w:div w:id="1428039918">
      <w:marLeft w:val="0"/>
      <w:marRight w:val="0"/>
      <w:marTop w:val="0"/>
      <w:marBottom w:val="0"/>
      <w:divBdr>
        <w:top w:val="none" w:sz="0" w:space="0" w:color="auto"/>
        <w:left w:val="none" w:sz="0" w:space="0" w:color="auto"/>
        <w:bottom w:val="none" w:sz="0" w:space="0" w:color="auto"/>
        <w:right w:val="none" w:sz="0" w:space="0" w:color="auto"/>
      </w:divBdr>
    </w:div>
    <w:div w:id="1836917608">
      <w:bodyDiv w:val="1"/>
      <w:marLeft w:val="0"/>
      <w:marRight w:val="0"/>
      <w:marTop w:val="0"/>
      <w:marBottom w:val="0"/>
      <w:divBdr>
        <w:top w:val="none" w:sz="0" w:space="0" w:color="auto"/>
        <w:left w:val="none" w:sz="0" w:space="0" w:color="auto"/>
        <w:bottom w:val="none" w:sz="0" w:space="0" w:color="auto"/>
        <w:right w:val="none" w:sz="0" w:space="0" w:color="auto"/>
      </w:divBdr>
    </w:div>
    <w:div w:id="212005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E9890C-2DCF-400F-9587-6019F94BEA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6EDD65-D15A-4F8F-91DA-1FDCC2C66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E788DD-CAA4-439D-AC51-C23EBC5FE5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23013</Words>
  <Characters>13118</Characters>
  <Application>Microsoft Office Word</Application>
  <DocSecurity>0</DocSecurity>
  <Lines>109</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2020-11-04T07:57:00Z</dcterms:created>
  <dcterms:modified xsi:type="dcterms:W3CDTF">2020-11-04T07:57:00Z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