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EC6588" w:rsidRDefault="004B0A41" w:rsidP="00666D98">
      <w:pPr>
        <w:spacing w:after="0" w:line="240" w:lineRule="auto"/>
        <w:ind w:firstLine="709"/>
        <w:rPr>
          <w:szCs w:val="28"/>
          <w:lang w:val="ru-RU"/>
        </w:rPr>
      </w:pPr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1C0E95" w:rsidRDefault="001C0E95" w:rsidP="00C33656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4B0A41" w:rsidRPr="006409B0" w:rsidRDefault="004B0A41" w:rsidP="00C33656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4B0A41" w:rsidRPr="006409B0" w:rsidRDefault="004B0A41" w:rsidP="00EB452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 xml:space="preserve">на </w:t>
      </w:r>
      <w:r w:rsidRPr="00316112">
        <w:rPr>
          <w:rFonts w:ascii="Times New Roman" w:hAnsi="Times New Roman" w:cs="Times New Roman"/>
          <w:b/>
        </w:rPr>
        <w:t>проект Закону України</w:t>
      </w:r>
      <w:r w:rsidR="009B655C" w:rsidRPr="00316112">
        <w:rPr>
          <w:rFonts w:ascii="Times New Roman" w:hAnsi="Times New Roman" w:cs="Times New Roman"/>
          <w:b/>
        </w:rPr>
        <w:t xml:space="preserve"> </w:t>
      </w:r>
      <w:r w:rsidRPr="00316112">
        <w:rPr>
          <w:rFonts w:ascii="Times New Roman" w:hAnsi="Times New Roman" w:cs="Times New Roman"/>
          <w:b/>
          <w:bCs/>
        </w:rPr>
        <w:t>«</w:t>
      </w:r>
      <w:r w:rsidR="002F1E4E" w:rsidRPr="00316112">
        <w:rPr>
          <w:rFonts w:ascii="Times New Roman" w:hAnsi="Times New Roman" w:cs="Times New Roman"/>
          <w:b/>
          <w:bCs/>
        </w:rPr>
        <w:t>П</w:t>
      </w:r>
      <w:r w:rsidR="00E43520" w:rsidRPr="00316112">
        <w:rPr>
          <w:rFonts w:ascii="Times New Roman" w:hAnsi="Times New Roman" w:cs="Times New Roman"/>
          <w:b/>
          <w:bCs/>
        </w:rPr>
        <w:t xml:space="preserve">ро </w:t>
      </w:r>
      <w:r w:rsidR="00EB452E" w:rsidRPr="00316112">
        <w:rPr>
          <w:rFonts w:ascii="Times New Roman" w:hAnsi="Times New Roman" w:cs="Times New Roman"/>
          <w:b/>
          <w:bCs/>
        </w:rPr>
        <w:t xml:space="preserve">внесення змін до Закону України </w:t>
      </w:r>
      <w:r w:rsidR="004E5C99" w:rsidRPr="00316112">
        <w:rPr>
          <w:rFonts w:ascii="Times New Roman" w:hAnsi="Times New Roman" w:cs="Times New Roman"/>
          <w:b/>
          <w:bCs/>
        </w:rPr>
        <w:br/>
      </w:r>
      <w:r w:rsidR="00EB452E" w:rsidRPr="00316112">
        <w:rPr>
          <w:rFonts w:ascii="Times New Roman" w:hAnsi="Times New Roman" w:cs="Times New Roman"/>
          <w:b/>
          <w:bCs/>
        </w:rPr>
        <w:t>«Про судоустрій і статус суддів» щодо визначення правових та організаційних</w:t>
      </w:r>
      <w:r w:rsidR="00EB452E" w:rsidRPr="00EB452E">
        <w:rPr>
          <w:rFonts w:ascii="Times New Roman" w:hAnsi="Times New Roman" w:cs="Times New Roman"/>
          <w:b/>
          <w:bCs/>
        </w:rPr>
        <w:t xml:space="preserve"> засад функціонування системи запобігання </w:t>
      </w:r>
      <w:r w:rsidR="004E5C99">
        <w:rPr>
          <w:rFonts w:ascii="Times New Roman" w:hAnsi="Times New Roman" w:cs="Times New Roman"/>
          <w:b/>
          <w:bCs/>
        </w:rPr>
        <w:br/>
      </w:r>
      <w:r w:rsidR="00EB452E" w:rsidRPr="00EB452E">
        <w:rPr>
          <w:rFonts w:ascii="Times New Roman" w:hAnsi="Times New Roman" w:cs="Times New Roman"/>
          <w:b/>
          <w:bCs/>
        </w:rPr>
        <w:t>корупції в судах</w:t>
      </w:r>
      <w:r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9B655C" w:rsidRPr="00B6561A" w:rsidRDefault="008B5D30" w:rsidP="00666D9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М</w:t>
      </w:r>
      <w:r w:rsidR="00AC6D2E" w:rsidRPr="006409B0">
        <w:rPr>
          <w:rFonts w:ascii="Times New Roman" w:hAnsi="Times New Roman" w:cs="Times New Roman"/>
        </w:rPr>
        <w:t>етою</w:t>
      </w:r>
      <w:r w:rsidRPr="006409B0">
        <w:rPr>
          <w:rFonts w:ascii="Times New Roman" w:hAnsi="Times New Roman" w:cs="Times New Roman"/>
        </w:rPr>
        <w:t xml:space="preserve"> законопроекту</w:t>
      </w:r>
      <w:r w:rsidR="00AC6D2E" w:rsidRPr="006409B0">
        <w:rPr>
          <w:rFonts w:ascii="Times New Roman" w:hAnsi="Times New Roman" w:cs="Times New Roman"/>
        </w:rPr>
        <w:t xml:space="preserve">, як зазначено в </w:t>
      </w:r>
      <w:r w:rsidR="00865481" w:rsidRPr="006409B0">
        <w:rPr>
          <w:rFonts w:ascii="Times New Roman" w:hAnsi="Times New Roman" w:cs="Times New Roman"/>
        </w:rPr>
        <w:t>п</w:t>
      </w:r>
      <w:r w:rsidR="00AC6D2E" w:rsidRPr="006409B0">
        <w:rPr>
          <w:rFonts w:ascii="Times New Roman" w:hAnsi="Times New Roman" w:cs="Times New Roman"/>
        </w:rPr>
        <w:t>ояснювальній записці</w:t>
      </w:r>
      <w:r w:rsidRPr="006409B0">
        <w:rPr>
          <w:rFonts w:ascii="Times New Roman" w:hAnsi="Times New Roman" w:cs="Times New Roman"/>
        </w:rPr>
        <w:t xml:space="preserve"> до нього</w:t>
      </w:r>
      <w:r w:rsidR="00AC6D2E" w:rsidRPr="006409B0">
        <w:rPr>
          <w:rFonts w:ascii="Times New Roman" w:hAnsi="Times New Roman" w:cs="Times New Roman"/>
        </w:rPr>
        <w:t xml:space="preserve">, є </w:t>
      </w:r>
      <w:r w:rsidR="00B6561A" w:rsidRPr="00B6561A">
        <w:rPr>
          <w:rFonts w:ascii="Times New Roman" w:hAnsi="Times New Roman" w:cs="Times New Roman"/>
        </w:rPr>
        <w:t>визначення</w:t>
      </w:r>
      <w:r w:rsidR="00B6561A" w:rsidRPr="00B6561A">
        <w:rPr>
          <w:rFonts w:ascii="Times New Roman" w:hAnsi="Times New Roman" w:cs="Times New Roman"/>
          <w:b/>
        </w:rPr>
        <w:t xml:space="preserve"> </w:t>
      </w:r>
      <w:r w:rsidR="00B6561A" w:rsidRPr="00B6561A">
        <w:rPr>
          <w:rFonts w:ascii="Times New Roman" w:hAnsi="Times New Roman" w:cs="Times New Roman"/>
        </w:rPr>
        <w:t>правових та організаційних засад функціонування системи запобігання корупції в судових органах та запровадження антикорупційних механізмів в судовій владі.</w:t>
      </w:r>
    </w:p>
    <w:p w:rsidR="007E2596" w:rsidRPr="007E2596" w:rsidRDefault="00AA0D69" w:rsidP="00220D04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 xml:space="preserve">Досягнення зазначеної мети </w:t>
      </w:r>
      <w:r w:rsidR="00D7121F" w:rsidRPr="006409B0">
        <w:rPr>
          <w:rFonts w:ascii="Times New Roman" w:hAnsi="Times New Roman" w:cs="Times New Roman"/>
        </w:rPr>
        <w:t>передбачається</w:t>
      </w:r>
      <w:r w:rsidR="00530050">
        <w:rPr>
          <w:rFonts w:ascii="Times New Roman" w:hAnsi="Times New Roman" w:cs="Times New Roman"/>
        </w:rPr>
        <w:t xml:space="preserve"> забезпечити</w:t>
      </w:r>
      <w:r w:rsidR="00D7121F" w:rsidRPr="006409B0">
        <w:rPr>
          <w:rFonts w:ascii="Times New Roman" w:hAnsi="Times New Roman" w:cs="Times New Roman"/>
        </w:rPr>
        <w:t xml:space="preserve"> шляхом </w:t>
      </w:r>
      <w:r w:rsidR="00220D04">
        <w:rPr>
          <w:rFonts w:ascii="Times New Roman" w:hAnsi="Times New Roman" w:cs="Times New Roman"/>
        </w:rPr>
        <w:t xml:space="preserve">внесення до </w:t>
      </w:r>
      <w:r w:rsidR="00220D04" w:rsidRPr="00220D04">
        <w:rPr>
          <w:rFonts w:ascii="Times New Roman" w:hAnsi="Times New Roman" w:cs="Times New Roman"/>
        </w:rPr>
        <w:t>Закону України «Про судоустрій і статус суддів»</w:t>
      </w:r>
      <w:r w:rsidR="00530050">
        <w:rPr>
          <w:rFonts w:ascii="Times New Roman" w:hAnsi="Times New Roman" w:cs="Times New Roman"/>
        </w:rPr>
        <w:t xml:space="preserve"> </w:t>
      </w:r>
      <w:r w:rsidR="00EC6588">
        <w:rPr>
          <w:rFonts w:ascii="Times New Roman" w:hAnsi="Times New Roman" w:cs="Times New Roman"/>
        </w:rPr>
        <w:t>(далі – Закон)</w:t>
      </w:r>
      <w:r w:rsidR="00EC6588" w:rsidRPr="00EC6588">
        <w:rPr>
          <w:rFonts w:ascii="Times New Roman" w:hAnsi="Times New Roman" w:cs="Times New Roman"/>
        </w:rPr>
        <w:t xml:space="preserve"> </w:t>
      </w:r>
      <w:r w:rsidR="00530050">
        <w:rPr>
          <w:rFonts w:ascii="Times New Roman" w:hAnsi="Times New Roman" w:cs="Times New Roman"/>
        </w:rPr>
        <w:t>змін</w:t>
      </w:r>
      <w:r w:rsidR="00220D04" w:rsidRPr="00220D04">
        <w:rPr>
          <w:rFonts w:ascii="Times New Roman" w:hAnsi="Times New Roman" w:cs="Times New Roman"/>
        </w:rPr>
        <w:t>, якими встанов</w:t>
      </w:r>
      <w:r w:rsidR="00530050">
        <w:rPr>
          <w:rFonts w:ascii="Times New Roman" w:hAnsi="Times New Roman" w:cs="Times New Roman"/>
        </w:rPr>
        <w:t>люється</w:t>
      </w:r>
      <w:r w:rsidR="00220D04" w:rsidRPr="00220D04">
        <w:rPr>
          <w:rFonts w:ascii="Times New Roman" w:hAnsi="Times New Roman" w:cs="Times New Roman"/>
        </w:rPr>
        <w:t xml:space="preserve"> </w:t>
      </w:r>
      <w:r w:rsidR="007E2596">
        <w:rPr>
          <w:rFonts w:ascii="Times New Roman" w:hAnsi="Times New Roman" w:cs="Times New Roman"/>
        </w:rPr>
        <w:t xml:space="preserve">обов’язок судді </w:t>
      </w:r>
      <w:r w:rsidR="007E2596" w:rsidRPr="007E2596">
        <w:rPr>
          <w:rFonts w:ascii="Times New Roman" w:hAnsi="Times New Roman" w:cs="Times New Roman"/>
        </w:rPr>
        <w:t>подавати декларацію особи, уповноваженої на виконання функцій держави або місцевого самоврядування, в порядку, передбаченому цим Законом</w:t>
      </w:r>
      <w:r w:rsidR="007E2596">
        <w:rPr>
          <w:rFonts w:ascii="Times New Roman" w:hAnsi="Times New Roman" w:cs="Times New Roman"/>
        </w:rPr>
        <w:t xml:space="preserve"> (п. 7 ч. 7 ст. 56 Закону в редакції проекту). </w:t>
      </w:r>
      <w:r w:rsidR="00464E3B">
        <w:rPr>
          <w:rFonts w:ascii="Times New Roman" w:hAnsi="Times New Roman" w:cs="Times New Roman"/>
        </w:rPr>
        <w:t xml:space="preserve">Суддя також зобов’язаний </w:t>
      </w:r>
      <w:r w:rsidR="00464E3B" w:rsidRPr="00464E3B">
        <w:rPr>
          <w:rFonts w:ascii="Times New Roman" w:hAnsi="Times New Roman" w:cs="Times New Roman"/>
        </w:rPr>
        <w:t>інформувати про відкриття валютного рахунка в установі банку-нерезидента, а також про суттєві зміни у майновому стані</w:t>
      </w:r>
      <w:r w:rsidR="00464E3B">
        <w:rPr>
          <w:rFonts w:ascii="Times New Roman" w:hAnsi="Times New Roman" w:cs="Times New Roman"/>
        </w:rPr>
        <w:t xml:space="preserve"> (п. 7-1 ч. ст. 56</w:t>
      </w:r>
      <w:r w:rsidR="00A86646">
        <w:rPr>
          <w:rFonts w:ascii="Times New Roman" w:hAnsi="Times New Roman" w:cs="Times New Roman"/>
        </w:rPr>
        <w:t>, ч. 1 ст. 59-6</w:t>
      </w:r>
      <w:r w:rsidR="00464E3B">
        <w:rPr>
          <w:rFonts w:ascii="Times New Roman" w:hAnsi="Times New Roman" w:cs="Times New Roman"/>
        </w:rPr>
        <w:t xml:space="preserve"> Закону в редакції проекту).</w:t>
      </w:r>
    </w:p>
    <w:p w:rsidR="007E2596" w:rsidRPr="00316112" w:rsidRDefault="003859A7" w:rsidP="00220D04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Вища кваліфікаційна комісія суддів України (далі – ВККС) наділяється повноваженням здійснювати </w:t>
      </w:r>
      <w:r w:rsidRPr="003859A7">
        <w:rPr>
          <w:rFonts w:ascii="Times New Roman" w:hAnsi="Times New Roman" w:cs="Times New Roman"/>
        </w:rPr>
        <w:t>моніторинг способу життя судді з метою встановлення відповідності його рівня життя наявним у нього та членів його сім’ї майну і одержаним ними доходам згідно з декларацією особи, уповноваженої на виконання функцій держави або місцевого самоврядування</w:t>
      </w:r>
      <w:r>
        <w:rPr>
          <w:rFonts w:ascii="Times New Roman" w:hAnsi="Times New Roman" w:cs="Times New Roman"/>
        </w:rPr>
        <w:t xml:space="preserve"> (ч. 1 ст. 59 Закону в редакції проекту), </w:t>
      </w:r>
      <w:r w:rsidR="004153A0" w:rsidRPr="004153A0">
        <w:rPr>
          <w:rFonts w:ascii="Times New Roman" w:hAnsi="Times New Roman" w:cs="Times New Roman"/>
        </w:rPr>
        <w:t xml:space="preserve">а також </w:t>
      </w:r>
      <w:r>
        <w:rPr>
          <w:rFonts w:ascii="Times New Roman" w:hAnsi="Times New Roman" w:cs="Times New Roman"/>
        </w:rPr>
        <w:t>контроль та повну перевірку декларацій суддів (ч. ч. 1, 2 ст. 59-4 Закону в редакції проекту).</w:t>
      </w:r>
      <w:r w:rsidR="0053492D">
        <w:rPr>
          <w:rFonts w:ascii="Times New Roman" w:hAnsi="Times New Roman" w:cs="Times New Roman"/>
        </w:rPr>
        <w:t xml:space="preserve"> Законопроектом пропонується визначити інформацію</w:t>
      </w:r>
      <w:r w:rsidR="0053492D" w:rsidRPr="0053492D">
        <w:rPr>
          <w:rFonts w:ascii="Times New Roman" w:hAnsi="Times New Roman" w:cs="Times New Roman"/>
        </w:rPr>
        <w:t>, що зазначається суддею в декларації особи, уповноваженої на виконання функцій держави або місцевого самоврядування</w:t>
      </w:r>
      <w:r w:rsidR="0053492D">
        <w:rPr>
          <w:rFonts w:ascii="Times New Roman" w:hAnsi="Times New Roman" w:cs="Times New Roman"/>
        </w:rPr>
        <w:t xml:space="preserve"> (ст. 59-2 Закону в редакції проекту)</w:t>
      </w:r>
      <w:r w:rsidR="00A62FDA">
        <w:rPr>
          <w:rFonts w:ascii="Times New Roman" w:hAnsi="Times New Roman" w:cs="Times New Roman"/>
        </w:rPr>
        <w:t xml:space="preserve">, положення щодо обліку і оприлюднення декларацій суддів (ст. 59-3 Закону в редакції </w:t>
      </w:r>
      <w:r w:rsidR="00A62FDA" w:rsidRPr="00316112">
        <w:rPr>
          <w:rFonts w:ascii="Times New Roman" w:hAnsi="Times New Roman" w:cs="Times New Roman"/>
        </w:rPr>
        <w:t>проекту) тощо.</w:t>
      </w:r>
    </w:p>
    <w:p w:rsidR="004153A0" w:rsidRPr="00316112" w:rsidRDefault="004153A0" w:rsidP="004153A0">
      <w:pPr>
        <w:pStyle w:val="a3"/>
        <w:ind w:firstLine="709"/>
        <w:rPr>
          <w:rFonts w:ascii="Times New Roman" w:hAnsi="Times New Roman" w:cs="Times New Roman"/>
        </w:rPr>
      </w:pPr>
      <w:r w:rsidRPr="00316112">
        <w:rPr>
          <w:rFonts w:ascii="Times New Roman" w:hAnsi="Times New Roman" w:cs="Times New Roman"/>
        </w:rPr>
        <w:t>Поданий з</w:t>
      </w:r>
      <w:r w:rsidR="004E5C99" w:rsidRPr="00316112">
        <w:rPr>
          <w:rFonts w:ascii="Times New Roman" w:hAnsi="Times New Roman" w:cs="Times New Roman"/>
        </w:rPr>
        <w:t>аконопроект</w:t>
      </w:r>
      <w:r w:rsidR="00EA3466" w:rsidRPr="00316112">
        <w:rPr>
          <w:rFonts w:ascii="Times New Roman" w:hAnsi="Times New Roman" w:cs="Times New Roman"/>
        </w:rPr>
        <w:t xml:space="preserve"> є альтернативним до </w:t>
      </w:r>
      <w:r w:rsidRPr="00316112">
        <w:rPr>
          <w:rFonts w:ascii="Times New Roman" w:hAnsi="Times New Roman" w:cs="Times New Roman"/>
        </w:rPr>
        <w:t xml:space="preserve">проекту Закону України </w:t>
      </w:r>
      <w:r w:rsidR="004E5C99" w:rsidRPr="00316112">
        <w:rPr>
          <w:rFonts w:ascii="Times New Roman" w:hAnsi="Times New Roman" w:cs="Times New Roman"/>
        </w:rPr>
        <w:t>«</w:t>
      </w:r>
      <w:r w:rsidRPr="00316112">
        <w:rPr>
          <w:rFonts w:ascii="Times New Roman" w:hAnsi="Times New Roman" w:cs="Times New Roman"/>
        </w:rPr>
        <w:t xml:space="preserve">Про внесення змін до Закону України «Про судоустрій і статус суддів» щодо моніторингу способу життя суддів та з метою приведення його норм у відповідність до рішення Конституційного Суду України від </w:t>
      </w:r>
      <w:r w:rsidR="004E5C99" w:rsidRPr="00316112">
        <w:rPr>
          <w:rFonts w:ascii="Times New Roman" w:hAnsi="Times New Roman" w:cs="Times New Roman"/>
        </w:rPr>
        <w:br/>
      </w:r>
      <w:r w:rsidRPr="00316112">
        <w:rPr>
          <w:rFonts w:ascii="Times New Roman" w:hAnsi="Times New Roman" w:cs="Times New Roman"/>
        </w:rPr>
        <w:t>27 жовтня 2020</w:t>
      </w:r>
      <w:r w:rsidRPr="004153A0">
        <w:rPr>
          <w:rFonts w:ascii="Times New Roman" w:hAnsi="Times New Roman" w:cs="Times New Roman"/>
        </w:rPr>
        <w:t xml:space="preserve"> року № 13-р/2020</w:t>
      </w:r>
      <w:r>
        <w:rPr>
          <w:rFonts w:ascii="Times New Roman" w:hAnsi="Times New Roman" w:cs="Times New Roman"/>
        </w:rPr>
        <w:t>»</w:t>
      </w:r>
      <w:r w:rsidR="00EA346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(реєстр. № </w:t>
      </w:r>
      <w:r w:rsidR="00EA3466">
        <w:rPr>
          <w:rFonts w:ascii="Times New Roman" w:hAnsi="Times New Roman" w:cs="Times New Roman"/>
        </w:rPr>
        <w:t>4292</w:t>
      </w:r>
      <w:r>
        <w:rPr>
          <w:rFonts w:ascii="Times New Roman" w:hAnsi="Times New Roman" w:cs="Times New Roman"/>
        </w:rPr>
        <w:t xml:space="preserve"> </w:t>
      </w:r>
      <w:r w:rsidRPr="004153A0">
        <w:rPr>
          <w:rFonts w:ascii="Times New Roman" w:hAnsi="Times New Roman" w:cs="Times New Roman"/>
        </w:rPr>
        <w:t>від 30.10.2020</w:t>
      </w:r>
      <w:r>
        <w:rPr>
          <w:rFonts w:ascii="Times New Roman" w:hAnsi="Times New Roman" w:cs="Times New Roman"/>
        </w:rPr>
        <w:t xml:space="preserve">; далі – </w:t>
      </w:r>
      <w:r>
        <w:rPr>
          <w:rFonts w:ascii="Times New Roman" w:hAnsi="Times New Roman" w:cs="Times New Roman"/>
        </w:rPr>
        <w:lastRenderedPageBreak/>
        <w:t>проект № 4292)</w:t>
      </w:r>
      <w:r w:rsidR="00EA3466">
        <w:rPr>
          <w:rFonts w:ascii="Times New Roman" w:hAnsi="Times New Roman" w:cs="Times New Roman"/>
        </w:rPr>
        <w:t xml:space="preserve">. </w:t>
      </w:r>
      <w:r w:rsidRPr="004153A0">
        <w:rPr>
          <w:rFonts w:ascii="Times New Roman" w:hAnsi="Times New Roman" w:cs="Times New Roman"/>
        </w:rPr>
        <w:t>При цьому</w:t>
      </w:r>
      <w:r w:rsidR="004E5C99" w:rsidRPr="00316112">
        <w:rPr>
          <w:rFonts w:ascii="Times New Roman" w:hAnsi="Times New Roman" w:cs="Times New Roman"/>
        </w:rPr>
        <w:t>,</w:t>
      </w:r>
      <w:r w:rsidRPr="00316112">
        <w:rPr>
          <w:rFonts w:ascii="Times New Roman" w:hAnsi="Times New Roman" w:cs="Times New Roman"/>
        </w:rPr>
        <w:t xml:space="preserve"> більшість </w:t>
      </w:r>
      <w:r w:rsidR="00362AB2" w:rsidRPr="00316112">
        <w:rPr>
          <w:rFonts w:ascii="Times New Roman" w:hAnsi="Times New Roman" w:cs="Times New Roman"/>
        </w:rPr>
        <w:t>зауважень, висловлених Головним управлінням у своєму висновку до проекту</w:t>
      </w:r>
      <w:r w:rsidRPr="00316112">
        <w:rPr>
          <w:rFonts w:ascii="Times New Roman" w:hAnsi="Times New Roman" w:cs="Times New Roman"/>
        </w:rPr>
        <w:t xml:space="preserve"> № 4292</w:t>
      </w:r>
      <w:r w:rsidR="00F17DA6" w:rsidRPr="00316112">
        <w:rPr>
          <w:rFonts w:ascii="Times New Roman" w:hAnsi="Times New Roman" w:cs="Times New Roman"/>
        </w:rPr>
        <w:t>,</w:t>
      </w:r>
      <w:r w:rsidR="008818AE" w:rsidRPr="00316112">
        <w:rPr>
          <w:rFonts w:ascii="Times New Roman" w:hAnsi="Times New Roman" w:cs="Times New Roman"/>
        </w:rPr>
        <w:t xml:space="preserve"> є актуальними й щодо альтернативного проекту</w:t>
      </w:r>
      <w:r w:rsidRPr="00316112">
        <w:rPr>
          <w:rFonts w:ascii="Times New Roman" w:hAnsi="Times New Roman" w:cs="Times New Roman"/>
        </w:rPr>
        <w:t>. З огляду на це Головне управління</w:t>
      </w:r>
      <w:r w:rsidR="004E5C99" w:rsidRPr="00316112">
        <w:rPr>
          <w:rFonts w:ascii="Times New Roman" w:hAnsi="Times New Roman" w:cs="Times New Roman"/>
        </w:rPr>
        <w:t>, проаналізувавши законопроект у стислий термін,</w:t>
      </w:r>
      <w:r w:rsidRPr="00316112">
        <w:rPr>
          <w:rFonts w:ascii="Times New Roman" w:hAnsi="Times New Roman" w:cs="Times New Roman"/>
        </w:rPr>
        <w:t xml:space="preserve"> вважає за необхідне зосередитися на тих проблемних положеннях, які притаманні лише </w:t>
      </w:r>
      <w:r w:rsidR="004E5C99" w:rsidRPr="00316112">
        <w:rPr>
          <w:rFonts w:ascii="Times New Roman" w:hAnsi="Times New Roman" w:cs="Times New Roman"/>
        </w:rPr>
        <w:t>проекту</w:t>
      </w:r>
      <w:r w:rsidRPr="00316112">
        <w:rPr>
          <w:rFonts w:ascii="Times New Roman" w:hAnsi="Times New Roman" w:cs="Times New Roman"/>
        </w:rPr>
        <w:t xml:space="preserve"> </w:t>
      </w:r>
      <w:r w:rsidR="00316112" w:rsidRPr="00316112">
        <w:rPr>
          <w:rFonts w:ascii="Times New Roman" w:hAnsi="Times New Roman" w:cs="Times New Roman"/>
        </w:rPr>
        <w:br/>
      </w:r>
      <w:r w:rsidRPr="00316112">
        <w:rPr>
          <w:rFonts w:ascii="Times New Roman" w:hAnsi="Times New Roman" w:cs="Times New Roman"/>
        </w:rPr>
        <w:t>№ 4292-1.</w:t>
      </w:r>
      <w:r w:rsidR="00354394" w:rsidRPr="00316112">
        <w:rPr>
          <w:rFonts w:ascii="Times New Roman" w:hAnsi="Times New Roman" w:cs="Times New Roman"/>
          <w:lang w:val="ru-RU"/>
        </w:rPr>
        <w:t xml:space="preserve"> </w:t>
      </w:r>
      <w:r w:rsidRPr="00316112">
        <w:rPr>
          <w:rFonts w:ascii="Times New Roman" w:hAnsi="Times New Roman" w:cs="Times New Roman"/>
        </w:rPr>
        <w:t>Йдеться, зокрема, про таке.</w:t>
      </w:r>
    </w:p>
    <w:p w:rsidR="001C178C" w:rsidRPr="004153A0" w:rsidRDefault="00F055C7" w:rsidP="004153A0">
      <w:pPr>
        <w:pStyle w:val="a3"/>
        <w:ind w:firstLine="709"/>
        <w:rPr>
          <w:rFonts w:ascii="Times New Roman" w:hAnsi="Times New Roman" w:cs="Times New Roman"/>
        </w:rPr>
      </w:pPr>
      <w:r w:rsidRPr="00316112">
        <w:rPr>
          <w:rFonts w:ascii="Times New Roman" w:hAnsi="Times New Roman" w:cs="Times New Roman"/>
          <w:b/>
          <w:bCs/>
        </w:rPr>
        <w:t>1</w:t>
      </w:r>
      <w:r w:rsidR="001C178C" w:rsidRPr="00316112">
        <w:rPr>
          <w:rFonts w:ascii="Times New Roman" w:hAnsi="Times New Roman" w:cs="Times New Roman"/>
          <w:b/>
          <w:bCs/>
        </w:rPr>
        <w:t xml:space="preserve">. </w:t>
      </w:r>
      <w:r w:rsidR="004153A0" w:rsidRPr="00316112">
        <w:rPr>
          <w:rFonts w:ascii="Times New Roman" w:hAnsi="Times New Roman" w:cs="Times New Roman"/>
        </w:rPr>
        <w:t>У</w:t>
      </w:r>
      <w:r w:rsidR="001C178C" w:rsidRPr="00316112">
        <w:rPr>
          <w:rFonts w:ascii="Times New Roman" w:hAnsi="Times New Roman" w:cs="Times New Roman"/>
          <w:b/>
          <w:bCs/>
        </w:rPr>
        <w:t xml:space="preserve"> </w:t>
      </w:r>
      <w:r w:rsidR="001C178C" w:rsidRPr="00316112">
        <w:rPr>
          <w:rFonts w:ascii="Times New Roman" w:hAnsi="Times New Roman" w:cs="Times New Roman"/>
        </w:rPr>
        <w:t xml:space="preserve">п. 7 ч. 7 ст. 56 Закону </w:t>
      </w:r>
      <w:r w:rsidR="004153A0" w:rsidRPr="00316112">
        <w:rPr>
          <w:rFonts w:ascii="Times New Roman" w:hAnsi="Times New Roman" w:cs="Times New Roman"/>
        </w:rPr>
        <w:t>(</w:t>
      </w:r>
      <w:r w:rsidR="001C178C" w:rsidRPr="00316112">
        <w:rPr>
          <w:rFonts w:ascii="Times New Roman" w:hAnsi="Times New Roman" w:cs="Times New Roman"/>
        </w:rPr>
        <w:t>в редакції проекту</w:t>
      </w:r>
      <w:r w:rsidR="004153A0" w:rsidRPr="00316112">
        <w:rPr>
          <w:rFonts w:ascii="Times New Roman" w:hAnsi="Times New Roman" w:cs="Times New Roman"/>
        </w:rPr>
        <w:t>)</w:t>
      </w:r>
      <w:r w:rsidR="001C178C" w:rsidRPr="00316112">
        <w:rPr>
          <w:rFonts w:ascii="Times New Roman" w:hAnsi="Times New Roman" w:cs="Times New Roman"/>
        </w:rPr>
        <w:t xml:space="preserve"> встановлюється обов’язок судді подавати декларацію особи, уповноваженої на виконання функцій держави або місцевого самоврядування, в порядку, передбаченому цим Законом. Однак </w:t>
      </w:r>
      <w:r w:rsidR="004E5C99" w:rsidRPr="00316112">
        <w:rPr>
          <w:rFonts w:ascii="Times New Roman" w:hAnsi="Times New Roman" w:cs="Times New Roman"/>
        </w:rPr>
        <w:t>у</w:t>
      </w:r>
      <w:r w:rsidR="001C178C" w:rsidRPr="00316112">
        <w:rPr>
          <w:rFonts w:ascii="Times New Roman" w:hAnsi="Times New Roman" w:cs="Times New Roman"/>
        </w:rPr>
        <w:t xml:space="preserve"> преамбулі до Закону вказано, що він визначає організацію судової влади та здійснення правосуддя в Україні. Порядок подання декларацій (щорічної, після звільнення або припинення повноважень (не пізніше 20 робочих</w:t>
      </w:r>
      <w:r w:rsidR="001C178C" w:rsidRPr="004153A0">
        <w:rPr>
          <w:rFonts w:ascii="Times New Roman" w:hAnsi="Times New Roman" w:cs="Times New Roman"/>
        </w:rPr>
        <w:t xml:space="preserve"> днів, а також наступного року після дати звільнення або припинення повноважень судді), особи, яка претендує на зайняття посади судді, нового повідомлення судді про суттєві зміни в майновому стані та про відкриття валютного рахунка в установі банка-нерезидента) не є питанням організації судової влади та здійснення правосуддя, а відтак виходить за межі предмета регулювання вказаного Закону. </w:t>
      </w:r>
    </w:p>
    <w:p w:rsidR="001C178C" w:rsidRDefault="00F055C7" w:rsidP="00666D98">
      <w:pPr>
        <w:spacing w:after="0" w:line="240" w:lineRule="auto"/>
        <w:ind w:firstLine="709"/>
        <w:jc w:val="both"/>
      </w:pPr>
      <w:r w:rsidRPr="004153A0">
        <w:rPr>
          <w:b/>
          <w:bCs/>
        </w:rPr>
        <w:t>2</w:t>
      </w:r>
      <w:r w:rsidR="00C345B2" w:rsidRPr="004153A0">
        <w:rPr>
          <w:b/>
          <w:bCs/>
        </w:rPr>
        <w:t>.</w:t>
      </w:r>
      <w:r w:rsidR="00C345B2" w:rsidRPr="004153A0">
        <w:t xml:space="preserve"> </w:t>
      </w:r>
      <w:r w:rsidR="007F11B5">
        <w:t xml:space="preserve">Відповідно до </w:t>
      </w:r>
      <w:r w:rsidR="007F11B5" w:rsidRPr="004153A0">
        <w:t xml:space="preserve">ч. 4 ст. 59 Закону </w:t>
      </w:r>
      <w:r w:rsidR="007F11B5">
        <w:t>(</w:t>
      </w:r>
      <w:r w:rsidR="007F11B5" w:rsidRPr="004153A0">
        <w:t>в редакції</w:t>
      </w:r>
      <w:r w:rsidR="007F11B5">
        <w:t xml:space="preserve"> проекту) п</w:t>
      </w:r>
      <w:r w:rsidR="00C345B2" w:rsidRPr="004153A0">
        <w:t xml:space="preserve">орядок здійснення моніторингу способу життя судді визначається </w:t>
      </w:r>
      <w:r w:rsidR="007F11B5">
        <w:t>ВККС</w:t>
      </w:r>
      <w:r w:rsidR="00C345B2" w:rsidRPr="004153A0">
        <w:t xml:space="preserve"> після консультацій з Вищою радою правосуддя</w:t>
      </w:r>
      <w:r w:rsidR="006D04C2">
        <w:t xml:space="preserve"> (далі – ВРП)</w:t>
      </w:r>
      <w:r w:rsidR="00C345B2" w:rsidRPr="004153A0">
        <w:t xml:space="preserve">, Радою суддів України та </w:t>
      </w:r>
      <w:r w:rsidR="00C345B2" w:rsidRPr="004153A0">
        <w:rPr>
          <w:i/>
          <w:iCs/>
        </w:rPr>
        <w:t>Національним агентством з питань запобігання корупції</w:t>
      </w:r>
      <w:r w:rsidR="00FF14F7" w:rsidRPr="004153A0">
        <w:rPr>
          <w:i/>
          <w:iCs/>
        </w:rPr>
        <w:t xml:space="preserve"> </w:t>
      </w:r>
      <w:r w:rsidR="00FF14F7" w:rsidRPr="004153A0">
        <w:t>(далі – НАЗК)</w:t>
      </w:r>
      <w:r w:rsidR="00C345B2" w:rsidRPr="00C345B2">
        <w:t>.</w:t>
      </w:r>
      <w:r w:rsidR="00C345B2">
        <w:t xml:space="preserve"> </w:t>
      </w:r>
      <w:r w:rsidR="005D36E4">
        <w:t>Після консультацій з вказаними суб’єктами також визначаються: 1) форма щорічної декларації судді; 2) порядок проведення контролю, а також повної перевірки декларації; 3) п</w:t>
      </w:r>
      <w:r w:rsidR="005D36E4" w:rsidRPr="00F47601">
        <w:t xml:space="preserve">орядок інформування </w:t>
      </w:r>
      <w:r w:rsidR="005D36E4">
        <w:t>ВККС</w:t>
      </w:r>
      <w:r w:rsidR="005D36E4" w:rsidRPr="00F47601">
        <w:t xml:space="preserve"> та форма повідомлення </w:t>
      </w:r>
      <w:r w:rsidR="005D36E4">
        <w:t xml:space="preserve">суддею </w:t>
      </w:r>
      <w:r w:rsidR="005D36E4" w:rsidRPr="00F47601">
        <w:t>про відкриття валютного рахунк</w:t>
      </w:r>
      <w:r w:rsidR="00354394">
        <w:t>у</w:t>
      </w:r>
      <w:r w:rsidR="005D36E4" w:rsidRPr="00F47601">
        <w:t xml:space="preserve"> в установі банку-нерезидента, а також про суттєві зміни у майновому стані</w:t>
      </w:r>
      <w:r w:rsidR="005D36E4">
        <w:t>; 4) п</w:t>
      </w:r>
      <w:r w:rsidR="005D36E4" w:rsidRPr="005D36E4">
        <w:t>орядок здійснення перевірки декларації судді</w:t>
      </w:r>
      <w:r w:rsidR="005D36E4">
        <w:t xml:space="preserve"> (див. </w:t>
      </w:r>
      <w:r w:rsidR="005D36E4">
        <w:rPr>
          <w:rStyle w:val="rvts9"/>
          <w:bCs/>
        </w:rPr>
        <w:t xml:space="preserve">ч. 1 ст. 59-1, </w:t>
      </w:r>
      <w:r w:rsidR="005D36E4">
        <w:t xml:space="preserve">ч. 3 ст. 59-4, </w:t>
      </w:r>
      <w:r w:rsidR="005D36E4" w:rsidRPr="00F47601">
        <w:t>ч. 3 ст. 59-6</w:t>
      </w:r>
      <w:r w:rsidR="005D36E4">
        <w:t xml:space="preserve">, ч. 5 ст. 60 Закону в редакції проекту). </w:t>
      </w:r>
      <w:r w:rsidR="007F11B5">
        <w:t>Зі змісту пропонованих положень неясно</w:t>
      </w:r>
      <w:r w:rsidR="00CD50CD">
        <w:t>, в якій мірі повинна бути врахована позиція зазначених суб’єктів та</w:t>
      </w:r>
      <w:r w:rsidR="00354394">
        <w:t xml:space="preserve"> якими можуть бути</w:t>
      </w:r>
      <w:r w:rsidR="00CD50CD">
        <w:t xml:space="preserve"> наслідки її неврахування.</w:t>
      </w:r>
      <w:r w:rsidR="00913D01">
        <w:t xml:space="preserve"> Тим самим, на наш погляд, порушується принцип </w:t>
      </w:r>
      <w:r w:rsidR="00913D01" w:rsidRPr="00913D01">
        <w:t>юридичної визначеності</w:t>
      </w:r>
      <w:r w:rsidR="00913D01">
        <w:t>.</w:t>
      </w:r>
    </w:p>
    <w:p w:rsidR="00844583" w:rsidRDefault="00316112" w:rsidP="00666D98">
      <w:pPr>
        <w:spacing w:after="0" w:line="240" w:lineRule="auto"/>
        <w:ind w:firstLine="709"/>
        <w:jc w:val="both"/>
      </w:pPr>
      <w:r>
        <w:rPr>
          <w:b/>
          <w:bCs/>
        </w:rPr>
        <w:t>3</w:t>
      </w:r>
      <w:r w:rsidR="00844583" w:rsidRPr="00844583">
        <w:rPr>
          <w:b/>
          <w:bCs/>
        </w:rPr>
        <w:t>.</w:t>
      </w:r>
      <w:r w:rsidR="00844583">
        <w:t xml:space="preserve"> Доволі суперечливими є положення примітки до ст. 59-2 Закону </w:t>
      </w:r>
      <w:r w:rsidR="006D04C2">
        <w:t>(</w:t>
      </w:r>
      <w:r w:rsidR="00844583">
        <w:t>в редакції проекту</w:t>
      </w:r>
      <w:r w:rsidR="006D04C2">
        <w:t>)</w:t>
      </w:r>
      <w:r w:rsidR="00844583">
        <w:t>, де вказано, що д</w:t>
      </w:r>
      <w:r w:rsidR="00844583" w:rsidRPr="00844583">
        <w:t xml:space="preserve">екларування цінного рухомого майна, зазначеного у цьому пункті (крім транспортних засобів та інших самохідних машин і механізмів), права на яке набуті до подання суддею першої декларації відповідно до вимог цього Закону, здійснюється </w:t>
      </w:r>
      <w:r w:rsidR="00844583" w:rsidRPr="0018375D">
        <w:rPr>
          <w:i/>
          <w:iCs/>
        </w:rPr>
        <w:t xml:space="preserve">з обов’язковим зазначенням інформації про набуття такого </w:t>
      </w:r>
      <w:r w:rsidR="00844583" w:rsidRPr="00316112">
        <w:rPr>
          <w:i/>
          <w:iCs/>
        </w:rPr>
        <w:t>майна до початку періоду здійснення діяльності судді або у такий період</w:t>
      </w:r>
      <w:r w:rsidR="00844583" w:rsidRPr="00316112">
        <w:t>. При цьому</w:t>
      </w:r>
      <w:r w:rsidR="006B3E58" w:rsidRPr="00316112">
        <w:t>,</w:t>
      </w:r>
      <w:r w:rsidR="00844583" w:rsidRPr="00316112">
        <w:t xml:space="preserve"> </w:t>
      </w:r>
      <w:r w:rsidR="00844583" w:rsidRPr="00316112">
        <w:rPr>
          <w:i/>
          <w:iCs/>
        </w:rPr>
        <w:t>зазначення даних щодо його вартості та дати набуття</w:t>
      </w:r>
      <w:r w:rsidR="00844583" w:rsidRPr="00316112">
        <w:t xml:space="preserve"> у власність, володіння або користування не є </w:t>
      </w:r>
      <w:r w:rsidR="00844583" w:rsidRPr="00316112">
        <w:rPr>
          <w:i/>
          <w:iCs/>
        </w:rPr>
        <w:t>обов’язковим</w:t>
      </w:r>
      <w:r w:rsidR="0018375D" w:rsidRPr="00316112">
        <w:t xml:space="preserve">. Тобто, з одного боку обов’язковим є зазначення інформації </w:t>
      </w:r>
      <w:r w:rsidR="00497842" w:rsidRPr="00316112">
        <w:t>про те, в який період було набуте цінне рухоме майно, а з іншого – дозволяється не зазначати дату набуття. На наш погляд, без зазначення дати набуття майна інформація у декларації буде неповною.</w:t>
      </w:r>
    </w:p>
    <w:p w:rsidR="005D36E4" w:rsidRPr="00C345B2" w:rsidRDefault="00316112" w:rsidP="00666D98">
      <w:pPr>
        <w:spacing w:after="0" w:line="240" w:lineRule="auto"/>
        <w:ind w:firstLine="709"/>
        <w:jc w:val="both"/>
      </w:pPr>
      <w:r>
        <w:rPr>
          <w:b/>
          <w:bCs/>
        </w:rPr>
        <w:lastRenderedPageBreak/>
        <w:t>4</w:t>
      </w:r>
      <w:r w:rsidR="008E580E" w:rsidRPr="00742FCD">
        <w:rPr>
          <w:b/>
          <w:bCs/>
        </w:rPr>
        <w:t>.</w:t>
      </w:r>
      <w:r w:rsidR="008E580E">
        <w:t xml:space="preserve"> </w:t>
      </w:r>
      <w:r w:rsidR="00742FCD">
        <w:t>Зве</w:t>
      </w:r>
      <w:r w:rsidR="006D04C2">
        <w:t xml:space="preserve">ртаємо увагу на </w:t>
      </w:r>
      <w:r w:rsidR="00354394">
        <w:t>те, що</w:t>
      </w:r>
      <w:r w:rsidR="006D04C2">
        <w:t xml:space="preserve"> у</w:t>
      </w:r>
      <w:r w:rsidR="00742FCD">
        <w:t xml:space="preserve"> законопроекті </w:t>
      </w:r>
      <w:r w:rsidR="00354394">
        <w:t xml:space="preserve">не вирішено </w:t>
      </w:r>
      <w:r w:rsidR="00742FCD">
        <w:t>питання щодо форми подання декларацій суддями</w:t>
      </w:r>
      <w:r w:rsidR="00354394">
        <w:t>.</w:t>
      </w:r>
      <w:r w:rsidR="00742FCD">
        <w:t xml:space="preserve"> </w:t>
      </w:r>
      <w:r w:rsidR="00354394">
        <w:t>З</w:t>
      </w:r>
      <w:r w:rsidR="00742FCD">
        <w:t>окрема,</w:t>
      </w:r>
      <w:r w:rsidR="00354394">
        <w:t xml:space="preserve"> неясно,</w:t>
      </w:r>
      <w:r w:rsidR="00742FCD">
        <w:t xml:space="preserve"> чи зберігається обов’язковість електронного декларування</w:t>
      </w:r>
      <w:r w:rsidR="00224C41">
        <w:t xml:space="preserve"> (див. ст. 59-3 Закону в редакції проекту)</w:t>
      </w:r>
      <w:r w:rsidR="00742FCD">
        <w:t>.</w:t>
      </w:r>
    </w:p>
    <w:p w:rsidR="00924AF1" w:rsidRDefault="00924AF1" w:rsidP="00666D98">
      <w:pPr>
        <w:spacing w:after="0" w:line="240" w:lineRule="auto"/>
        <w:ind w:firstLine="709"/>
        <w:jc w:val="both"/>
      </w:pPr>
    </w:p>
    <w:p w:rsidR="00357830" w:rsidRDefault="00357830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6409B0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357830" w:rsidRDefault="0035783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Default="00D55CBA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Вик.:  </w:t>
      </w:r>
      <w:bookmarkStart w:id="0" w:name="_GoBack"/>
      <w:bookmarkEnd w:id="0"/>
      <w:r w:rsidR="00DC14B2">
        <w:rPr>
          <w:sz w:val="20"/>
          <w:szCs w:val="20"/>
        </w:rPr>
        <w:t xml:space="preserve">В. 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p w:rsidR="00D80D68" w:rsidRPr="006409B0" w:rsidRDefault="00D80D68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D80D68" w:rsidRPr="006409B0" w:rsidSect="00354394">
      <w:headerReference w:type="default" r:id="rId8"/>
      <w:footerReference w:type="even" r:id="rId9"/>
      <w:headerReference w:type="first" r:id="rId10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F9C" w:rsidRDefault="009A6F9C" w:rsidP="004B0A41">
      <w:pPr>
        <w:spacing w:after="0" w:line="240" w:lineRule="auto"/>
      </w:pPr>
      <w:r>
        <w:separator/>
      </w:r>
    </w:p>
  </w:endnote>
  <w:endnote w:type="continuationSeparator" w:id="0">
    <w:p w:rsidR="009A6F9C" w:rsidRDefault="009A6F9C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F9C" w:rsidRDefault="009A6F9C" w:rsidP="004B0A41">
      <w:pPr>
        <w:spacing w:after="0" w:line="240" w:lineRule="auto"/>
      </w:pPr>
      <w:r>
        <w:separator/>
      </w:r>
    </w:p>
  </w:footnote>
  <w:footnote w:type="continuationSeparator" w:id="0">
    <w:p w:rsidR="009A6F9C" w:rsidRDefault="009A6F9C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D55CBA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7E5031">
      <w:rPr>
        <w:sz w:val="20"/>
        <w:szCs w:val="20"/>
      </w:rPr>
      <w:t>4292</w:t>
    </w:r>
    <w:r w:rsidR="00EB452E">
      <w:rPr>
        <w:sz w:val="20"/>
        <w:szCs w:val="20"/>
      </w:rPr>
      <w:t>-1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EB452E">
      <w:rPr>
        <w:sz w:val="20"/>
        <w:szCs w:val="20"/>
      </w:rPr>
      <w:t>03</w:t>
    </w:r>
    <w:r w:rsidR="00111235" w:rsidRPr="009B655C">
      <w:rPr>
        <w:sz w:val="20"/>
        <w:szCs w:val="20"/>
      </w:rPr>
      <w:t>.1</w:t>
    </w:r>
    <w:r w:rsidR="00EB452E">
      <w:rPr>
        <w:sz w:val="20"/>
        <w:szCs w:val="20"/>
      </w:rPr>
      <w:t>1</w:t>
    </w:r>
    <w:r w:rsidR="004B0A41" w:rsidRPr="009B655C">
      <w:rPr>
        <w:sz w:val="20"/>
        <w:szCs w:val="20"/>
      </w:rPr>
      <w:t>.20</w:t>
    </w:r>
    <w:r w:rsidR="007E5031">
      <w:rPr>
        <w:sz w:val="20"/>
        <w:szCs w:val="20"/>
      </w:rPr>
      <w:t>20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B655C" w:rsidRPr="009B655C" w:rsidRDefault="00EB452E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Д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</w:rPr>
      <w:t>Маслов та інші</w:t>
    </w:r>
    <w:r w:rsidR="009B655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4C5E"/>
    <w:rsid w:val="00035169"/>
    <w:rsid w:val="00036BC0"/>
    <w:rsid w:val="00040167"/>
    <w:rsid w:val="0004051E"/>
    <w:rsid w:val="0004118E"/>
    <w:rsid w:val="00042E25"/>
    <w:rsid w:val="000470AA"/>
    <w:rsid w:val="000519B1"/>
    <w:rsid w:val="0005318D"/>
    <w:rsid w:val="0005723B"/>
    <w:rsid w:val="00060F68"/>
    <w:rsid w:val="00061D8B"/>
    <w:rsid w:val="00064624"/>
    <w:rsid w:val="00065319"/>
    <w:rsid w:val="00070D20"/>
    <w:rsid w:val="0007159F"/>
    <w:rsid w:val="00072A41"/>
    <w:rsid w:val="000744B2"/>
    <w:rsid w:val="00075717"/>
    <w:rsid w:val="00081269"/>
    <w:rsid w:val="000816B8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2621"/>
    <w:rsid w:val="000A34E7"/>
    <w:rsid w:val="000A492F"/>
    <w:rsid w:val="000A4BBF"/>
    <w:rsid w:val="000B1A3A"/>
    <w:rsid w:val="000B2C3B"/>
    <w:rsid w:val="000B2E93"/>
    <w:rsid w:val="000B3D0F"/>
    <w:rsid w:val="000B5CEC"/>
    <w:rsid w:val="000B7241"/>
    <w:rsid w:val="000B7CD2"/>
    <w:rsid w:val="000C4C0C"/>
    <w:rsid w:val="000C78B4"/>
    <w:rsid w:val="000D6E24"/>
    <w:rsid w:val="000D757A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6DA4"/>
    <w:rsid w:val="000F735B"/>
    <w:rsid w:val="00103B38"/>
    <w:rsid w:val="00104243"/>
    <w:rsid w:val="001054A4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357B4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73A76"/>
    <w:rsid w:val="0018375D"/>
    <w:rsid w:val="00185D58"/>
    <w:rsid w:val="00185F4A"/>
    <w:rsid w:val="001918FD"/>
    <w:rsid w:val="001920E8"/>
    <w:rsid w:val="0019701E"/>
    <w:rsid w:val="00197982"/>
    <w:rsid w:val="001A0C31"/>
    <w:rsid w:val="001A2A4C"/>
    <w:rsid w:val="001A30D8"/>
    <w:rsid w:val="001B29B2"/>
    <w:rsid w:val="001B37FF"/>
    <w:rsid w:val="001B3DFB"/>
    <w:rsid w:val="001B3FF1"/>
    <w:rsid w:val="001B4CD2"/>
    <w:rsid w:val="001B6DC3"/>
    <w:rsid w:val="001B7076"/>
    <w:rsid w:val="001C050A"/>
    <w:rsid w:val="001C0E95"/>
    <w:rsid w:val="001C178C"/>
    <w:rsid w:val="001C2B0C"/>
    <w:rsid w:val="001C3BBA"/>
    <w:rsid w:val="001C401A"/>
    <w:rsid w:val="001C46BF"/>
    <w:rsid w:val="001C77C7"/>
    <w:rsid w:val="001D0C38"/>
    <w:rsid w:val="001D5EEB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06BCC"/>
    <w:rsid w:val="00213FBA"/>
    <w:rsid w:val="00220D04"/>
    <w:rsid w:val="00220D1C"/>
    <w:rsid w:val="00221A83"/>
    <w:rsid w:val="00223A3E"/>
    <w:rsid w:val="00224C41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94A"/>
    <w:rsid w:val="00254E0E"/>
    <w:rsid w:val="002568AF"/>
    <w:rsid w:val="00260535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5243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08B4"/>
    <w:rsid w:val="002F14F7"/>
    <w:rsid w:val="002F1520"/>
    <w:rsid w:val="002F1E4E"/>
    <w:rsid w:val="00301704"/>
    <w:rsid w:val="00303B03"/>
    <w:rsid w:val="00304767"/>
    <w:rsid w:val="003060A0"/>
    <w:rsid w:val="003061D5"/>
    <w:rsid w:val="00310095"/>
    <w:rsid w:val="003106CE"/>
    <w:rsid w:val="003114F9"/>
    <w:rsid w:val="00312CA4"/>
    <w:rsid w:val="00312E17"/>
    <w:rsid w:val="00313C55"/>
    <w:rsid w:val="00316112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38BA"/>
    <w:rsid w:val="003452B6"/>
    <w:rsid w:val="00354394"/>
    <w:rsid w:val="00357830"/>
    <w:rsid w:val="00360933"/>
    <w:rsid w:val="00360DA1"/>
    <w:rsid w:val="003629BD"/>
    <w:rsid w:val="00362AB2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59A7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E73D8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3A0"/>
    <w:rsid w:val="0041576E"/>
    <w:rsid w:val="00422290"/>
    <w:rsid w:val="004267B5"/>
    <w:rsid w:val="00426F1C"/>
    <w:rsid w:val="0042757B"/>
    <w:rsid w:val="00431390"/>
    <w:rsid w:val="00432A7E"/>
    <w:rsid w:val="00432ABC"/>
    <w:rsid w:val="00433922"/>
    <w:rsid w:val="00434085"/>
    <w:rsid w:val="00435A1D"/>
    <w:rsid w:val="004419B7"/>
    <w:rsid w:val="0044351A"/>
    <w:rsid w:val="00443E7B"/>
    <w:rsid w:val="0044408D"/>
    <w:rsid w:val="00446430"/>
    <w:rsid w:val="00446F33"/>
    <w:rsid w:val="00452224"/>
    <w:rsid w:val="00452925"/>
    <w:rsid w:val="00452C75"/>
    <w:rsid w:val="00453358"/>
    <w:rsid w:val="004543A0"/>
    <w:rsid w:val="00456327"/>
    <w:rsid w:val="00461BF2"/>
    <w:rsid w:val="00464C2A"/>
    <w:rsid w:val="00464E3B"/>
    <w:rsid w:val="00470081"/>
    <w:rsid w:val="00473E99"/>
    <w:rsid w:val="00473EB7"/>
    <w:rsid w:val="00474458"/>
    <w:rsid w:val="00485D03"/>
    <w:rsid w:val="00486C3B"/>
    <w:rsid w:val="004947F6"/>
    <w:rsid w:val="00494C21"/>
    <w:rsid w:val="0049538F"/>
    <w:rsid w:val="00496336"/>
    <w:rsid w:val="00496424"/>
    <w:rsid w:val="00496955"/>
    <w:rsid w:val="00497842"/>
    <w:rsid w:val="004A0A22"/>
    <w:rsid w:val="004A0A6B"/>
    <w:rsid w:val="004A48EA"/>
    <w:rsid w:val="004B0A41"/>
    <w:rsid w:val="004B1145"/>
    <w:rsid w:val="004B136B"/>
    <w:rsid w:val="004B1B30"/>
    <w:rsid w:val="004B3CF8"/>
    <w:rsid w:val="004B5DD8"/>
    <w:rsid w:val="004D05DB"/>
    <w:rsid w:val="004D440F"/>
    <w:rsid w:val="004D775B"/>
    <w:rsid w:val="004D7C3B"/>
    <w:rsid w:val="004E1593"/>
    <w:rsid w:val="004E1C16"/>
    <w:rsid w:val="004E3438"/>
    <w:rsid w:val="004E5483"/>
    <w:rsid w:val="004E5C99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16236"/>
    <w:rsid w:val="005204CF"/>
    <w:rsid w:val="00522CDE"/>
    <w:rsid w:val="00522DD9"/>
    <w:rsid w:val="00524068"/>
    <w:rsid w:val="00524457"/>
    <w:rsid w:val="005246B6"/>
    <w:rsid w:val="0052658D"/>
    <w:rsid w:val="005275BA"/>
    <w:rsid w:val="00530050"/>
    <w:rsid w:val="005342A3"/>
    <w:rsid w:val="0053492D"/>
    <w:rsid w:val="00534FCA"/>
    <w:rsid w:val="0053553A"/>
    <w:rsid w:val="00541850"/>
    <w:rsid w:val="00541BA5"/>
    <w:rsid w:val="00541FBC"/>
    <w:rsid w:val="00544364"/>
    <w:rsid w:val="00544AD4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80457"/>
    <w:rsid w:val="00581396"/>
    <w:rsid w:val="005922DE"/>
    <w:rsid w:val="00593666"/>
    <w:rsid w:val="005948FE"/>
    <w:rsid w:val="0059778C"/>
    <w:rsid w:val="005A29DB"/>
    <w:rsid w:val="005A4430"/>
    <w:rsid w:val="005A47BD"/>
    <w:rsid w:val="005A7840"/>
    <w:rsid w:val="005B4B06"/>
    <w:rsid w:val="005B4ECB"/>
    <w:rsid w:val="005C23B1"/>
    <w:rsid w:val="005C35DE"/>
    <w:rsid w:val="005D1FE8"/>
    <w:rsid w:val="005D25F5"/>
    <w:rsid w:val="005D36E4"/>
    <w:rsid w:val="005D38D5"/>
    <w:rsid w:val="005D5F49"/>
    <w:rsid w:val="005D6B1C"/>
    <w:rsid w:val="005D791D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A63"/>
    <w:rsid w:val="00615A02"/>
    <w:rsid w:val="006179F3"/>
    <w:rsid w:val="00620240"/>
    <w:rsid w:val="006256AD"/>
    <w:rsid w:val="0063046B"/>
    <w:rsid w:val="00632967"/>
    <w:rsid w:val="00634059"/>
    <w:rsid w:val="0063497A"/>
    <w:rsid w:val="00637017"/>
    <w:rsid w:val="006409B0"/>
    <w:rsid w:val="00641F19"/>
    <w:rsid w:val="00642928"/>
    <w:rsid w:val="00645451"/>
    <w:rsid w:val="00645658"/>
    <w:rsid w:val="006511EC"/>
    <w:rsid w:val="00653403"/>
    <w:rsid w:val="00654029"/>
    <w:rsid w:val="0065417F"/>
    <w:rsid w:val="00657684"/>
    <w:rsid w:val="0066049F"/>
    <w:rsid w:val="00661E92"/>
    <w:rsid w:val="00664F4B"/>
    <w:rsid w:val="00666D98"/>
    <w:rsid w:val="00673120"/>
    <w:rsid w:val="00673B40"/>
    <w:rsid w:val="006841E7"/>
    <w:rsid w:val="006842D6"/>
    <w:rsid w:val="00694CF8"/>
    <w:rsid w:val="0069707C"/>
    <w:rsid w:val="00697F0D"/>
    <w:rsid w:val="006A0380"/>
    <w:rsid w:val="006A15DF"/>
    <w:rsid w:val="006A1AFD"/>
    <w:rsid w:val="006A2782"/>
    <w:rsid w:val="006A2F4B"/>
    <w:rsid w:val="006A529A"/>
    <w:rsid w:val="006B1EAC"/>
    <w:rsid w:val="006B3E58"/>
    <w:rsid w:val="006B543A"/>
    <w:rsid w:val="006B7BF6"/>
    <w:rsid w:val="006B7E99"/>
    <w:rsid w:val="006C0813"/>
    <w:rsid w:val="006C15ED"/>
    <w:rsid w:val="006C1D57"/>
    <w:rsid w:val="006C3303"/>
    <w:rsid w:val="006C495A"/>
    <w:rsid w:val="006C746E"/>
    <w:rsid w:val="006D04C2"/>
    <w:rsid w:val="006E0309"/>
    <w:rsid w:val="006E198F"/>
    <w:rsid w:val="006E696E"/>
    <w:rsid w:val="006E6EC9"/>
    <w:rsid w:val="006F2E41"/>
    <w:rsid w:val="006F30BA"/>
    <w:rsid w:val="006F71B6"/>
    <w:rsid w:val="006F77A2"/>
    <w:rsid w:val="007006A4"/>
    <w:rsid w:val="00711677"/>
    <w:rsid w:val="007138D1"/>
    <w:rsid w:val="0071418C"/>
    <w:rsid w:val="007148FA"/>
    <w:rsid w:val="00715FA1"/>
    <w:rsid w:val="0071770E"/>
    <w:rsid w:val="00721885"/>
    <w:rsid w:val="00721B79"/>
    <w:rsid w:val="00722F97"/>
    <w:rsid w:val="00724954"/>
    <w:rsid w:val="0072524E"/>
    <w:rsid w:val="00726559"/>
    <w:rsid w:val="00731D99"/>
    <w:rsid w:val="007363CA"/>
    <w:rsid w:val="00740B59"/>
    <w:rsid w:val="00742FCD"/>
    <w:rsid w:val="007432E8"/>
    <w:rsid w:val="00745B74"/>
    <w:rsid w:val="00750A50"/>
    <w:rsid w:val="0075105C"/>
    <w:rsid w:val="00751BC0"/>
    <w:rsid w:val="00752AE3"/>
    <w:rsid w:val="00754F94"/>
    <w:rsid w:val="00755F73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95381"/>
    <w:rsid w:val="00796D74"/>
    <w:rsid w:val="007A1A90"/>
    <w:rsid w:val="007A29E1"/>
    <w:rsid w:val="007A3B6E"/>
    <w:rsid w:val="007A506D"/>
    <w:rsid w:val="007A5D6D"/>
    <w:rsid w:val="007A7909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596"/>
    <w:rsid w:val="007E2D28"/>
    <w:rsid w:val="007E5031"/>
    <w:rsid w:val="007E522F"/>
    <w:rsid w:val="007F0B9A"/>
    <w:rsid w:val="007F11B5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36B"/>
    <w:rsid w:val="008216E6"/>
    <w:rsid w:val="00825C14"/>
    <w:rsid w:val="0083102B"/>
    <w:rsid w:val="00832147"/>
    <w:rsid w:val="00836318"/>
    <w:rsid w:val="0084250D"/>
    <w:rsid w:val="00843E8D"/>
    <w:rsid w:val="00844583"/>
    <w:rsid w:val="00845970"/>
    <w:rsid w:val="00845EFF"/>
    <w:rsid w:val="00854E50"/>
    <w:rsid w:val="0085730F"/>
    <w:rsid w:val="00862BFD"/>
    <w:rsid w:val="00865481"/>
    <w:rsid w:val="0086749D"/>
    <w:rsid w:val="00867CA1"/>
    <w:rsid w:val="0087426D"/>
    <w:rsid w:val="00875BBA"/>
    <w:rsid w:val="00876243"/>
    <w:rsid w:val="0088071C"/>
    <w:rsid w:val="008818AE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B7D6F"/>
    <w:rsid w:val="008C4CF5"/>
    <w:rsid w:val="008C7BE9"/>
    <w:rsid w:val="008D0680"/>
    <w:rsid w:val="008D5112"/>
    <w:rsid w:val="008D5A8E"/>
    <w:rsid w:val="008D600E"/>
    <w:rsid w:val="008E1224"/>
    <w:rsid w:val="008E313B"/>
    <w:rsid w:val="008E575B"/>
    <w:rsid w:val="008E580E"/>
    <w:rsid w:val="008E6523"/>
    <w:rsid w:val="008E782F"/>
    <w:rsid w:val="008F0807"/>
    <w:rsid w:val="008F7141"/>
    <w:rsid w:val="00900B3E"/>
    <w:rsid w:val="009027C1"/>
    <w:rsid w:val="00905543"/>
    <w:rsid w:val="00905FFF"/>
    <w:rsid w:val="00906337"/>
    <w:rsid w:val="00910D64"/>
    <w:rsid w:val="00913D01"/>
    <w:rsid w:val="00917F7E"/>
    <w:rsid w:val="00921D3E"/>
    <w:rsid w:val="009223C5"/>
    <w:rsid w:val="009237B0"/>
    <w:rsid w:val="00924AF1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A6F9C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08B3"/>
    <w:rsid w:val="009D16D6"/>
    <w:rsid w:val="009D1B3B"/>
    <w:rsid w:val="009D3BC2"/>
    <w:rsid w:val="009D5E0B"/>
    <w:rsid w:val="009D5E50"/>
    <w:rsid w:val="009D5FC7"/>
    <w:rsid w:val="009D6176"/>
    <w:rsid w:val="009E04ED"/>
    <w:rsid w:val="009E153C"/>
    <w:rsid w:val="009E36A6"/>
    <w:rsid w:val="009E393A"/>
    <w:rsid w:val="009E5495"/>
    <w:rsid w:val="009E56EF"/>
    <w:rsid w:val="009F1164"/>
    <w:rsid w:val="009F4135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171"/>
    <w:rsid w:val="00A26889"/>
    <w:rsid w:val="00A27EDC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2FDA"/>
    <w:rsid w:val="00A652D3"/>
    <w:rsid w:val="00A6540F"/>
    <w:rsid w:val="00A67429"/>
    <w:rsid w:val="00A676DD"/>
    <w:rsid w:val="00A70002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714"/>
    <w:rsid w:val="00A84977"/>
    <w:rsid w:val="00A86646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02CF"/>
    <w:rsid w:val="00AC0335"/>
    <w:rsid w:val="00AC1917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3900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6C1E"/>
    <w:rsid w:val="00B46C60"/>
    <w:rsid w:val="00B4733B"/>
    <w:rsid w:val="00B474BA"/>
    <w:rsid w:val="00B509D0"/>
    <w:rsid w:val="00B60E46"/>
    <w:rsid w:val="00B611B6"/>
    <w:rsid w:val="00B62909"/>
    <w:rsid w:val="00B6561A"/>
    <w:rsid w:val="00B66B3F"/>
    <w:rsid w:val="00B679B6"/>
    <w:rsid w:val="00B71B45"/>
    <w:rsid w:val="00B741E0"/>
    <w:rsid w:val="00B7582E"/>
    <w:rsid w:val="00B8195A"/>
    <w:rsid w:val="00B911BD"/>
    <w:rsid w:val="00B97F00"/>
    <w:rsid w:val="00BA0ECE"/>
    <w:rsid w:val="00BA2102"/>
    <w:rsid w:val="00BA49F9"/>
    <w:rsid w:val="00BB10B5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17F0"/>
    <w:rsid w:val="00BD7555"/>
    <w:rsid w:val="00BD7972"/>
    <w:rsid w:val="00BD7F6A"/>
    <w:rsid w:val="00BE09F6"/>
    <w:rsid w:val="00BE1B53"/>
    <w:rsid w:val="00BE29D7"/>
    <w:rsid w:val="00BE5DD0"/>
    <w:rsid w:val="00BE5E4A"/>
    <w:rsid w:val="00BE6151"/>
    <w:rsid w:val="00BE6BC9"/>
    <w:rsid w:val="00BE7CC9"/>
    <w:rsid w:val="00BF05DB"/>
    <w:rsid w:val="00BF06E1"/>
    <w:rsid w:val="00BF4F06"/>
    <w:rsid w:val="00BF59D6"/>
    <w:rsid w:val="00BF7A00"/>
    <w:rsid w:val="00BF7AAA"/>
    <w:rsid w:val="00C02438"/>
    <w:rsid w:val="00C0503A"/>
    <w:rsid w:val="00C071A7"/>
    <w:rsid w:val="00C07F91"/>
    <w:rsid w:val="00C1062F"/>
    <w:rsid w:val="00C115BC"/>
    <w:rsid w:val="00C1165A"/>
    <w:rsid w:val="00C11B37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3656"/>
    <w:rsid w:val="00C345B2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93442"/>
    <w:rsid w:val="00CA0910"/>
    <w:rsid w:val="00CA112E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D50CD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55CBA"/>
    <w:rsid w:val="00D57CC4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0D68"/>
    <w:rsid w:val="00D8226A"/>
    <w:rsid w:val="00D87678"/>
    <w:rsid w:val="00D90464"/>
    <w:rsid w:val="00D929DD"/>
    <w:rsid w:val="00D93CE5"/>
    <w:rsid w:val="00D94987"/>
    <w:rsid w:val="00DA0F4A"/>
    <w:rsid w:val="00DA2077"/>
    <w:rsid w:val="00DA373B"/>
    <w:rsid w:val="00DA4093"/>
    <w:rsid w:val="00DB0837"/>
    <w:rsid w:val="00DB278E"/>
    <w:rsid w:val="00DC05CB"/>
    <w:rsid w:val="00DC14B2"/>
    <w:rsid w:val="00DC157A"/>
    <w:rsid w:val="00DC3155"/>
    <w:rsid w:val="00DC5956"/>
    <w:rsid w:val="00DD553C"/>
    <w:rsid w:val="00DE2F05"/>
    <w:rsid w:val="00DE5D49"/>
    <w:rsid w:val="00DF0355"/>
    <w:rsid w:val="00DF3618"/>
    <w:rsid w:val="00DF5CCA"/>
    <w:rsid w:val="00DF6360"/>
    <w:rsid w:val="00E0370B"/>
    <w:rsid w:val="00E03F6A"/>
    <w:rsid w:val="00E04417"/>
    <w:rsid w:val="00E04FDC"/>
    <w:rsid w:val="00E050D7"/>
    <w:rsid w:val="00E078FE"/>
    <w:rsid w:val="00E102BB"/>
    <w:rsid w:val="00E109A1"/>
    <w:rsid w:val="00E1130E"/>
    <w:rsid w:val="00E1142D"/>
    <w:rsid w:val="00E1293D"/>
    <w:rsid w:val="00E21621"/>
    <w:rsid w:val="00E244F0"/>
    <w:rsid w:val="00E26F7C"/>
    <w:rsid w:val="00E325AF"/>
    <w:rsid w:val="00E32B3E"/>
    <w:rsid w:val="00E32CFD"/>
    <w:rsid w:val="00E34B8E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8"/>
    <w:rsid w:val="00E97ADF"/>
    <w:rsid w:val="00EA0796"/>
    <w:rsid w:val="00EA3466"/>
    <w:rsid w:val="00EA6171"/>
    <w:rsid w:val="00EB09E7"/>
    <w:rsid w:val="00EB419E"/>
    <w:rsid w:val="00EB452E"/>
    <w:rsid w:val="00EB69A9"/>
    <w:rsid w:val="00EB6B2B"/>
    <w:rsid w:val="00EB7A5F"/>
    <w:rsid w:val="00EC1BB6"/>
    <w:rsid w:val="00EC48F1"/>
    <w:rsid w:val="00EC5B4F"/>
    <w:rsid w:val="00EC6588"/>
    <w:rsid w:val="00ED2910"/>
    <w:rsid w:val="00ED2A68"/>
    <w:rsid w:val="00ED4600"/>
    <w:rsid w:val="00ED484F"/>
    <w:rsid w:val="00ED7390"/>
    <w:rsid w:val="00ED75AB"/>
    <w:rsid w:val="00EE1E96"/>
    <w:rsid w:val="00EE3340"/>
    <w:rsid w:val="00EE44E0"/>
    <w:rsid w:val="00EE4FF7"/>
    <w:rsid w:val="00EF15B7"/>
    <w:rsid w:val="00EF1C51"/>
    <w:rsid w:val="00EF1FA4"/>
    <w:rsid w:val="00EF54F2"/>
    <w:rsid w:val="00F018D2"/>
    <w:rsid w:val="00F01B06"/>
    <w:rsid w:val="00F0410E"/>
    <w:rsid w:val="00F0512C"/>
    <w:rsid w:val="00F055C7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17DA6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7601"/>
    <w:rsid w:val="00F477E7"/>
    <w:rsid w:val="00F5136E"/>
    <w:rsid w:val="00F51FEA"/>
    <w:rsid w:val="00F52D61"/>
    <w:rsid w:val="00F57C47"/>
    <w:rsid w:val="00F6069C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979F0"/>
    <w:rsid w:val="00FA13FC"/>
    <w:rsid w:val="00FA24D5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14F7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C15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F4760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F47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80051-F25C-4770-A764-43315DA29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3490</Words>
  <Characters>1990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2020-11-17T11:18:00Z</dcterms:created>
  <dcterms:modified xsi:type="dcterms:W3CDTF">2020-11-17T11:18:00Z</dcterms:modified>
</cp:coreProperties>
</file>