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645D11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D96B95" w:rsidRDefault="0066657D" w:rsidP="00D96B95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D96B95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D96B95" w:rsidRDefault="001660AE" w:rsidP="00D96B95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D96B95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66657D" w:rsidRPr="00D96B95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D96B95" w:rsidRDefault="0087310C" w:rsidP="00D96B95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 w:eastAsia="uk-UA"/>
        </w:rPr>
      </w:pPr>
      <w:r w:rsidRPr="00D96B95">
        <w:rPr>
          <w:sz w:val="28"/>
          <w:szCs w:val="28"/>
          <w:lang w:val="uk-UA"/>
        </w:rPr>
        <w:t>«</w:t>
      </w:r>
      <w:r w:rsidR="009F5C5D" w:rsidRPr="00D96B95">
        <w:rPr>
          <w:sz w:val="28"/>
          <w:szCs w:val="28"/>
          <w:lang w:val="uk-UA"/>
        </w:rPr>
        <w:t>Про</w:t>
      </w:r>
      <w:r w:rsidR="0039239D" w:rsidRPr="00D96B95">
        <w:rPr>
          <w:sz w:val="28"/>
          <w:szCs w:val="28"/>
          <w:lang w:val="uk-UA"/>
        </w:rPr>
        <w:t xml:space="preserve"> </w:t>
      </w:r>
      <w:r w:rsidR="0039239D" w:rsidRPr="00D96B95">
        <w:rPr>
          <w:sz w:val="28"/>
          <w:szCs w:val="28"/>
          <w:lang w:val="uk-UA" w:eastAsia="uk-UA"/>
        </w:rPr>
        <w:t>внесення змін до деяких законів України щодо стимулювання розвитку енергосервісу</w:t>
      </w:r>
      <w:r w:rsidR="003A7A57" w:rsidRPr="00D96B95">
        <w:rPr>
          <w:sz w:val="28"/>
          <w:szCs w:val="28"/>
          <w:lang w:val="uk-UA"/>
        </w:rPr>
        <w:t>»</w:t>
      </w:r>
    </w:p>
    <w:p w:rsidR="00645D11" w:rsidRPr="00D96B95" w:rsidRDefault="00066BEA" w:rsidP="00D96B95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 w:eastAsia="uk-UA"/>
        </w:rPr>
      </w:pPr>
      <w:r w:rsidRPr="00D96B95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FA0D7E" w:rsidRPr="00D96B95">
        <w:rPr>
          <w:rFonts w:ascii="Times New Roman" w:eastAsia="Times New Roman" w:hAnsi="Times New Roman"/>
          <w:sz w:val="28"/>
          <w:szCs w:val="28"/>
          <w:lang w:val="uk-UA" w:eastAsia="uk-UA"/>
        </w:rPr>
        <w:t>4356 від 10.11.2020</w:t>
      </w:r>
      <w:r w:rsidRPr="00D96B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D96B9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28C3" w:rsidRPr="00D96B95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FA0D7E" w:rsidRPr="00D96B95">
        <w:rPr>
          <w:rFonts w:ascii="Times New Roman" w:hAnsi="Times New Roman"/>
          <w:sz w:val="28"/>
          <w:szCs w:val="28"/>
          <w:lang w:val="uk-UA"/>
        </w:rPr>
        <w:t>Камельчук Ю.О</w:t>
      </w:r>
      <w:r w:rsidR="00392785" w:rsidRPr="00D96B95">
        <w:rPr>
          <w:rFonts w:ascii="Times New Roman" w:hAnsi="Times New Roman"/>
          <w:sz w:val="28"/>
          <w:szCs w:val="28"/>
          <w:lang w:val="uk-UA"/>
        </w:rPr>
        <w:t>.</w:t>
      </w:r>
      <w:r w:rsidRPr="00D96B95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D96B95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B57C7F" w:rsidRDefault="00B57C7F" w:rsidP="00B57C7F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57C7F" w:rsidRPr="00B57C7F" w:rsidRDefault="00B57C7F" w:rsidP="00B57C7F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57C7F" w:rsidRPr="00B57C7F" w:rsidRDefault="00B57C7F" w:rsidP="00B57C7F">
      <w:pPr>
        <w:numPr>
          <w:ilvl w:val="0"/>
          <w:numId w:val="1"/>
        </w:numPr>
        <w:spacing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57C7F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B57C7F" w:rsidRPr="00B57C7F" w:rsidRDefault="00B57C7F" w:rsidP="00B57C7F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Законопроектом вносяться зміни до низки законів України з </w:t>
      </w:r>
      <w:r w:rsidRPr="00B57C7F">
        <w:rPr>
          <w:rFonts w:ascii="Times New Roman" w:hAnsi="Times New Roman"/>
          <w:sz w:val="28"/>
          <w:szCs w:val="28"/>
          <w:lang w:val="uk-UA" w:eastAsia="uk-UA"/>
        </w:rPr>
        <w:t>метою розширення сфер та напрямів застосування механізму енергосервісу.</w:t>
      </w:r>
    </w:p>
    <w:p w:rsidR="00B57C7F" w:rsidRPr="00B57C7F" w:rsidRDefault="00B57C7F" w:rsidP="00B57C7F">
      <w:pPr>
        <w:numPr>
          <w:ilvl w:val="0"/>
          <w:numId w:val="1"/>
        </w:numPr>
        <w:spacing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57C7F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B57C7F" w:rsidRPr="00B57C7F" w:rsidRDefault="00B57C7F" w:rsidP="00B57C7F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57C7F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B57C7F" w:rsidRPr="00B57C7F" w:rsidRDefault="00B57C7F" w:rsidP="00B57C7F">
      <w:pPr>
        <w:numPr>
          <w:ilvl w:val="0"/>
          <w:numId w:val="9"/>
        </w:numPr>
        <w:tabs>
          <w:tab w:val="num" w:pos="720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>Угодою про асоціацію (Глава 1 «Співробітництво у сфері енергетики, включаючи ядерну енергетику» Розділу V «Економічне та галузеве співробітництво», відповідно до якої сторони домовилися продовжувати та активізувати існуюче співробітництво V сфері енергетики з мстою підвищення енергетичної безпеки, конкурентоспроможності та стабільності, що є необхідним для просування економічного зростання та досягнення прогресу у напрямку ринкової інтеграції, в тому числі шляхом поступового зближення в енергетичному секторі).</w:t>
      </w:r>
    </w:p>
    <w:p w:rsidR="00B57C7F" w:rsidRPr="00B57C7F" w:rsidRDefault="00B57C7F" w:rsidP="00B57C7F">
      <w:pPr>
        <w:numPr>
          <w:ilvl w:val="0"/>
          <w:numId w:val="9"/>
        </w:numPr>
        <w:tabs>
          <w:tab w:val="num" w:pos="720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Директивою </w:t>
      </w:r>
      <w:r w:rsidRPr="00B57C7F">
        <w:rPr>
          <w:rFonts w:ascii="Times New Roman" w:hAnsi="Times New Roman"/>
          <w:bCs/>
          <w:sz w:val="28"/>
          <w:szCs w:val="28"/>
          <w:lang w:val="uk-UA"/>
        </w:rPr>
        <w:t xml:space="preserve">2009/73/ЄС від 13 липня 2009 року про спільні правила внутрішнього ринку природного газу та про скасування Директиви 2003/55/ЄС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>(OJ L 211, 14.8.2009, p. 94–136).</w:t>
      </w:r>
    </w:p>
    <w:p w:rsidR="00B57C7F" w:rsidRPr="00B57C7F" w:rsidRDefault="00B57C7F" w:rsidP="00B57C7F">
      <w:pPr>
        <w:numPr>
          <w:ilvl w:val="0"/>
          <w:numId w:val="9"/>
        </w:numPr>
        <w:tabs>
          <w:tab w:val="num" w:pos="720"/>
        </w:tabs>
        <w:spacing w:after="12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>Директивою 2012/27/ЄС Європейського Парламенту та Ради від 25 жовтня 2012 року щодо енергетичної ефективності, яка вносить зміни до Директиви 2009/125/ЄС та 2010/30/ЄС та відміняє дію Директив 2004/8/ЄС та 2006/32/ЄС (</w:t>
      </w:r>
      <w:r w:rsidRPr="00B57C7F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OJ L 315, 14.11.2012, p. 1–56).</w:t>
      </w:r>
    </w:p>
    <w:p w:rsidR="00B57C7F" w:rsidRPr="00B57C7F" w:rsidRDefault="00B57C7F" w:rsidP="00B57C7F">
      <w:pPr>
        <w:numPr>
          <w:ilvl w:val="0"/>
          <w:numId w:val="9"/>
        </w:num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>Договором про заснування Енергетичного Співтовариства</w:t>
      </w:r>
      <w:r w:rsidRPr="00B57C7F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B57C7F" w:rsidRPr="00B57C7F" w:rsidRDefault="00B57C7F" w:rsidP="00B57C7F">
      <w:pPr>
        <w:numPr>
          <w:ilvl w:val="0"/>
          <w:numId w:val="1"/>
        </w:numPr>
        <w:spacing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57C7F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B57C7F" w:rsidRPr="00B57C7F" w:rsidRDefault="00B57C7F" w:rsidP="00B57C7F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Впровадження самої послуги такої як енергосервіс у сфері енергетики відповідає статті 18 Директиви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 xml:space="preserve">2012/27/ЄС. </w:t>
      </w:r>
    </w:p>
    <w:p w:rsidR="00B57C7F" w:rsidRPr="00B57C7F" w:rsidRDefault="00B57C7F" w:rsidP="00B57C7F">
      <w:pPr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>В праві ЄС Директива 2012/27/ЄС враховує положення Директиви 2004/8/ЄС та Директиви 2006/32/ЄС та відміняє дію цих директив. Вимоги по імплементації Директиви 2004/8/ЄС та Директиви 2006/32/ЄС передбачені Додатком XXVII Угоди про асоціацію.</w:t>
      </w:r>
    </w:p>
    <w:p w:rsidR="00B57C7F" w:rsidRPr="00B57C7F" w:rsidRDefault="00B57C7F" w:rsidP="00B57C7F">
      <w:pPr>
        <w:spacing w:after="12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Вимоги до енергосервісного договору, які передбачено законопроектом узгоджуються з вимогами статті 18 Директиви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 xml:space="preserve">2012/27/ЄС, яка зобов’язує, що </w:t>
      </w:r>
      <w:r w:rsidRPr="00B57C7F">
        <w:rPr>
          <w:rFonts w:ascii="Times New Roman" w:eastAsia="Times New Roman" w:hAnsi="Times New Roman"/>
          <w:sz w:val="28"/>
          <w:szCs w:val="28"/>
          <w:lang w:val="uk-UA" w:eastAsia="uk-UA"/>
        </w:rPr>
        <w:t>наявні договори та положення енергетичних послуг, які повинні бути включені в такі договори повинні гарантувати економію енерг</w:t>
      </w:r>
      <w:r w:rsidR="00BA56AE">
        <w:rPr>
          <w:rFonts w:ascii="Times New Roman" w:eastAsia="Times New Roman" w:hAnsi="Times New Roman"/>
          <w:sz w:val="28"/>
          <w:szCs w:val="28"/>
          <w:lang w:val="uk-UA" w:eastAsia="uk-UA"/>
        </w:rPr>
        <w:t>ії та права кінцевих споживачів,</w:t>
      </w:r>
      <w:r w:rsidRPr="00B57C7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повинні бути типовими, тощо.</w:t>
      </w:r>
    </w:p>
    <w:p w:rsidR="00B57C7F" w:rsidRPr="00B57C7F" w:rsidRDefault="00B57C7F" w:rsidP="00B57C7F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B57C7F">
        <w:rPr>
          <w:rFonts w:ascii="Times New Roman" w:hAnsi="Times New Roman"/>
          <w:sz w:val="28"/>
          <w:szCs w:val="28"/>
          <w:lang w:val="uk-UA"/>
        </w:rPr>
        <w:t xml:space="preserve">Окремо треба зазначити, що п.5 Додатку XXVII-А Угоди про асоціацію зазначає, що «Україна проводить консультації з Європейською Комісією щодо сумісності з положеннями </w:t>
      </w:r>
      <w:r w:rsidRPr="00B57C7F">
        <w:rPr>
          <w:rFonts w:ascii="Times New Roman" w:hAnsi="Times New Roman"/>
          <w:iCs/>
          <w:sz w:val="28"/>
          <w:szCs w:val="28"/>
          <w:lang w:val="uk-UA"/>
        </w:rPr>
        <w:t>acquis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ЄС будь-якої законодавчої пропозиції у сферах, що мають бути наближені до законодавчих актів ЄС, перелічених у додатку XXVII-B, до набрання чинності такої пропозиції. Обов’язок проводити консультації стосується пропозицій про внесення змін до вже наближеного національного законодавчого акту, незалежно від юридичної форми такої пропозиції».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>Додаток XXVII-B Угоди про асоціацію визначає сферу «газ» (під яку підпадає Закон України «Про ринок природного газу») та у якій зазначено зобов’язання України щодо поступового наближення свого законодавства до переліку законодавчих актів права ЄС.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Враховуючи те, що в Закон України «Про ринок природного газу» було раніше внесено зміни, щодо приведення його положень до права ЄС, його можна вважати таким, що «вже наближений до законодавчих актів ЄС», а отже п.5 Додатку XXVII-А Угоди про асоціацію застосовується до цього законопроекту. Тому, Уряд України зобов’язаний провести консультації з Європейською Комісією по законопроекту, який вносить зміни до Закону України «Про ринок природного газу» з метою оцінки «сумісності законопроекту з відповідними положеннями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 xml:space="preserve">acquis </w:t>
      </w:r>
      <w:r w:rsidRPr="00B57C7F">
        <w:rPr>
          <w:rFonts w:ascii="Times New Roman" w:hAnsi="Times New Roman"/>
          <w:sz w:val="28"/>
          <w:szCs w:val="28"/>
          <w:lang w:val="uk-UA"/>
        </w:rPr>
        <w:t>ЄС».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У випадку проведення Урядом України консультацій з Європейською Комісією по законопроекту відповідно до п. 6 та 7 Додатку XXVII-А Угоди про асоціацію застосовуються наступні дії: «Україна утримується від введення в дію актів, поданих на проведення консультацій, зазначених у пункті 5 та 6, до того, як Європейська Комісія завершить оцінювання сумісності законопроекту з відповідними положеннями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>acquis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ЄС та у випадку, якщо Європейська Комісія дійшла висновку, що законопроект є несумісним із зазначеними положеннями </w:t>
      </w:r>
      <w:r w:rsidRPr="00B57C7F">
        <w:rPr>
          <w:rFonts w:ascii="Times New Roman" w:hAnsi="Times New Roman"/>
          <w:i/>
          <w:iCs/>
          <w:sz w:val="28"/>
          <w:szCs w:val="28"/>
          <w:lang w:val="uk-UA"/>
        </w:rPr>
        <w:t>acquis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ЄС».</w:t>
      </w:r>
    </w:p>
    <w:p w:rsid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C7F" w:rsidRPr="00B57C7F" w:rsidRDefault="00B57C7F" w:rsidP="00B57C7F">
      <w:pPr>
        <w:numPr>
          <w:ilvl w:val="0"/>
          <w:numId w:val="7"/>
        </w:numPr>
        <w:spacing w:after="120" w:line="240" w:lineRule="auto"/>
        <w:ind w:hanging="153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57C7F">
        <w:rPr>
          <w:rFonts w:ascii="Times New Roman" w:hAnsi="Times New Roman"/>
          <w:b/>
          <w:sz w:val="28"/>
          <w:szCs w:val="28"/>
          <w:lang w:val="uk-UA"/>
        </w:rPr>
        <w:lastRenderedPageBreak/>
        <w:t>Висновок Комітету з питань інтеграції України до ЄС.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Законопроект «Про </w:t>
      </w:r>
      <w:r w:rsidRPr="00B57C7F">
        <w:rPr>
          <w:rFonts w:ascii="Times New Roman" w:hAnsi="Times New Roman"/>
          <w:sz w:val="28"/>
          <w:szCs w:val="28"/>
          <w:lang w:val="uk-UA" w:eastAsia="uk-UA"/>
        </w:rPr>
        <w:t>внесення змін до деяких законів України щодо стимулювання розвитку енергосервісу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» (р.№ </w:t>
      </w:r>
      <w:r w:rsidRPr="00B57C7F">
        <w:rPr>
          <w:rFonts w:ascii="Times New Roman" w:eastAsia="Times New Roman" w:hAnsi="Times New Roman"/>
          <w:sz w:val="28"/>
          <w:szCs w:val="28"/>
          <w:lang w:val="uk-UA" w:eastAsia="uk-UA"/>
        </w:rPr>
        <w:t>4356 від 10.11.2020</w:t>
      </w:r>
      <w:r w:rsidRPr="00B57C7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н.д. Камельчук Ю.О.) </w:t>
      </w:r>
      <w:r w:rsidRPr="00B57C7F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Відповідно до пункту 5 Додатку ХХVII-A Угоди про асоціацію Україна зобов’язана провести консультації з Європейською Комісією з метою оцінки сумісності законопроекту з відповідними положеннями права ЄС. Тому, </w:t>
      </w:r>
      <w:r w:rsidRPr="00B57C7F">
        <w:rPr>
          <w:rFonts w:ascii="Times New Roman" w:hAnsi="Times New Roman"/>
          <w:b/>
          <w:sz w:val="28"/>
          <w:szCs w:val="28"/>
          <w:u w:val="single"/>
          <w:lang w:val="uk-UA"/>
        </w:rPr>
        <w:t>законопроект потребує отримання висновку від Європейської Комісії.</w:t>
      </w:r>
    </w:p>
    <w:p w:rsidR="00B57C7F" w:rsidRPr="00B57C7F" w:rsidRDefault="00B57C7F" w:rsidP="00B57C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7C7F">
        <w:rPr>
          <w:rFonts w:ascii="Times New Roman" w:hAnsi="Times New Roman"/>
          <w:sz w:val="28"/>
          <w:szCs w:val="28"/>
          <w:lang w:val="uk-UA"/>
        </w:rPr>
        <w:t xml:space="preserve">Враховуючи вищезазначене, </w:t>
      </w:r>
      <w:r w:rsidRPr="00B57C7F">
        <w:rPr>
          <w:rFonts w:ascii="Times New Roman" w:hAnsi="Times New Roman"/>
          <w:b/>
          <w:sz w:val="28"/>
          <w:szCs w:val="28"/>
          <w:u w:val="single"/>
          <w:lang w:val="uk-UA"/>
        </w:rPr>
        <w:t>необхідно відтермінувати розгляд</w:t>
      </w:r>
      <w:r w:rsidRPr="00B57C7F">
        <w:rPr>
          <w:rFonts w:ascii="Times New Roman" w:hAnsi="Times New Roman"/>
          <w:sz w:val="28"/>
          <w:szCs w:val="28"/>
          <w:lang w:val="uk-UA"/>
        </w:rPr>
        <w:t xml:space="preserve"> законопроекту до отримання відповідного висновку Європейської Комісії.</w:t>
      </w:r>
    </w:p>
    <w:p w:rsidR="00645D11" w:rsidRPr="007B15C0" w:rsidRDefault="00645D11" w:rsidP="007B15C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53CB" w:rsidRPr="007B15C0" w:rsidRDefault="002953CB" w:rsidP="007B15C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F4012" w:rsidRPr="007B15C0" w:rsidRDefault="001F4012" w:rsidP="007B15C0">
      <w:pPr>
        <w:spacing w:after="120" w:line="240" w:lineRule="auto"/>
        <w:jc w:val="both"/>
        <w:rPr>
          <w:rFonts w:ascii="Times New Roman" w:hAnsi="Times New Roman"/>
          <w:bCs/>
          <w:lang w:val="uk-UA"/>
        </w:rPr>
      </w:pPr>
    </w:p>
    <w:sectPr w:rsidR="001F4012" w:rsidRPr="007B15C0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6D8" w:rsidRDefault="004E06D8" w:rsidP="005E306B">
      <w:pPr>
        <w:spacing w:after="0" w:line="240" w:lineRule="auto"/>
      </w:pPr>
      <w:r>
        <w:separator/>
      </w:r>
    </w:p>
  </w:endnote>
  <w:endnote w:type="continuationSeparator" w:id="0">
    <w:p w:rsidR="004E06D8" w:rsidRDefault="004E06D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6AE" w:rsidRPr="00BA56AE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6AE" w:rsidRPr="00BA56AE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6D8" w:rsidRDefault="004E06D8" w:rsidP="005E306B">
      <w:pPr>
        <w:spacing w:after="0" w:line="240" w:lineRule="auto"/>
      </w:pPr>
      <w:r>
        <w:separator/>
      </w:r>
    </w:p>
  </w:footnote>
  <w:footnote w:type="continuationSeparator" w:id="0">
    <w:p w:rsidR="004E06D8" w:rsidRDefault="004E06D8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своєму засіданні </w:t>
      </w:r>
      <w:r w:rsidR="00392785">
        <w:rPr>
          <w:rFonts w:ascii="Times New Roman" w:eastAsia="MS Mincho" w:hAnsi="Times New Roman"/>
          <w:sz w:val="24"/>
          <w:szCs w:val="24"/>
          <w:lang w:val="uk-UA"/>
        </w:rPr>
        <w:t>3 лютого 2021 року (протокол № 61</w:t>
      </w:r>
      <w:r w:rsidR="00744AF4"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34E77"/>
    <w:multiLevelType w:val="hybridMultilevel"/>
    <w:tmpl w:val="ED0A3FA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71122"/>
    <w:multiLevelType w:val="hybridMultilevel"/>
    <w:tmpl w:val="FC6AF54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16"/>
  </w:num>
  <w:num w:numId="5">
    <w:abstractNumId w:val="6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4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0"/>
  </w:num>
  <w:num w:numId="16">
    <w:abstractNumId w:val="2"/>
  </w:num>
  <w:num w:numId="17">
    <w:abstractNumId w:val="9"/>
  </w:num>
  <w:num w:numId="18">
    <w:abstractNumId w:val="5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2796"/>
    <w:rsid w:val="000163C3"/>
    <w:rsid w:val="000256BD"/>
    <w:rsid w:val="000412BA"/>
    <w:rsid w:val="000434C4"/>
    <w:rsid w:val="00052418"/>
    <w:rsid w:val="0006485C"/>
    <w:rsid w:val="00066BEA"/>
    <w:rsid w:val="00074D19"/>
    <w:rsid w:val="00076CB6"/>
    <w:rsid w:val="000870F3"/>
    <w:rsid w:val="0009199C"/>
    <w:rsid w:val="000941D5"/>
    <w:rsid w:val="0009680B"/>
    <w:rsid w:val="000A349A"/>
    <w:rsid w:val="000A514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1AB4"/>
    <w:rsid w:val="001336A1"/>
    <w:rsid w:val="00134C66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80192"/>
    <w:rsid w:val="0018540E"/>
    <w:rsid w:val="00185707"/>
    <w:rsid w:val="00190EB5"/>
    <w:rsid w:val="0019108F"/>
    <w:rsid w:val="001966F0"/>
    <w:rsid w:val="001A2BB2"/>
    <w:rsid w:val="001C6555"/>
    <w:rsid w:val="001D3C24"/>
    <w:rsid w:val="001E044E"/>
    <w:rsid w:val="001E09AF"/>
    <w:rsid w:val="001E1433"/>
    <w:rsid w:val="001E2FDC"/>
    <w:rsid w:val="001F4012"/>
    <w:rsid w:val="001F4A75"/>
    <w:rsid w:val="00200189"/>
    <w:rsid w:val="00202207"/>
    <w:rsid w:val="00205DDD"/>
    <w:rsid w:val="0020780A"/>
    <w:rsid w:val="0021032F"/>
    <w:rsid w:val="00217B8E"/>
    <w:rsid w:val="00220053"/>
    <w:rsid w:val="00220A34"/>
    <w:rsid w:val="00223281"/>
    <w:rsid w:val="002270FA"/>
    <w:rsid w:val="00235CD7"/>
    <w:rsid w:val="00240E30"/>
    <w:rsid w:val="0024502D"/>
    <w:rsid w:val="00252550"/>
    <w:rsid w:val="002557E3"/>
    <w:rsid w:val="002651AE"/>
    <w:rsid w:val="00265740"/>
    <w:rsid w:val="00276B2A"/>
    <w:rsid w:val="00282021"/>
    <w:rsid w:val="00282F94"/>
    <w:rsid w:val="0028661A"/>
    <w:rsid w:val="002953CB"/>
    <w:rsid w:val="002955E3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7A84"/>
    <w:rsid w:val="00315D5C"/>
    <w:rsid w:val="00336C11"/>
    <w:rsid w:val="00340B49"/>
    <w:rsid w:val="00340F72"/>
    <w:rsid w:val="003429DF"/>
    <w:rsid w:val="003533C2"/>
    <w:rsid w:val="00355A5F"/>
    <w:rsid w:val="0036007C"/>
    <w:rsid w:val="003638EF"/>
    <w:rsid w:val="0036415F"/>
    <w:rsid w:val="00367541"/>
    <w:rsid w:val="00370312"/>
    <w:rsid w:val="00384615"/>
    <w:rsid w:val="00390C16"/>
    <w:rsid w:val="0039239D"/>
    <w:rsid w:val="00392785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F13B6"/>
    <w:rsid w:val="003F5796"/>
    <w:rsid w:val="00403D11"/>
    <w:rsid w:val="0041127A"/>
    <w:rsid w:val="004113A5"/>
    <w:rsid w:val="00414BC8"/>
    <w:rsid w:val="004160D6"/>
    <w:rsid w:val="004169C2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73C83"/>
    <w:rsid w:val="004852FA"/>
    <w:rsid w:val="0048573B"/>
    <w:rsid w:val="0049139E"/>
    <w:rsid w:val="00495667"/>
    <w:rsid w:val="00496104"/>
    <w:rsid w:val="004A1CE6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06D8"/>
    <w:rsid w:val="004E4F5C"/>
    <w:rsid w:val="004F49EC"/>
    <w:rsid w:val="004F7B8A"/>
    <w:rsid w:val="005060DC"/>
    <w:rsid w:val="0050620F"/>
    <w:rsid w:val="00510A3E"/>
    <w:rsid w:val="005163A0"/>
    <w:rsid w:val="0053172F"/>
    <w:rsid w:val="00537B82"/>
    <w:rsid w:val="00545919"/>
    <w:rsid w:val="00547144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4474"/>
    <w:rsid w:val="00586B3F"/>
    <w:rsid w:val="005944E8"/>
    <w:rsid w:val="005957B8"/>
    <w:rsid w:val="005A186A"/>
    <w:rsid w:val="005A4728"/>
    <w:rsid w:val="005B5203"/>
    <w:rsid w:val="005B71F5"/>
    <w:rsid w:val="005C674D"/>
    <w:rsid w:val="005D599B"/>
    <w:rsid w:val="005E2419"/>
    <w:rsid w:val="005E24F8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2FA5"/>
    <w:rsid w:val="00636A94"/>
    <w:rsid w:val="00637E10"/>
    <w:rsid w:val="00641565"/>
    <w:rsid w:val="00644B89"/>
    <w:rsid w:val="00645D11"/>
    <w:rsid w:val="00646894"/>
    <w:rsid w:val="00653DDA"/>
    <w:rsid w:val="00654352"/>
    <w:rsid w:val="006549BD"/>
    <w:rsid w:val="00654FF9"/>
    <w:rsid w:val="00656562"/>
    <w:rsid w:val="00657579"/>
    <w:rsid w:val="00660B13"/>
    <w:rsid w:val="0066469B"/>
    <w:rsid w:val="006651E5"/>
    <w:rsid w:val="0066623D"/>
    <w:rsid w:val="0066657D"/>
    <w:rsid w:val="00676DF3"/>
    <w:rsid w:val="00680273"/>
    <w:rsid w:val="00680FF7"/>
    <w:rsid w:val="00687B1B"/>
    <w:rsid w:val="006908B6"/>
    <w:rsid w:val="00692E29"/>
    <w:rsid w:val="00694409"/>
    <w:rsid w:val="006A6B50"/>
    <w:rsid w:val="006B39BE"/>
    <w:rsid w:val="006B59F5"/>
    <w:rsid w:val="006B6FD9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AE2"/>
    <w:rsid w:val="00710C50"/>
    <w:rsid w:val="00713E93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34981"/>
    <w:rsid w:val="00740017"/>
    <w:rsid w:val="007438D4"/>
    <w:rsid w:val="00744AF4"/>
    <w:rsid w:val="0075032B"/>
    <w:rsid w:val="0075056D"/>
    <w:rsid w:val="0075224D"/>
    <w:rsid w:val="0075314A"/>
    <w:rsid w:val="0075394E"/>
    <w:rsid w:val="00755BB4"/>
    <w:rsid w:val="0076364B"/>
    <w:rsid w:val="00764AE0"/>
    <w:rsid w:val="007762EF"/>
    <w:rsid w:val="00776C7E"/>
    <w:rsid w:val="00777F28"/>
    <w:rsid w:val="0078205E"/>
    <w:rsid w:val="00784EDD"/>
    <w:rsid w:val="007911C3"/>
    <w:rsid w:val="00793501"/>
    <w:rsid w:val="007949A4"/>
    <w:rsid w:val="007968EC"/>
    <w:rsid w:val="007A0252"/>
    <w:rsid w:val="007A4C8C"/>
    <w:rsid w:val="007A66B0"/>
    <w:rsid w:val="007A741B"/>
    <w:rsid w:val="007B15C0"/>
    <w:rsid w:val="007B3C21"/>
    <w:rsid w:val="007B63EF"/>
    <w:rsid w:val="007C233D"/>
    <w:rsid w:val="007C4D5A"/>
    <w:rsid w:val="007C7970"/>
    <w:rsid w:val="007D5F36"/>
    <w:rsid w:val="007E5928"/>
    <w:rsid w:val="007E5F69"/>
    <w:rsid w:val="007F5D91"/>
    <w:rsid w:val="008028A4"/>
    <w:rsid w:val="00802983"/>
    <w:rsid w:val="0080545D"/>
    <w:rsid w:val="00811F16"/>
    <w:rsid w:val="00814310"/>
    <w:rsid w:val="00816414"/>
    <w:rsid w:val="00820141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200B"/>
    <w:rsid w:val="0087310C"/>
    <w:rsid w:val="0088411B"/>
    <w:rsid w:val="00885FDC"/>
    <w:rsid w:val="008861F3"/>
    <w:rsid w:val="008A709A"/>
    <w:rsid w:val="008C5754"/>
    <w:rsid w:val="008C6841"/>
    <w:rsid w:val="008D7FE2"/>
    <w:rsid w:val="008E1C42"/>
    <w:rsid w:val="008E46C9"/>
    <w:rsid w:val="008F35E3"/>
    <w:rsid w:val="0090606B"/>
    <w:rsid w:val="00912BB6"/>
    <w:rsid w:val="0091417B"/>
    <w:rsid w:val="009233B9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37E1"/>
    <w:rsid w:val="00996966"/>
    <w:rsid w:val="009A234C"/>
    <w:rsid w:val="009A2BEE"/>
    <w:rsid w:val="009A4FC3"/>
    <w:rsid w:val="009A720A"/>
    <w:rsid w:val="009A7223"/>
    <w:rsid w:val="009B497A"/>
    <w:rsid w:val="009C09EC"/>
    <w:rsid w:val="009C60E7"/>
    <w:rsid w:val="009E20D1"/>
    <w:rsid w:val="009F5C5D"/>
    <w:rsid w:val="00A00059"/>
    <w:rsid w:val="00A01675"/>
    <w:rsid w:val="00A02F38"/>
    <w:rsid w:val="00A17034"/>
    <w:rsid w:val="00A17963"/>
    <w:rsid w:val="00A23887"/>
    <w:rsid w:val="00A238E9"/>
    <w:rsid w:val="00A44554"/>
    <w:rsid w:val="00A5169C"/>
    <w:rsid w:val="00A60747"/>
    <w:rsid w:val="00A655F1"/>
    <w:rsid w:val="00A7635E"/>
    <w:rsid w:val="00A76A60"/>
    <w:rsid w:val="00A820D2"/>
    <w:rsid w:val="00A833C8"/>
    <w:rsid w:val="00A85600"/>
    <w:rsid w:val="00A90F55"/>
    <w:rsid w:val="00A938E4"/>
    <w:rsid w:val="00A94B09"/>
    <w:rsid w:val="00A97644"/>
    <w:rsid w:val="00AB155B"/>
    <w:rsid w:val="00AD7F82"/>
    <w:rsid w:val="00AE07A5"/>
    <w:rsid w:val="00AE10AD"/>
    <w:rsid w:val="00AE45F2"/>
    <w:rsid w:val="00AE63C9"/>
    <w:rsid w:val="00AE7E91"/>
    <w:rsid w:val="00AF14B8"/>
    <w:rsid w:val="00B03DB8"/>
    <w:rsid w:val="00B066B3"/>
    <w:rsid w:val="00B077D5"/>
    <w:rsid w:val="00B252C2"/>
    <w:rsid w:val="00B266C0"/>
    <w:rsid w:val="00B27A05"/>
    <w:rsid w:val="00B311E8"/>
    <w:rsid w:val="00B40EB4"/>
    <w:rsid w:val="00B42750"/>
    <w:rsid w:val="00B42E5A"/>
    <w:rsid w:val="00B46268"/>
    <w:rsid w:val="00B5266D"/>
    <w:rsid w:val="00B54762"/>
    <w:rsid w:val="00B54FEC"/>
    <w:rsid w:val="00B55DE0"/>
    <w:rsid w:val="00B57C7F"/>
    <w:rsid w:val="00B633A8"/>
    <w:rsid w:val="00B80BEA"/>
    <w:rsid w:val="00B846E9"/>
    <w:rsid w:val="00B8761D"/>
    <w:rsid w:val="00B904D2"/>
    <w:rsid w:val="00B9087B"/>
    <w:rsid w:val="00B917C1"/>
    <w:rsid w:val="00BA22DB"/>
    <w:rsid w:val="00BA56AE"/>
    <w:rsid w:val="00BA5C74"/>
    <w:rsid w:val="00BB0F21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BF5CC2"/>
    <w:rsid w:val="00C018FA"/>
    <w:rsid w:val="00C01DDA"/>
    <w:rsid w:val="00C03924"/>
    <w:rsid w:val="00C0558A"/>
    <w:rsid w:val="00C069B8"/>
    <w:rsid w:val="00C11FB6"/>
    <w:rsid w:val="00C142C7"/>
    <w:rsid w:val="00C23F90"/>
    <w:rsid w:val="00C24BB9"/>
    <w:rsid w:val="00C26102"/>
    <w:rsid w:val="00C27AE9"/>
    <w:rsid w:val="00C31567"/>
    <w:rsid w:val="00C33E72"/>
    <w:rsid w:val="00C41FC5"/>
    <w:rsid w:val="00C51035"/>
    <w:rsid w:val="00C57A59"/>
    <w:rsid w:val="00C63C4A"/>
    <w:rsid w:val="00C65AE5"/>
    <w:rsid w:val="00C70369"/>
    <w:rsid w:val="00C72BE0"/>
    <w:rsid w:val="00C86266"/>
    <w:rsid w:val="00C87B58"/>
    <w:rsid w:val="00CA3C81"/>
    <w:rsid w:val="00CA7044"/>
    <w:rsid w:val="00CB1762"/>
    <w:rsid w:val="00CC0A91"/>
    <w:rsid w:val="00CC1C9A"/>
    <w:rsid w:val="00CC39A1"/>
    <w:rsid w:val="00CD22A5"/>
    <w:rsid w:val="00CD4A38"/>
    <w:rsid w:val="00CD5736"/>
    <w:rsid w:val="00CD6F46"/>
    <w:rsid w:val="00CD7D5F"/>
    <w:rsid w:val="00CE3E1B"/>
    <w:rsid w:val="00CE560F"/>
    <w:rsid w:val="00CE5DF4"/>
    <w:rsid w:val="00CE6A4B"/>
    <w:rsid w:val="00D044BB"/>
    <w:rsid w:val="00D050D3"/>
    <w:rsid w:val="00D11396"/>
    <w:rsid w:val="00D11480"/>
    <w:rsid w:val="00D1521C"/>
    <w:rsid w:val="00D212DE"/>
    <w:rsid w:val="00D22048"/>
    <w:rsid w:val="00D242C2"/>
    <w:rsid w:val="00D26FB8"/>
    <w:rsid w:val="00D3160A"/>
    <w:rsid w:val="00D32EA6"/>
    <w:rsid w:val="00D37FA2"/>
    <w:rsid w:val="00D52549"/>
    <w:rsid w:val="00D56662"/>
    <w:rsid w:val="00D567C6"/>
    <w:rsid w:val="00D5775D"/>
    <w:rsid w:val="00D57E1B"/>
    <w:rsid w:val="00D7702D"/>
    <w:rsid w:val="00D81E2D"/>
    <w:rsid w:val="00D87922"/>
    <w:rsid w:val="00D96B95"/>
    <w:rsid w:val="00DA3C70"/>
    <w:rsid w:val="00DA435D"/>
    <w:rsid w:val="00DA4444"/>
    <w:rsid w:val="00DA5551"/>
    <w:rsid w:val="00DB0AAF"/>
    <w:rsid w:val="00DB230E"/>
    <w:rsid w:val="00DB2B7D"/>
    <w:rsid w:val="00DC552A"/>
    <w:rsid w:val="00DC66B6"/>
    <w:rsid w:val="00DD0EF4"/>
    <w:rsid w:val="00DD2218"/>
    <w:rsid w:val="00DD54D9"/>
    <w:rsid w:val="00DE17DD"/>
    <w:rsid w:val="00DE1BB9"/>
    <w:rsid w:val="00DE3152"/>
    <w:rsid w:val="00DE466F"/>
    <w:rsid w:val="00DF0115"/>
    <w:rsid w:val="00DF3C5C"/>
    <w:rsid w:val="00DF4540"/>
    <w:rsid w:val="00E00FDF"/>
    <w:rsid w:val="00E1005B"/>
    <w:rsid w:val="00E1010A"/>
    <w:rsid w:val="00E11173"/>
    <w:rsid w:val="00E121EC"/>
    <w:rsid w:val="00E2477F"/>
    <w:rsid w:val="00E25B77"/>
    <w:rsid w:val="00E3096E"/>
    <w:rsid w:val="00E33F55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B0E12"/>
    <w:rsid w:val="00EB2DBA"/>
    <w:rsid w:val="00EB6F46"/>
    <w:rsid w:val="00EC2CB0"/>
    <w:rsid w:val="00EE042F"/>
    <w:rsid w:val="00EF0BCD"/>
    <w:rsid w:val="00F120D1"/>
    <w:rsid w:val="00F2405F"/>
    <w:rsid w:val="00F27979"/>
    <w:rsid w:val="00F33BD7"/>
    <w:rsid w:val="00F36E7E"/>
    <w:rsid w:val="00F40B60"/>
    <w:rsid w:val="00F45FC8"/>
    <w:rsid w:val="00F47486"/>
    <w:rsid w:val="00F55423"/>
    <w:rsid w:val="00F55A2A"/>
    <w:rsid w:val="00F61EF7"/>
    <w:rsid w:val="00F70633"/>
    <w:rsid w:val="00F767A6"/>
    <w:rsid w:val="00F768D9"/>
    <w:rsid w:val="00F85268"/>
    <w:rsid w:val="00F91DD3"/>
    <w:rsid w:val="00F93819"/>
    <w:rsid w:val="00FA0D7E"/>
    <w:rsid w:val="00FA17D4"/>
    <w:rsid w:val="00FA1F81"/>
    <w:rsid w:val="00FA28C3"/>
    <w:rsid w:val="00FA6228"/>
    <w:rsid w:val="00FB0948"/>
    <w:rsid w:val="00FB5123"/>
    <w:rsid w:val="00FC3DF4"/>
    <w:rsid w:val="00FD4256"/>
    <w:rsid w:val="00FE576E"/>
    <w:rsid w:val="00FF0660"/>
    <w:rsid w:val="00FF0E8A"/>
    <w:rsid w:val="00FF1841"/>
    <w:rsid w:val="00FF2933"/>
    <w:rsid w:val="00FF2AC7"/>
    <w:rsid w:val="00FF3963"/>
    <w:rsid w:val="00FF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D08D23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5">
    <w:name w:val="Звичайний5"/>
    <w:basedOn w:val="a"/>
    <w:rsid w:val="00FB51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3f3f3f3f3f3f3f3f3f">
    <w:name w:val="У3fк3fа3fз3fа3fт3fе3fл3fь3f"/>
    <w:basedOn w:val="a"/>
    <w:uiPriority w:val="99"/>
    <w:rsid w:val="00FA6228"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="Times New Roman" w:hAnsi="Liberation Serif" w:cs="Arial"/>
      <w:lang w:val="uk-UA"/>
    </w:rPr>
  </w:style>
  <w:style w:type="paragraph" w:customStyle="1" w:styleId="cdeef0ece0ebfcede8e9f2e5eaf1f2">
    <w:name w:val="Ícdîeeðf0ìecàe0ëebüfcíedèe8ée9 òf2åe5êeañf1òf2"/>
    <w:basedOn w:val="a"/>
    <w:uiPriority w:val="99"/>
    <w:rsid w:val="00FA6228"/>
    <w:pPr>
      <w:autoSpaceDE w:val="0"/>
      <w:autoSpaceDN w:val="0"/>
      <w:adjustRightInd w:val="0"/>
      <w:spacing w:before="120" w:after="0" w:line="240" w:lineRule="auto"/>
      <w:ind w:firstLine="567"/>
      <w:jc w:val="both"/>
    </w:pPr>
    <w:rPr>
      <w:rFonts w:ascii="Antiqua" w:eastAsia="Times New Roman" w:hAnsi="Liberation Serif" w:cs="Antiqua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EA695F-5E54-4CCA-8A62-84E89549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3</Pages>
  <Words>3136</Words>
  <Characters>1788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195</cp:revision>
  <cp:lastPrinted>2021-01-25T14:04:00Z</cp:lastPrinted>
  <dcterms:created xsi:type="dcterms:W3CDTF">2020-07-16T05:56:00Z</dcterms:created>
  <dcterms:modified xsi:type="dcterms:W3CDTF">2021-02-03T08:57:00Z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