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C41" w:rsidRDefault="00FC4AC1">
      <w:pPr>
        <w:pBdr>
          <w:top w:val="nil"/>
          <w:left w:val="nil"/>
          <w:bottom w:val="nil"/>
          <w:right w:val="nil"/>
          <w:between w:val="nil"/>
        </w:pBdr>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 xml:space="preserve">  ПОРІВНЯЛЬНА ТАБЛИЦЯ</w:t>
      </w:r>
    </w:p>
    <w:p w:rsidR="00CA6C41" w:rsidRDefault="00FC4AC1">
      <w:pPr>
        <w:pBdr>
          <w:top w:val="nil"/>
          <w:left w:val="nil"/>
          <w:bottom w:val="nil"/>
          <w:right w:val="nil"/>
          <w:between w:val="nil"/>
        </w:pBd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проекту Закону України «Про внесення змін до Податкового кодексу України та деяких інших законів України щодо забезпечення збалансованості бюджетних надходжень»   </w:t>
      </w:r>
    </w:p>
    <w:tbl>
      <w:tblPr>
        <w:tblStyle w:val="affffe"/>
        <w:tblW w:w="14865"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825"/>
        <w:gridCol w:w="8040"/>
      </w:tblGrid>
      <w:tr w:rsidR="00CA6C41">
        <w:tc>
          <w:tcPr>
            <w:tcW w:w="682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50" w:after="15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Зміст положення акта законодавства</w:t>
            </w:r>
          </w:p>
        </w:tc>
        <w:tc>
          <w:tcPr>
            <w:tcW w:w="804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50" w:after="15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Зміст відповідного положення проекту акта</w:t>
            </w:r>
          </w:p>
        </w:tc>
      </w:tr>
    </w:tbl>
    <w:p w:rsidR="00CA6C41" w:rsidRDefault="00FC4AC1">
      <w:pPr>
        <w:pBdr>
          <w:top w:val="nil"/>
          <w:left w:val="nil"/>
          <w:bottom w:val="nil"/>
          <w:right w:val="nil"/>
          <w:between w:val="nil"/>
        </w:pBdr>
        <w:tabs>
          <w:tab w:val="left" w:pos="307"/>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tbl>
      <w:tblPr>
        <w:tblStyle w:val="afffff"/>
        <w:tblW w:w="1488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88"/>
        <w:gridCol w:w="7796"/>
      </w:tblGrid>
      <w:tr w:rsidR="00CA6C41">
        <w:tc>
          <w:tcPr>
            <w:tcW w:w="708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Податковий Кодекс України</w:t>
            </w:r>
          </w:p>
        </w:tc>
        <w:tc>
          <w:tcPr>
            <w:tcW w:w="77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Податковий Кодекс України</w:t>
            </w:r>
          </w:p>
        </w:tc>
      </w:tr>
      <w:tr w:rsidR="00CA6C41">
        <w:tc>
          <w:tcPr>
            <w:tcW w:w="708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 ЗАГАЛЬНІ ПОЛОЖЕННЯ</w:t>
            </w:r>
          </w:p>
        </w:tc>
        <w:tc>
          <w:tcPr>
            <w:tcW w:w="77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 ЗАГАЛЬНІ ПОЛОЖЕННЯ</w:t>
            </w:r>
          </w:p>
        </w:tc>
      </w:tr>
      <w:tr w:rsidR="00CA6C41">
        <w:tc>
          <w:tcPr>
            <w:tcW w:w="708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14.</w:t>
            </w:r>
            <w:r>
              <w:rPr>
                <w:rFonts w:ascii="Times New Roman" w:eastAsia="Times New Roman" w:hAnsi="Times New Roman" w:cs="Times New Roman"/>
                <w:sz w:val="28"/>
                <w:szCs w:val="28"/>
              </w:rPr>
              <w:t xml:space="preserve"> Визначення понять</w:t>
            </w:r>
          </w:p>
        </w:tc>
        <w:tc>
          <w:tcPr>
            <w:tcW w:w="77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14.</w:t>
            </w:r>
            <w:r>
              <w:rPr>
                <w:rFonts w:ascii="Times New Roman" w:eastAsia="Times New Roman" w:hAnsi="Times New Roman" w:cs="Times New Roman"/>
                <w:sz w:val="28"/>
                <w:szCs w:val="28"/>
              </w:rPr>
              <w:t xml:space="preserve"> Визначення понять</w:t>
            </w:r>
          </w:p>
        </w:tc>
      </w:tr>
      <w:tr w:rsidR="00CA6C41">
        <w:tc>
          <w:tcPr>
            <w:tcW w:w="708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 У цьому Кодексі поняття вживаються в такому значенні:</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 У цьому Кодексі поняття вживаються в такому значенні:</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088"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tabs>
                <w:tab w:val="left" w:pos="5954"/>
              </w:tabs>
              <w:spacing w:before="240" w:after="0" w:line="240" w:lineRule="auto"/>
              <w:ind w:firstLine="28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14.1.97. лізингова (орендна) операція - господарська операція (крім операцій з фрахтування (чартеру) морських суден та інших транспортних засобів) фізичної чи юридичної особи (орендодавця), що передбачає надання основних засобів у користування </w:t>
            </w:r>
            <w:r>
              <w:rPr>
                <w:rFonts w:ascii="Times New Roman" w:eastAsia="Times New Roman" w:hAnsi="Times New Roman" w:cs="Times New Roman"/>
                <w:b/>
                <w:sz w:val="28"/>
                <w:szCs w:val="28"/>
              </w:rPr>
              <w:t>іншим</w:t>
            </w:r>
            <w:r>
              <w:rPr>
                <w:rFonts w:ascii="Times New Roman" w:eastAsia="Times New Roman" w:hAnsi="Times New Roman" w:cs="Times New Roman"/>
                <w:sz w:val="28"/>
                <w:szCs w:val="28"/>
              </w:rPr>
              <w:t xml:space="preserve"> фізичним </w:t>
            </w:r>
            <w:r>
              <w:rPr>
                <w:rFonts w:ascii="Times New Roman" w:eastAsia="Times New Roman" w:hAnsi="Times New Roman" w:cs="Times New Roman"/>
                <w:b/>
                <w:sz w:val="28"/>
                <w:szCs w:val="28"/>
              </w:rPr>
              <w:t>чи</w:t>
            </w:r>
            <w:r>
              <w:rPr>
                <w:rFonts w:ascii="Times New Roman" w:eastAsia="Times New Roman" w:hAnsi="Times New Roman" w:cs="Times New Roman"/>
                <w:sz w:val="28"/>
                <w:szCs w:val="28"/>
              </w:rPr>
              <w:t xml:space="preserve"> юридичним особам (орендарям) за плату та на визначений строк.</w:t>
            </w:r>
          </w:p>
          <w:p w:rsidR="00CA6C41" w:rsidRDefault="00FC4AC1">
            <w:pPr>
              <w:pBdr>
                <w:top w:val="nil"/>
                <w:left w:val="nil"/>
                <w:bottom w:val="nil"/>
                <w:right w:val="nil"/>
                <w:between w:val="nil"/>
              </w:pBdr>
              <w:tabs>
                <w:tab w:val="left" w:pos="5954"/>
              </w:tabs>
              <w:spacing w:before="240" w:after="0" w:line="240" w:lineRule="auto"/>
              <w:ind w:firstLine="28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tabs>
                <w:tab w:val="left" w:pos="5954"/>
              </w:tabs>
              <w:spacing w:after="240" w:line="240"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фінансовий лізинг (оренда) - господарська операція, що здійснюється фізичною або юридичною особою і передбачає передачу орендарю майна, яке є основним засобом згідно з цим Кодексом і придбане або виготовлене орендодавцем, а також усіх ризиків та </w:t>
            </w:r>
            <w:r>
              <w:rPr>
                <w:rFonts w:ascii="Times New Roman" w:eastAsia="Times New Roman" w:hAnsi="Times New Roman" w:cs="Times New Roman"/>
                <w:sz w:val="28"/>
                <w:szCs w:val="28"/>
              </w:rPr>
              <w:lastRenderedPageBreak/>
              <w:t>винагород, пов'язаних з правом користування та володіння об'єктом лізингу.</w:t>
            </w:r>
          </w:p>
          <w:p w:rsidR="00CA6C41" w:rsidRDefault="00FC4AC1">
            <w:pPr>
              <w:pBdr>
                <w:top w:val="nil"/>
                <w:left w:val="nil"/>
                <w:bottom w:val="nil"/>
                <w:right w:val="nil"/>
                <w:between w:val="nil"/>
              </w:pBdr>
              <w:tabs>
                <w:tab w:val="left" w:pos="5954"/>
              </w:tabs>
              <w:spacing w:before="24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Лізинг (оренда) вважається фінансовим, якщо лізинговий (орендний) договір містить одну з таких умов:</w:t>
            </w:r>
          </w:p>
        </w:tc>
        <w:tc>
          <w:tcPr>
            <w:tcW w:w="77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tabs>
                <w:tab w:val="left" w:pos="5954"/>
              </w:tabs>
              <w:spacing w:before="240" w:after="0" w:line="240" w:lineRule="auto"/>
              <w:ind w:firstLine="28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14.1.97. лізингова (орендна) операція - господарська операція (крім операцій з фрахтування (чартеру) морських суден та інших транспортних засобів) фізичної чи юридичної особи (орендодавця), що передбачає надання основних засобів у </w:t>
            </w:r>
            <w:r>
              <w:rPr>
                <w:rFonts w:ascii="Times New Roman" w:eastAsia="Times New Roman" w:hAnsi="Times New Roman" w:cs="Times New Roman"/>
                <w:b/>
                <w:sz w:val="28"/>
                <w:szCs w:val="28"/>
              </w:rPr>
              <w:t>володіння та</w:t>
            </w:r>
            <w:r>
              <w:rPr>
                <w:rFonts w:ascii="Times New Roman" w:eastAsia="Times New Roman" w:hAnsi="Times New Roman" w:cs="Times New Roman"/>
                <w:sz w:val="28"/>
                <w:szCs w:val="28"/>
              </w:rPr>
              <w:t xml:space="preserve"> користування  фізичним</w:t>
            </w:r>
            <w:r>
              <w:rPr>
                <w:rFonts w:ascii="Times New Roman" w:eastAsia="Times New Roman" w:hAnsi="Times New Roman" w:cs="Times New Roman"/>
                <w:b/>
                <w:sz w:val="28"/>
                <w:szCs w:val="28"/>
              </w:rPr>
              <w:t xml:space="preserve"> та/або </w:t>
            </w:r>
            <w:r>
              <w:rPr>
                <w:rFonts w:ascii="Times New Roman" w:eastAsia="Times New Roman" w:hAnsi="Times New Roman" w:cs="Times New Roman"/>
                <w:sz w:val="28"/>
                <w:szCs w:val="28"/>
              </w:rPr>
              <w:t xml:space="preserve"> юридичним особам (орендарям) за плату та на визначений строк.</w:t>
            </w:r>
          </w:p>
          <w:p w:rsidR="00CA6C41" w:rsidRDefault="00FC4AC1">
            <w:pPr>
              <w:pBdr>
                <w:top w:val="nil"/>
                <w:left w:val="nil"/>
                <w:bottom w:val="nil"/>
                <w:right w:val="nil"/>
                <w:between w:val="nil"/>
              </w:pBdr>
              <w:tabs>
                <w:tab w:val="left" w:pos="5954"/>
              </w:tabs>
              <w:spacing w:before="240"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tabs>
                <w:tab w:val="left" w:pos="5954"/>
              </w:tabs>
              <w:spacing w:after="24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 фінансовий лізинг (оренда) - господарська операція, що здійснюється юридичною особою і передбачає передачу орендарю майна, яке є основним засобом згідно з цим Кодексом і придбане або виготовлене орендодавцем, а також усіх ризиків та винагород, пов'язаних з правом користування та володіння об'єктом лізингу.</w:t>
            </w:r>
          </w:p>
          <w:p w:rsidR="00CA6C41" w:rsidRDefault="00FC4AC1">
            <w:pPr>
              <w:pBdr>
                <w:top w:val="nil"/>
                <w:left w:val="nil"/>
                <w:bottom w:val="nil"/>
                <w:right w:val="nil"/>
                <w:between w:val="nil"/>
              </w:pBdr>
              <w:tabs>
                <w:tab w:val="left" w:pos="5954"/>
              </w:tabs>
              <w:spacing w:before="240"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Лізинг (оренда) вважається фінансовим за наявності хоча б однієї з таких умов:</w:t>
            </w:r>
          </w:p>
        </w:tc>
      </w:tr>
      <w:tr w:rsidR="00CA6C41">
        <w:tc>
          <w:tcPr>
            <w:tcW w:w="7088"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tabs>
                <w:tab w:val="left" w:pos="5954"/>
              </w:tabs>
              <w:spacing w:before="240" w:after="24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 xml:space="preserve">14.1.135. оподаткування для цілей розділу IX цього Кодексу - оподаткування рентною платою за користування надрами для видобування корисних копалин, оподаткування рентною платою за користування надрами в цілях, не пов’язаних з видобуванням корисних копалин, оподаткування рентною платою за користування радіочастотним ресурсом України, оподаткування рентною платою за спеціальне використання води, </w:t>
            </w:r>
            <w:r>
              <w:rPr>
                <w:rFonts w:ascii="Times New Roman" w:eastAsia="Times New Roman" w:hAnsi="Times New Roman" w:cs="Times New Roman"/>
                <w:b/>
                <w:sz w:val="28"/>
                <w:szCs w:val="28"/>
                <w:highlight w:val="white"/>
              </w:rPr>
              <w:t>оподаткування рентною платою за спеціальне використання лісових ресурсів,</w:t>
            </w:r>
            <w:r>
              <w:rPr>
                <w:rFonts w:ascii="Times New Roman" w:eastAsia="Times New Roman" w:hAnsi="Times New Roman" w:cs="Times New Roman"/>
                <w:sz w:val="28"/>
                <w:szCs w:val="28"/>
                <w:highlight w:val="white"/>
              </w:rPr>
              <w:t xml:space="preserve"> оподаткування рентною платою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rsidR="00CA6C41" w:rsidRDefault="00FC4AC1">
            <w:pPr>
              <w:pBdr>
                <w:top w:val="nil"/>
                <w:left w:val="nil"/>
                <w:bottom w:val="nil"/>
                <w:right w:val="nil"/>
                <w:between w:val="nil"/>
              </w:pBdr>
              <w:tabs>
                <w:tab w:val="left" w:pos="5954"/>
              </w:tabs>
              <w:spacing w:before="240" w:after="24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CA6C41" w:rsidRDefault="00FC4AC1">
            <w:pPr>
              <w:pBdr>
                <w:top w:val="nil"/>
                <w:left w:val="nil"/>
                <w:bottom w:val="nil"/>
                <w:right w:val="nil"/>
                <w:between w:val="nil"/>
              </w:pBdr>
              <w:tabs>
                <w:tab w:val="left" w:pos="5954"/>
              </w:tabs>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14.1.149. платник рентної плати для цілей розділу IX цього Кодексу - платник рентної плати за користування надрами для видобування корисних копалин, платник рентної плати за користування надрами в цілях, не пов’язаних з видобуванням корисних копалин, платник </w:t>
            </w:r>
            <w:r>
              <w:rPr>
                <w:rFonts w:ascii="Times New Roman" w:eastAsia="Times New Roman" w:hAnsi="Times New Roman" w:cs="Times New Roman"/>
                <w:sz w:val="28"/>
                <w:szCs w:val="28"/>
              </w:rPr>
              <w:lastRenderedPageBreak/>
              <w:t xml:space="preserve">рентної плати за користування радіочастотним ресурсом України, платник рентної плати за спеціальне використання води, </w:t>
            </w:r>
            <w:r>
              <w:rPr>
                <w:rFonts w:ascii="Times New Roman" w:eastAsia="Times New Roman" w:hAnsi="Times New Roman" w:cs="Times New Roman"/>
                <w:b/>
                <w:sz w:val="28"/>
                <w:szCs w:val="28"/>
              </w:rPr>
              <w:t>платник рентної плати за спеціальне використання лісових ресурсів,</w:t>
            </w:r>
            <w:r>
              <w:rPr>
                <w:rFonts w:ascii="Times New Roman" w:eastAsia="Times New Roman" w:hAnsi="Times New Roman" w:cs="Times New Roman"/>
                <w:sz w:val="28"/>
                <w:szCs w:val="28"/>
              </w:rPr>
              <w:t xml:space="preserve"> платник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rsidR="00CA6C41" w:rsidRDefault="00CA6C41">
            <w:pPr>
              <w:pBdr>
                <w:top w:val="nil"/>
                <w:left w:val="nil"/>
                <w:bottom w:val="nil"/>
                <w:right w:val="nil"/>
                <w:between w:val="nil"/>
              </w:pBdr>
              <w:tabs>
                <w:tab w:val="left" w:pos="5954"/>
              </w:tabs>
              <w:spacing w:before="240" w:after="0" w:line="240" w:lineRule="auto"/>
              <w:ind w:firstLine="283"/>
              <w:jc w:val="both"/>
              <w:rPr>
                <w:rFonts w:ascii="Times New Roman" w:eastAsia="Times New Roman" w:hAnsi="Times New Roman" w:cs="Times New Roman"/>
                <w:sz w:val="28"/>
                <w:szCs w:val="28"/>
              </w:rPr>
            </w:pPr>
          </w:p>
        </w:tc>
        <w:tc>
          <w:tcPr>
            <w:tcW w:w="77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tabs>
                <w:tab w:val="left" w:pos="5954"/>
              </w:tabs>
              <w:spacing w:before="240" w:after="24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14.1.135. оподаткування для цілей розділу IX цього Кодексу - оподаткування рентною платою за користування надрами для видобування корисних копалин, оподаткування рентною платою за користування надрами в цілях, не пов’язаних з видобуванням корисних копалин, оподаткування рентною платою за користування радіочастотним ресурсом України, оподаткування рентною платою за спеціальне використання води, оподаткування рентною платою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rsidR="00CA6C41" w:rsidRDefault="00FC4AC1">
            <w:pPr>
              <w:pBdr>
                <w:top w:val="nil"/>
                <w:left w:val="nil"/>
                <w:bottom w:val="nil"/>
                <w:right w:val="nil"/>
                <w:between w:val="nil"/>
              </w:pBdr>
              <w:tabs>
                <w:tab w:val="left" w:pos="5954"/>
              </w:tabs>
              <w:spacing w:before="240" w:after="24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CA6C41" w:rsidRDefault="00FC4AC1">
            <w:pPr>
              <w:pBdr>
                <w:top w:val="nil"/>
                <w:left w:val="nil"/>
                <w:bottom w:val="nil"/>
                <w:right w:val="nil"/>
                <w:between w:val="nil"/>
              </w:pBdr>
              <w:tabs>
                <w:tab w:val="left" w:pos="5954"/>
              </w:tabs>
              <w:spacing w:before="240" w:after="24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p>
          <w:p w:rsidR="00CA6C41" w:rsidRDefault="00FC4AC1">
            <w:pPr>
              <w:pBdr>
                <w:top w:val="nil"/>
                <w:left w:val="nil"/>
                <w:bottom w:val="nil"/>
                <w:right w:val="nil"/>
                <w:between w:val="nil"/>
              </w:pBdr>
              <w:tabs>
                <w:tab w:val="left" w:pos="5954"/>
              </w:tabs>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14.1.149. платник рентної плати для цілей розділу IX цього Кодексу - платник рентної плати за користування надрами для видобування корисних копалин, платник рентної плати за користування надрами в цілях, не пов’язаних з видобуванням корисних копалин, платник рентної плати за користування радіочастотним ресурсом України, платник рентної плати за </w:t>
            </w:r>
            <w:r>
              <w:rPr>
                <w:rFonts w:ascii="Times New Roman" w:eastAsia="Times New Roman" w:hAnsi="Times New Roman" w:cs="Times New Roman"/>
                <w:sz w:val="28"/>
                <w:szCs w:val="28"/>
              </w:rPr>
              <w:lastRenderedPageBreak/>
              <w:t>спеціальне використання води, платник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rsidR="00CA6C41" w:rsidRDefault="00CA6C41">
            <w:pPr>
              <w:pBdr>
                <w:top w:val="nil"/>
                <w:left w:val="nil"/>
                <w:bottom w:val="nil"/>
                <w:right w:val="nil"/>
                <w:between w:val="nil"/>
              </w:pBdr>
              <w:tabs>
                <w:tab w:val="left" w:pos="5954"/>
              </w:tabs>
              <w:spacing w:before="240" w:after="0" w:line="240" w:lineRule="auto"/>
              <w:ind w:firstLine="283"/>
              <w:jc w:val="both"/>
              <w:rPr>
                <w:rFonts w:ascii="Times New Roman" w:eastAsia="Times New Roman" w:hAnsi="Times New Roman" w:cs="Times New Roman"/>
                <w:sz w:val="28"/>
                <w:szCs w:val="28"/>
              </w:rPr>
            </w:pPr>
          </w:p>
        </w:tc>
      </w:tr>
      <w:tr w:rsidR="00CA6C41">
        <w:tc>
          <w:tcPr>
            <w:tcW w:w="708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 метою застосування терміна «постачання товарів» електрична та теплова енергія, газ, пар, вода, повітря, охолоджене чи кондиційоване, вважаються товаром.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Постачанням товарів також вважаються: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 будь-яка із зазначених дій платника податку щодо матеріальних активів, якщо платник податку мав право на віднесення сум податку до податкового кредиту у 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передача (внесення) товарів (у тому числі необоротних активів) як вклад у спільну діяльність без утворення юридичної особи, а також їх повернення;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ґ) виключено;</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ліквідація платником податку за власним бажанням необоротних активів, які перебувають у такого платника;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передача товарів згідно з договором, за яким сплачується комісія (винагорода) за продаж чи купівлю.</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є постачанням товарів випадки, коли основні виробничі засоби або невиробничі засоби ліквідуються у зв'язку з їх знищенням або зруйнуванням внаслідок дії обставин непереборної сили, а також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w:t>
            </w:r>
            <w:r>
              <w:rPr>
                <w:rFonts w:ascii="Times New Roman" w:eastAsia="Times New Roman" w:hAnsi="Times New Roman" w:cs="Times New Roman"/>
                <w:sz w:val="28"/>
                <w:szCs w:val="28"/>
              </w:rPr>
              <w:lastRenderedPageBreak/>
              <w:t>або перетворення необоротних активів в інший спосіб, внаслідок чого необоротний актив не може використовуватися за первісним призначенням;</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застосування терміна «постачання товарів» електрична та теплова енергія, газ, пар, вода, повітря, охолоджене чи кондиційоване, вважаються товаром.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Постачанням товарів також вважаються: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будь-яка із зазначених дій платника податку щодо матеріальних активів, якщо платник податку мав право на </w:t>
            </w:r>
            <w:r>
              <w:rPr>
                <w:rFonts w:ascii="Times New Roman" w:eastAsia="Times New Roman" w:hAnsi="Times New Roman" w:cs="Times New Roman"/>
                <w:sz w:val="28"/>
                <w:szCs w:val="28"/>
              </w:rPr>
              <w:lastRenderedPageBreak/>
              <w:t>віднесення сум податку до податкового кредиту у 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передача (внесення) товарів (у тому числі необоротних активів) як вклад у спільну діяльність без утворення юридичної особи, а також їх повернення;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ґ) виключено;</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ліквідація платником податку за власним бажанням необоротних активів, які перебувають у такого платника;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передача товарів згідно з договором, за яким сплачується комісія (винагорода) за продаж чи купівлю.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 є постачанням товарів випадки, коли:</w:t>
            </w:r>
          </w:p>
          <w:p w:rsidR="00CA6C41" w:rsidRDefault="00FC4AC1">
            <w:pPr>
              <w:numPr>
                <w:ilvl w:val="0"/>
                <w:numId w:val="1"/>
              </w:numPr>
              <w:pBdr>
                <w:top w:val="nil"/>
                <w:left w:val="nil"/>
                <w:bottom w:val="nil"/>
                <w:right w:val="nil"/>
                <w:between w:val="nil"/>
              </w:pBdr>
              <w:tabs>
                <w:tab w:val="left" w:pos="306"/>
                <w:tab w:val="left" w:pos="666"/>
              </w:tabs>
              <w:spacing w:after="0" w:line="240" w:lineRule="auto"/>
              <w:jc w:val="both"/>
              <w:rPr>
                <w:sz w:val="28"/>
                <w:szCs w:val="28"/>
              </w:rPr>
            </w:pPr>
            <w:r>
              <w:rPr>
                <w:rFonts w:ascii="Times New Roman" w:eastAsia="Times New Roman" w:hAnsi="Times New Roman" w:cs="Times New Roman"/>
                <w:sz w:val="28"/>
                <w:szCs w:val="28"/>
              </w:rPr>
              <w:t xml:space="preserve"> основні виробничі або невиробничі засоби,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w:t>
            </w:r>
            <w:r>
              <w:rPr>
                <w:rFonts w:ascii="Times New Roman" w:eastAsia="Times New Roman" w:hAnsi="Times New Roman" w:cs="Times New Roman"/>
                <w:b/>
                <w:sz w:val="28"/>
                <w:szCs w:val="28"/>
              </w:rPr>
              <w:t xml:space="preserve">разом </w:t>
            </w:r>
            <w:r>
              <w:rPr>
                <w:rFonts w:ascii="Times New Roman" w:eastAsia="Times New Roman" w:hAnsi="Times New Roman" w:cs="Times New Roman"/>
                <w:sz w:val="28"/>
                <w:szCs w:val="28"/>
              </w:rPr>
              <w:t>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p>
          <w:p w:rsidR="00CA6C41" w:rsidRDefault="00FC4AC1">
            <w:pPr>
              <w:numPr>
                <w:ilvl w:val="0"/>
                <w:numId w:val="1"/>
              </w:numPr>
              <w:pBdr>
                <w:top w:val="nil"/>
                <w:left w:val="nil"/>
                <w:bottom w:val="nil"/>
                <w:right w:val="nil"/>
                <w:between w:val="nil"/>
              </w:pBdr>
              <w:tabs>
                <w:tab w:val="left" w:pos="306"/>
                <w:tab w:val="left" w:pos="666"/>
              </w:tabs>
              <w:spacing w:after="0" w:line="240" w:lineRule="auto"/>
              <w:jc w:val="both"/>
              <w:rPr>
                <w:sz w:val="28"/>
                <w:szCs w:val="28"/>
              </w:rPr>
            </w:pPr>
            <w:r>
              <w:rPr>
                <w:rFonts w:ascii="Times New Roman" w:eastAsia="Times New Roman" w:hAnsi="Times New Roman" w:cs="Times New Roman"/>
                <w:b/>
                <w:sz w:val="28"/>
                <w:szCs w:val="28"/>
              </w:rPr>
              <w:lastRenderedPageBreak/>
              <w:t xml:space="preserve"> сільськогосподарські рослини, насадження ліквідуються у зв’язку з їх знищенням, або загибеллю внаслідок дії обставин непереборної сили, або сільськогосподарські тварини ліквідуються у зв’язку з їх загибеллю, падежем, вимушеним забоєм внаслідок дії обставин непереборної сили, внаслідок чого такі рослини, насадження, тварини не можуть використовуватися за первісним призначенням.</w:t>
            </w:r>
          </w:p>
          <w:p w:rsidR="00CA6C41" w:rsidRDefault="00CA6C41">
            <w:pPr>
              <w:pBdr>
                <w:top w:val="nil"/>
                <w:left w:val="nil"/>
                <w:bottom w:val="nil"/>
                <w:right w:val="nil"/>
                <w:between w:val="nil"/>
              </w:pBdr>
              <w:spacing w:line="240" w:lineRule="auto"/>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tc>
      </w:tr>
      <w:tr w:rsidR="00CA6C41">
        <w:tc>
          <w:tcPr>
            <w:tcW w:w="708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14.1.217. рентна плата - загальнодержавний податок, який справляється за користування надрами для видобування корисних копалин; за користування надрами в цілях, не пов’язаних з видобуванням корисних копалин; за користування радіочастотним ресурсом України; за спеціальне використання води; </w:t>
            </w:r>
            <w:r>
              <w:rPr>
                <w:rFonts w:ascii="Times New Roman" w:eastAsia="Times New Roman" w:hAnsi="Times New Roman" w:cs="Times New Roman"/>
                <w:b/>
                <w:sz w:val="28"/>
                <w:szCs w:val="28"/>
              </w:rPr>
              <w:t>за спеціальне використання лісових ресурсів;</w:t>
            </w:r>
            <w:r>
              <w:rPr>
                <w:rFonts w:ascii="Times New Roman" w:eastAsia="Times New Roman" w:hAnsi="Times New Roman" w:cs="Times New Roman"/>
                <w:sz w:val="28"/>
                <w:szCs w:val="28"/>
              </w:rPr>
              <w:t xml:space="preserve">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tc>
        <w:tc>
          <w:tcPr>
            <w:tcW w:w="77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14.1.217. рентна плата - загальнодержавний податок, який справляється за користування надрами для видобування корисних копалин; за користування надрами в цілях, не пов’язаних з видобуванням корисних копалин; за користування радіочастотним ресурсом України; за спеціальне використання води;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tc>
      </w:tr>
      <w:tr w:rsidR="00CA6C41">
        <w:tc>
          <w:tcPr>
            <w:tcW w:w="708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line="240" w:lineRule="auto"/>
              <w:ind w:firstLine="311"/>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14.1.252. тютюнові вироби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w:t>
            </w:r>
            <w:r>
              <w:rPr>
                <w:rFonts w:ascii="Times New Roman" w:eastAsia="Times New Roman" w:hAnsi="Times New Roman" w:cs="Times New Roman"/>
                <w:b/>
                <w:sz w:val="28"/>
                <w:szCs w:val="28"/>
              </w:rPr>
              <w:t>чи жування;</w:t>
            </w:r>
          </w:p>
        </w:tc>
        <w:tc>
          <w:tcPr>
            <w:tcW w:w="77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line="240" w:lineRule="auto"/>
              <w:ind w:firstLine="3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14.1.252. тютюнові вироби </w:t>
            </w:r>
            <w:r>
              <w:rPr>
                <w:rFonts w:ascii="Times New Roman" w:eastAsia="Times New Roman" w:hAnsi="Times New Roman" w:cs="Times New Roman"/>
                <w:b/>
                <w:sz w:val="28"/>
                <w:szCs w:val="28"/>
              </w:rPr>
              <w:t>для цілей цього Кодексу</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w:t>
            </w:r>
            <w:r>
              <w:rPr>
                <w:rFonts w:ascii="Times New Roman" w:eastAsia="Times New Roman" w:hAnsi="Times New Roman" w:cs="Times New Roman"/>
                <w:b/>
                <w:sz w:val="28"/>
                <w:szCs w:val="28"/>
              </w:rPr>
              <w:t>жування чи нагрівання</w:t>
            </w:r>
            <w:r>
              <w:rPr>
                <w:rFonts w:ascii="Times New Roman" w:eastAsia="Times New Roman" w:hAnsi="Times New Roman" w:cs="Times New Roman"/>
                <w:sz w:val="28"/>
                <w:szCs w:val="28"/>
              </w:rPr>
              <w:t>;</w:t>
            </w:r>
          </w:p>
        </w:tc>
      </w:tr>
      <w:tr w:rsidR="00CA6C41">
        <w:tc>
          <w:tcPr>
            <w:tcW w:w="708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line="240" w:lineRule="auto"/>
              <w:ind w:firstLine="31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 відсутня</w:t>
            </w:r>
          </w:p>
        </w:tc>
        <w:tc>
          <w:tcPr>
            <w:tcW w:w="77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line="240" w:lineRule="auto"/>
              <w:ind w:firstLine="31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14.1.252</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xml:space="preserve">. тютюновмісні вироби для електричного нагрівання (ТВЕН) за допомогою підігрівача з електронним управлінням – вироби із вмістом промислово обробленого тютюну, які не призначені для куріння, нюхання, смоктання чи жування та використовуються для </w:t>
            </w:r>
            <w:r>
              <w:rPr>
                <w:rFonts w:ascii="Times New Roman" w:eastAsia="Times New Roman" w:hAnsi="Times New Roman" w:cs="Times New Roman"/>
                <w:b/>
                <w:sz w:val="28"/>
                <w:szCs w:val="28"/>
              </w:rPr>
              <w:lastRenderedPageBreak/>
              <w:t>генерування аерозолю шляхом нагрівання тютюну електричним підігрівачем з електронним управлінням до температури, за якої не відбувається процесу горіння (згорання) виробу та виділення тютюнового диму.</w:t>
            </w:r>
          </w:p>
        </w:tc>
      </w:tr>
    </w:tbl>
    <w:p w:rsidR="00CA6C41" w:rsidRDefault="00CA6C41">
      <w:pPr>
        <w:pBdr>
          <w:top w:val="nil"/>
          <w:left w:val="nil"/>
          <w:bottom w:val="nil"/>
          <w:right w:val="nil"/>
          <w:between w:val="nil"/>
        </w:pBdr>
        <w:rPr>
          <w:rFonts w:ascii="Times New Roman" w:eastAsia="Times New Roman" w:hAnsi="Times New Roman" w:cs="Times New Roman"/>
          <w:b/>
          <w:sz w:val="28"/>
          <w:szCs w:val="28"/>
        </w:rPr>
      </w:pPr>
    </w:p>
    <w:tbl>
      <w:tblPr>
        <w:tblStyle w:val="afffff0"/>
        <w:tblW w:w="1488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21"/>
        <w:gridCol w:w="7763"/>
      </w:tblGrid>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II. АДМІНІСТРУВАННЯ ПОДАТКІВ, ЗБОРІВ, ПЛАТЕЖІВ</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II. АДМІНІСТРУВАННЯ ПОДАТКІВ, ЗБОРІВ, ПЛАТЕЖІВ</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.1.52. здійснюють контроль за своєчасністю, достовірністю, повнотою нарахування та сплати до бюджету дивідендів на державну частку господарськими товариствами, у статутному капіталі яких є корпоративні права держави, а також господарськими товариствами, 50 і більше відсотків акцій (часток, паїв) яких знаходяться у статутних капіталах господарських товариств, частка держави в яких становить 100 відсотків;</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.1.52. здійснюють контроль за своєчасністю, достовірністю, повнотою нарахування та сплати до бюджету дивідендів на державну/</w:t>
            </w:r>
            <w:r>
              <w:rPr>
                <w:rFonts w:ascii="Times New Roman" w:eastAsia="Times New Roman" w:hAnsi="Times New Roman" w:cs="Times New Roman"/>
                <w:b/>
                <w:sz w:val="28"/>
                <w:szCs w:val="28"/>
              </w:rPr>
              <w:t>комунальну</w:t>
            </w:r>
            <w:r>
              <w:rPr>
                <w:rFonts w:ascii="Times New Roman" w:eastAsia="Times New Roman" w:hAnsi="Times New Roman" w:cs="Times New Roman"/>
                <w:sz w:val="28"/>
                <w:szCs w:val="28"/>
              </w:rPr>
              <w:t xml:space="preserve"> частку господарськими товариствами, у статутному капіталі яких є корпоративні права держави, а також господарськими товариствами, 50 і більше відсотків акцій (часток, паїв) яких знаходяться у статутних капіталах господарських товариств, частка держави в яких становить 100 відсотків;</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20.</w:t>
            </w:r>
            <w:r>
              <w:rPr>
                <w:rFonts w:ascii="Times New Roman" w:eastAsia="Times New Roman" w:hAnsi="Times New Roman" w:cs="Times New Roman"/>
                <w:sz w:val="28"/>
                <w:szCs w:val="28"/>
              </w:rPr>
              <w:t xml:space="preserve"> Права контролюючих органів</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20.</w:t>
            </w:r>
            <w:r>
              <w:rPr>
                <w:rFonts w:ascii="Times New Roman" w:eastAsia="Times New Roman" w:hAnsi="Times New Roman" w:cs="Times New Roman"/>
                <w:sz w:val="28"/>
                <w:szCs w:val="28"/>
              </w:rPr>
              <w:t xml:space="preserve"> Права контролюючих органів</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0"/>
              </w:tabs>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 Контролюючі органи, визначені підпунктом 41.1.1 пункту 41.1 статті 41 цього Кодексу, мають право:</w:t>
            </w:r>
          </w:p>
          <w:p w:rsidR="00CA6C41" w:rsidRDefault="00FC4AC1">
            <w:pPr>
              <w:pBdr>
                <w:top w:val="nil"/>
                <w:left w:val="nil"/>
                <w:bottom w:val="nil"/>
                <w:right w:val="nil"/>
                <w:between w:val="nil"/>
              </w:pBdr>
              <w:tabs>
                <w:tab w:val="left" w:pos="0"/>
              </w:tabs>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tabs>
                <w:tab w:val="left" w:pos="0"/>
              </w:tabs>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20.1.5. отримувати безоплатно від платників податків, а також від установ Національного банку України, банків та інших фінансових установ довідки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w:t>
            </w:r>
            <w:r>
              <w:rPr>
                <w:rFonts w:ascii="Times New Roman" w:eastAsia="Times New Roman" w:hAnsi="Times New Roman" w:cs="Times New Roman"/>
                <w:b/>
                <w:sz w:val="28"/>
                <w:szCs w:val="28"/>
              </w:rPr>
              <w:t xml:space="preserve">а на підставі рішення суду - інформацію про обсяг та обіг коштів на рахунках, у тому числі про ненадходження в установлені строки валютної виручки від суб'єктів господарювання, інформацію про договори боржника </w:t>
            </w:r>
            <w:r>
              <w:rPr>
                <w:rFonts w:ascii="Times New Roman" w:eastAsia="Times New Roman" w:hAnsi="Times New Roman" w:cs="Times New Roman"/>
                <w:b/>
                <w:sz w:val="28"/>
                <w:szCs w:val="28"/>
              </w:rPr>
              <w:lastRenderedPageBreak/>
              <w:t>про зберігання цінностей або надання боржнику в майновий найм (оренду) індивідуального банківського сейфа, що охороняється банком;</w:t>
            </w:r>
          </w:p>
          <w:p w:rsidR="00CA6C41" w:rsidRDefault="00CA6C41">
            <w:pPr>
              <w:pBdr>
                <w:top w:val="nil"/>
                <w:left w:val="nil"/>
                <w:bottom w:val="nil"/>
                <w:right w:val="nil"/>
                <w:between w:val="nil"/>
              </w:pBdr>
              <w:tabs>
                <w:tab w:val="left" w:pos="0"/>
              </w:tabs>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tabs>
                <w:tab w:val="left" w:pos="0"/>
              </w:tabs>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tabs>
                <w:tab w:val="left" w:pos="0"/>
              </w:tabs>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tabs>
                <w:tab w:val="left" w:pos="0"/>
              </w:tabs>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Відсутній </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20.1. Контролюючі органи, визначені підпунктом 41.1.1 пункту 41.1 статті 41 цього Кодексу, мають право:</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20.1.5. отримувати безоплатно від установ Національного банку України, банків та інших фінансових установ у порядку, встановленому Законом України «Про банки і банківську діяльність» та цим Кодексо</w:t>
            </w:r>
            <w:r>
              <w:rPr>
                <w:rFonts w:ascii="Times New Roman" w:eastAsia="Times New Roman" w:hAnsi="Times New Roman" w:cs="Times New Roman"/>
                <w:b/>
                <w:sz w:val="28"/>
                <w:szCs w:val="28"/>
              </w:rPr>
              <w:t>м на вимогу контролюючого органу, оформлену з метою виконання рішення суду про стягнення коштів з платника податків у рахунок погашення податкового боргу, – інформацію, передбачену підпунктом «ґ» пункту 4 статті 62 Закону України «Про банки і банківську діяльність»;</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20.1.5-1 отримувати безоплатно від платників податків, а також від установ Національного банку України, банків та інших фінансових установ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а на підставі рішення суду у випадках, інших ніж визначені підпунктом 20.1.5 цього пункту, – інформацію про обсяг та обіг коштів на рахунках, у тому числі 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20.2. Центральний орган виконавчої влади, що реалізує державну податкову політику, приймає рішення про реєстрацію / </w:t>
            </w:r>
            <w:r>
              <w:rPr>
                <w:rFonts w:ascii="Times New Roman" w:eastAsia="Times New Roman" w:hAnsi="Times New Roman" w:cs="Times New Roman"/>
                <w:b/>
                <w:sz w:val="28"/>
                <w:szCs w:val="28"/>
              </w:rPr>
              <w:t>відмову в</w:t>
            </w:r>
            <w:r>
              <w:rPr>
                <w:rFonts w:ascii="Times New Roman" w:eastAsia="Times New Roman" w:hAnsi="Times New Roman" w:cs="Times New Roman"/>
                <w:sz w:val="28"/>
                <w:szCs w:val="28"/>
              </w:rPr>
              <w:t xml:space="preserve"> реєстрації податкових накладних / розрахунків коригування в Єдиному реєстрі податкових накладних у порядку, визначеному центральним органом виконавчої влади, що забезпечує формування та реалізує державну фінансову політику.</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20.2.</w:t>
            </w:r>
            <w:r>
              <w:rPr>
                <w:rFonts w:ascii="Times New Roman" w:eastAsia="Times New Roman" w:hAnsi="Times New Roman" w:cs="Times New Roman"/>
                <w:b/>
                <w:sz w:val="28"/>
                <w:szCs w:val="28"/>
              </w:rPr>
              <w:t xml:space="preserve">Контролюючий орган </w:t>
            </w:r>
            <w:r>
              <w:rPr>
                <w:rFonts w:ascii="Times New Roman" w:eastAsia="Times New Roman" w:hAnsi="Times New Roman" w:cs="Times New Roman"/>
                <w:sz w:val="28"/>
                <w:szCs w:val="28"/>
              </w:rPr>
              <w:t xml:space="preserve">приймає рішення: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 реєстрацію / зупинення реєстрації податкових накладних / розрахунків коригування в Єдиному реєстрі податкових накладних, у порядку, визначеному центральним органом виконавчої влади, що забезпечує формування та реалізує державну фінансову політику;</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врахування/ неврахування таблиці даних платника податку на додану вартість,</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про неврахування таблиці даних платника податку на додану вартість,</w:t>
            </w:r>
            <w:r>
              <w:rPr>
                <w:rFonts w:ascii="Times New Roman" w:eastAsia="Times New Roman" w:hAnsi="Times New Roman" w:cs="Times New Roman"/>
                <w:sz w:val="28"/>
                <w:szCs w:val="28"/>
              </w:rPr>
              <w:t xml:space="preserve"> про відповідність/невідповідність платника податку на додану вартість критеріям ризиковості платника податку </w:t>
            </w:r>
            <w:r>
              <w:rPr>
                <w:rFonts w:ascii="Times New Roman" w:eastAsia="Times New Roman" w:hAnsi="Times New Roman" w:cs="Times New Roman"/>
                <w:b/>
                <w:sz w:val="28"/>
                <w:szCs w:val="28"/>
              </w:rPr>
              <w:t>у порядку та на підставах, визначених Кабінетом Міністрів України.</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42</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Електронний кабінет</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42</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Електронний кабінет</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42</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.2. Електронний кабінет забезпечує можливість реалізації платниками податків прав та обов'язків, визначених цим Кодексом та іншими законами, контроль за дотриманням яких покладено на контролюючі органи, та нормативно-правовими актами, прийнятими на підставі та на виконання цього Кодексу та інших законів, контроль за дотриманням яких покладено на контролюючі органи, в тому числі, шляхом:</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доступу платників податків до системи електронного адміністрування податку на додану вартість у розрізі поточних значень всіх доданків та від'ємників, передбачених пунктом 200 </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.3 статті 200 </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цього Кодексу, в режимі перегляду у реальному часі та доступу до даних Єдиного реєстру податкових накладних, включаючи можливість формування, перевірки та підтвердження податкових накладних, складених платником податку чи його контрагентами за вчиненими між ними правочинами, для цілей формування податкового кредиту платником податків, перевірки та визначення дати і часу реєстрації таких накладних та/або розрахунків коригування, а також перегляд інформації про незареєстровані податкові накладні та/або розрахунки коригування до них, подані на реєстрацію платником податків, із зазначенням причини </w:t>
            </w:r>
            <w:r>
              <w:rPr>
                <w:rFonts w:ascii="Times New Roman" w:eastAsia="Times New Roman" w:hAnsi="Times New Roman" w:cs="Times New Roman"/>
                <w:b/>
                <w:sz w:val="28"/>
                <w:szCs w:val="28"/>
              </w:rPr>
              <w:t>відмови у</w:t>
            </w:r>
            <w:r>
              <w:rPr>
                <w:rFonts w:ascii="Times New Roman" w:eastAsia="Times New Roman" w:hAnsi="Times New Roman" w:cs="Times New Roman"/>
                <w:sz w:val="28"/>
                <w:szCs w:val="28"/>
              </w:rPr>
              <w:t xml:space="preserve"> їх реєстрації;</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42</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.2. Електронний кабінет забезпечує можливість реалізації платниками податків прав та обов'язків, визначених цим Кодексом та іншими законами, контроль за дотриманням яких покладено на контролюючі органи, та нормативно-правовими актами, прийнятими на підставі та на виконання цього Кодексу та інших законів, контроль за дотриманням яких покладено на контролюючі органи, в тому числі, шляхом:</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доступу платників податків до системи електронного адміністрування податку на додану вартість у розрізі поточних значень всіх доданків та від'ємників, передбачених пунктом 200 </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.3 статті 200 </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цього Кодексу, в режимі перегляду у реальному часі та доступу до даних Єдиного реєстру податкових накладних, включаючи можливість формування, перевірки та підтвердження податкових накладних, складених платником податку чи його контрагентами за вчиненими між ними правочинами, для цілей формування податкового кредиту платником податків, перевірки та визначення дати і часу реєстрації таких накладних та/або розрахунків коригування, а також перегляд інформації про незареєстровані податкові накладні та/або розрахунки коригування до них, подані на реєстрацію платником податків, із зазначенням причини </w:t>
            </w:r>
            <w:r>
              <w:rPr>
                <w:rFonts w:ascii="Times New Roman" w:eastAsia="Times New Roman" w:hAnsi="Times New Roman" w:cs="Times New Roman"/>
                <w:b/>
                <w:sz w:val="28"/>
                <w:szCs w:val="28"/>
              </w:rPr>
              <w:t>зупинення</w:t>
            </w:r>
            <w:r>
              <w:rPr>
                <w:rFonts w:ascii="Times New Roman" w:eastAsia="Times New Roman" w:hAnsi="Times New Roman" w:cs="Times New Roman"/>
                <w:sz w:val="28"/>
                <w:szCs w:val="28"/>
              </w:rPr>
              <w:t xml:space="preserve"> їх реєстрації;</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46.</w:t>
            </w:r>
            <w:r>
              <w:rPr>
                <w:rFonts w:ascii="Times New Roman" w:eastAsia="Times New Roman" w:hAnsi="Times New Roman" w:cs="Times New Roman"/>
                <w:sz w:val="28"/>
                <w:szCs w:val="28"/>
              </w:rPr>
              <w:t xml:space="preserve"> Податкова декларація (розрахунок)</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46.</w:t>
            </w:r>
            <w:r>
              <w:rPr>
                <w:rFonts w:ascii="Times New Roman" w:eastAsia="Times New Roman" w:hAnsi="Times New Roman" w:cs="Times New Roman"/>
                <w:sz w:val="28"/>
                <w:szCs w:val="28"/>
              </w:rPr>
              <w:t xml:space="preserve"> Податкова декларація (розрахунок)</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46.1.  </w:t>
            </w:r>
            <w:hyperlink r:id="rId11" w:anchor="n20">
              <w:r>
                <w:rPr>
                  <w:rFonts w:ascii="Times New Roman" w:eastAsia="Times New Roman" w:hAnsi="Times New Roman" w:cs="Times New Roman"/>
                  <w:sz w:val="28"/>
                  <w:szCs w:val="28"/>
                  <w:u w:val="single"/>
                </w:rPr>
                <w:t>Податкова декларація</w:t>
              </w:r>
            </w:hyperlink>
            <w:r>
              <w:rPr>
                <w:rFonts w:ascii="Times New Roman" w:eastAsia="Times New Roman" w:hAnsi="Times New Roman" w:cs="Times New Roman"/>
                <w:sz w:val="28"/>
                <w:szCs w:val="28"/>
              </w:rPr>
              <w:t xml:space="preserve">, розрахунок, звіт (далі - податкова декларація) - документ, що подається платником податків (у тому числі відокремленим </w:t>
            </w:r>
            <w:r>
              <w:rPr>
                <w:rFonts w:ascii="Times New Roman" w:eastAsia="Times New Roman" w:hAnsi="Times New Roman" w:cs="Times New Roman"/>
                <w:sz w:val="28"/>
                <w:szCs w:val="28"/>
              </w:rPr>
              <w:lastRenderedPageBreak/>
              <w:t>підрозділом у випадках, визначених цим Кодексом) контролюючим органам у строки, встановлені законом, на підставі якого здійснюється нарахування та/або сплата грошового зобов’язання, у тому числі податкового зобов’язання або відображаються обсяги операції (операцій), доходів (прибутків), щодо яких податковим та митним законодавством передбачено звільнення платника податку від обов’язку нарахування і сплати податку і збору, чи документ, що свідчить про суми доходу, нарахованого (виплаченого) на користь платників податків - фізичних осіб, суми утриманого та/або сплаченого податку.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Митні декларації прирівнюються до податкових декларацій для цілей нарахування та/або сплати податкових зобов'язань.</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Розрахунки (у тому числі розрахунок частини чистого прибутку (доходу), дивідендів на державну частку), які подаються до контролюючих органів відповідно до іншого законодавства, контроль за дотриманням якого покладено на контролюючі органи, прирівнюються до </w:t>
            </w:r>
            <w:hyperlink r:id="rId12" w:anchor="n21">
              <w:r>
                <w:rPr>
                  <w:rFonts w:ascii="Times New Roman" w:eastAsia="Times New Roman" w:hAnsi="Times New Roman" w:cs="Times New Roman"/>
                  <w:sz w:val="28"/>
                  <w:szCs w:val="28"/>
                  <w:u w:val="single"/>
                </w:rPr>
                <w:t>податкової декларації</w:t>
              </w:r>
            </w:hyperlink>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15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46.1.  </w:t>
            </w:r>
            <w:hyperlink r:id="rId13" w:anchor="n20">
              <w:r>
                <w:rPr>
                  <w:rFonts w:ascii="Times New Roman" w:eastAsia="Times New Roman" w:hAnsi="Times New Roman" w:cs="Times New Roman"/>
                  <w:sz w:val="28"/>
                  <w:szCs w:val="28"/>
                  <w:u w:val="single"/>
                </w:rPr>
                <w:t>Податкова декларація</w:t>
              </w:r>
            </w:hyperlink>
            <w:r>
              <w:rPr>
                <w:rFonts w:ascii="Times New Roman" w:eastAsia="Times New Roman" w:hAnsi="Times New Roman" w:cs="Times New Roman"/>
                <w:sz w:val="28"/>
                <w:szCs w:val="28"/>
              </w:rPr>
              <w:t xml:space="preserve">, розрахунок, звіт (далі - податкова декларація) - документ, що подається платником податків (у тому числі відокремленим підрозділом у випадках, </w:t>
            </w:r>
            <w:r>
              <w:rPr>
                <w:rFonts w:ascii="Times New Roman" w:eastAsia="Times New Roman" w:hAnsi="Times New Roman" w:cs="Times New Roman"/>
                <w:sz w:val="28"/>
                <w:szCs w:val="28"/>
              </w:rPr>
              <w:lastRenderedPageBreak/>
              <w:t>визначених цим Кодексом) контролюючим органам у строки, встановлені законом, на підставі якого здійснюється нарахування та/або сплата грошового зобов’язання, у тому числі податкового зобов’язання або відображаються обсяги операції (операцій), доходів (прибутків), щодо яких податковим та митним законодавством передбачено звільнення платника податку від обов’язку нарахування і сплати податку і збору, чи документ, що свідчить про суми доходу, нарахованого (виплаченого) на користь платників податків - фізичних осіб, суми утриманого та/або сплаченого податку.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Митні декларації прирівнюються до податкових декларацій для цілей нарахування та/або сплати податкових зобов'язань.</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Розрахунки (у тому числі розрахунок частини чистого прибутку (доходу), дивідендів на </w:t>
            </w:r>
            <w:r>
              <w:rPr>
                <w:rFonts w:ascii="Times New Roman" w:eastAsia="Times New Roman" w:hAnsi="Times New Roman" w:cs="Times New Roman"/>
                <w:b/>
                <w:sz w:val="28"/>
                <w:szCs w:val="28"/>
              </w:rPr>
              <w:t xml:space="preserve">державну/комунальну </w:t>
            </w:r>
            <w:r>
              <w:rPr>
                <w:rFonts w:ascii="Times New Roman" w:eastAsia="Times New Roman" w:hAnsi="Times New Roman" w:cs="Times New Roman"/>
                <w:sz w:val="28"/>
                <w:szCs w:val="28"/>
              </w:rPr>
              <w:t>частку), які подаються до контролюючих органів відповідно до іншого законодавства, контроль за дотриманням якого покладено на контролюючі органи, прирівнюються до </w:t>
            </w:r>
            <w:hyperlink r:id="rId14" w:anchor="n21">
              <w:r>
                <w:rPr>
                  <w:rFonts w:ascii="Times New Roman" w:eastAsia="Times New Roman" w:hAnsi="Times New Roman" w:cs="Times New Roman"/>
                  <w:sz w:val="28"/>
                  <w:szCs w:val="28"/>
                  <w:u w:val="single"/>
                </w:rPr>
                <w:t>податкової декларації</w:t>
              </w:r>
            </w:hyperlink>
            <w:r>
              <w:rPr>
                <w:rFonts w:ascii="Times New Roman" w:eastAsia="Times New Roman" w:hAnsi="Times New Roman" w:cs="Times New Roman"/>
                <w:sz w:val="28"/>
                <w:szCs w:val="28"/>
              </w:rPr>
              <w:t>.</w:t>
            </w:r>
          </w:p>
          <w:p w:rsidR="00CA6C41" w:rsidRDefault="00CA6C4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46.2. Платник податку на прибуток (крім платників податку на прибуток, які відповідно до </w:t>
            </w:r>
            <w:hyperlink r:id="rId15">
              <w:r>
                <w:rPr>
                  <w:rFonts w:ascii="Times New Roman" w:eastAsia="Times New Roman" w:hAnsi="Times New Roman" w:cs="Times New Roman"/>
                  <w:sz w:val="28"/>
                  <w:szCs w:val="28"/>
                  <w:u w:val="single"/>
                </w:rPr>
                <w:t>Закону України</w:t>
              </w:r>
            </w:hyperlink>
            <w:r>
              <w:rPr>
                <w:rFonts w:ascii="Times New Roman" w:eastAsia="Times New Roman" w:hAnsi="Times New Roman" w:cs="Times New Roman"/>
                <w:sz w:val="28"/>
                <w:szCs w:val="28"/>
              </w:rPr>
              <w:t>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подає разом з відповідною </w:t>
            </w:r>
            <w:hyperlink r:id="rId16" w:anchor="n21">
              <w:r>
                <w:rPr>
                  <w:rFonts w:ascii="Times New Roman" w:eastAsia="Times New Roman" w:hAnsi="Times New Roman" w:cs="Times New Roman"/>
                  <w:sz w:val="28"/>
                  <w:szCs w:val="28"/>
                  <w:u w:val="single"/>
                </w:rPr>
                <w:t>податковою декларацією</w:t>
              </w:r>
            </w:hyperlink>
            <w:r>
              <w:rPr>
                <w:rFonts w:ascii="Times New Roman" w:eastAsia="Times New Roman" w:hAnsi="Times New Roman" w:cs="Times New Roman"/>
                <w:sz w:val="28"/>
                <w:szCs w:val="28"/>
              </w:rPr>
              <w:t xml:space="preserve"> квартальну або </w:t>
            </w:r>
            <w:r>
              <w:rPr>
                <w:rFonts w:ascii="Times New Roman" w:eastAsia="Times New Roman" w:hAnsi="Times New Roman" w:cs="Times New Roman"/>
                <w:sz w:val="28"/>
                <w:szCs w:val="28"/>
              </w:rPr>
              <w:lastRenderedPageBreak/>
              <w:t>річну фінансову звітність у порядку, передбаченому для подання податкової декларації з урахуванням вимог </w:t>
            </w:r>
            <w:hyperlink r:id="rId17" w:anchor="n10652">
              <w:r>
                <w:rPr>
                  <w:rFonts w:ascii="Times New Roman" w:eastAsia="Times New Roman" w:hAnsi="Times New Roman" w:cs="Times New Roman"/>
                  <w:sz w:val="28"/>
                  <w:szCs w:val="28"/>
                  <w:u w:val="single"/>
                </w:rPr>
                <w:t>статті 137</w:t>
              </w:r>
            </w:hyperlink>
            <w:r>
              <w:rPr>
                <w:rFonts w:ascii="Times New Roman" w:eastAsia="Times New Roman" w:hAnsi="Times New Roman" w:cs="Times New Roman"/>
                <w:sz w:val="28"/>
                <w:szCs w:val="28"/>
              </w:rPr>
              <w:t> цього Кодексу.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Платники податку на прибуток, які відповідно до </w:t>
            </w:r>
            <w:hyperlink r:id="rId18">
              <w:r>
                <w:rPr>
                  <w:rFonts w:ascii="Times New Roman" w:eastAsia="Times New Roman" w:hAnsi="Times New Roman" w:cs="Times New Roman"/>
                  <w:sz w:val="28"/>
                  <w:szCs w:val="28"/>
                  <w:u w:val="single"/>
                </w:rPr>
                <w:t>Закону України</w:t>
              </w:r>
            </w:hyperlink>
            <w:r>
              <w:rPr>
                <w:rFonts w:ascii="Times New Roman" w:eastAsia="Times New Roman" w:hAnsi="Times New Roman" w:cs="Times New Roman"/>
                <w:sz w:val="28"/>
                <w:szCs w:val="28"/>
              </w:rPr>
              <w:t>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разом з </w:t>
            </w:r>
            <w:hyperlink r:id="rId19" w:anchor="n21">
              <w:r>
                <w:rPr>
                  <w:rFonts w:ascii="Times New Roman" w:eastAsia="Times New Roman" w:hAnsi="Times New Roman" w:cs="Times New Roman"/>
                  <w:sz w:val="28"/>
                  <w:szCs w:val="28"/>
                  <w:u w:val="single"/>
                </w:rPr>
                <w:t>податковою декларацією</w:t>
              </w:r>
            </w:hyperlink>
            <w:r>
              <w:rPr>
                <w:rFonts w:ascii="Times New Roman" w:eastAsia="Times New Roman" w:hAnsi="Times New Roman" w:cs="Times New Roman"/>
                <w:sz w:val="28"/>
                <w:szCs w:val="28"/>
              </w:rPr>
              <w:t> за відповідний податковий (звітний) період звіт про фінансовий стан (баланс) та звіт про прибутки та збитки та інший сукупний дохід (звіт про фінансові результати), складені до перевірки фінансової звітності аудитором. Звіт про фінансовий стан (баланс) та звіт про прибутки та збитки та інший сукупний дохід (звіт про фінансові результати) подаються платниками податку згідно з цим абзацом за формою, визначеною згідно з Законом України "Про бухгалтерський облік та фінансову звітність в Україні", у порядку, передбаченому для подання податкової декларації з урахуванням вимог </w:t>
            </w:r>
            <w:hyperlink r:id="rId20" w:anchor="n10652">
              <w:r>
                <w:rPr>
                  <w:rFonts w:ascii="Times New Roman" w:eastAsia="Times New Roman" w:hAnsi="Times New Roman" w:cs="Times New Roman"/>
                  <w:sz w:val="28"/>
                  <w:szCs w:val="28"/>
                  <w:u w:val="single"/>
                </w:rPr>
                <w:t>статті 137</w:t>
              </w:r>
            </w:hyperlink>
            <w:r>
              <w:rPr>
                <w:rFonts w:ascii="Times New Roman" w:eastAsia="Times New Roman" w:hAnsi="Times New Roman" w:cs="Times New Roman"/>
                <w:sz w:val="28"/>
                <w:szCs w:val="28"/>
              </w:rPr>
              <w:t> цього Кодексу.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Фінансова звітність або звіт про фінансовий стан (баланс) та звіт про прибутки та збитки та інший сукупний дохід (звіт про фінансові результати), що подаються відповідно до абзаців першого та другого цього пункту, є додатком до </w:t>
            </w:r>
            <w:hyperlink r:id="rId21" w:anchor="n20">
              <w:r>
                <w:rPr>
                  <w:rFonts w:ascii="Times New Roman" w:eastAsia="Times New Roman" w:hAnsi="Times New Roman" w:cs="Times New Roman"/>
                  <w:sz w:val="28"/>
                  <w:szCs w:val="28"/>
                  <w:u w:val="single"/>
                </w:rPr>
                <w:t>податкової декларації з податку на прибуток підприємств</w:t>
              </w:r>
            </w:hyperlink>
            <w:r>
              <w:rPr>
                <w:rFonts w:ascii="Times New Roman" w:eastAsia="Times New Roman" w:hAnsi="Times New Roman" w:cs="Times New Roman"/>
                <w:sz w:val="28"/>
                <w:szCs w:val="28"/>
              </w:rPr>
              <w:t> (звіту про використання доходів (прибутків) неприбуткової організації, розрахунку частини чистого прибутку (доходу), дивідендів на державну частку) та її невід’ємною частиною.</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Платники податку на прибуток, які відповідно до </w:t>
            </w:r>
            <w:hyperlink r:id="rId22">
              <w:r>
                <w:rPr>
                  <w:rFonts w:ascii="Times New Roman" w:eastAsia="Times New Roman" w:hAnsi="Times New Roman" w:cs="Times New Roman"/>
                  <w:sz w:val="28"/>
                  <w:szCs w:val="28"/>
                  <w:u w:val="single"/>
                </w:rPr>
                <w:t>Закону України</w:t>
              </w:r>
            </w:hyperlink>
            <w:r>
              <w:rPr>
                <w:rFonts w:ascii="Times New Roman" w:eastAsia="Times New Roman" w:hAnsi="Times New Roman" w:cs="Times New Roman"/>
                <w:sz w:val="28"/>
                <w:szCs w:val="28"/>
              </w:rPr>
              <w:t>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контролюючому органу річну фінансову звітність, яка підлягає оприлюдненню разом з аудиторським звітом у строк не пізніше 10 червня року, наступного за звітним. У разі неподання (несвоєчасного подання) річної фінансової звітності, яка підлягає оприлюдненню разом з аудиторським звітом, застосовується відповідальність, передбачена </w:t>
            </w:r>
            <w:hyperlink r:id="rId23" w:anchor="n2400">
              <w:r>
                <w:rPr>
                  <w:rFonts w:ascii="Times New Roman" w:eastAsia="Times New Roman" w:hAnsi="Times New Roman" w:cs="Times New Roman"/>
                  <w:sz w:val="28"/>
                  <w:szCs w:val="28"/>
                  <w:u w:val="single"/>
                </w:rPr>
                <w:t>пунктом 120.1</w:t>
              </w:r>
            </w:hyperlink>
            <w:r>
              <w:rPr>
                <w:rFonts w:ascii="Times New Roman" w:eastAsia="Times New Roman" w:hAnsi="Times New Roman" w:cs="Times New Roman"/>
                <w:sz w:val="28"/>
                <w:szCs w:val="28"/>
              </w:rPr>
              <w:t> статті 120 цього Кодексу, для подання </w:t>
            </w:r>
            <w:hyperlink r:id="rId24" w:anchor="n21">
              <w:r>
                <w:rPr>
                  <w:rFonts w:ascii="Times New Roman" w:eastAsia="Times New Roman" w:hAnsi="Times New Roman" w:cs="Times New Roman"/>
                  <w:sz w:val="28"/>
                  <w:szCs w:val="28"/>
                  <w:u w:val="single"/>
                </w:rPr>
                <w:t>податкових декларацій</w:t>
              </w:r>
            </w:hyperlink>
            <w:r>
              <w:rPr>
                <w:rFonts w:ascii="Times New Roman" w:eastAsia="Times New Roman" w:hAnsi="Times New Roman" w:cs="Times New Roman"/>
                <w:sz w:val="28"/>
                <w:szCs w:val="28"/>
              </w:rPr>
              <w:t> (розрахунків).</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trike/>
                <w:sz w:val="28"/>
                <w:szCs w:val="28"/>
              </w:rPr>
            </w:pPr>
            <w:r>
              <w:rPr>
                <w:rFonts w:ascii="Times New Roman" w:eastAsia="Times New Roman" w:hAnsi="Times New Roman" w:cs="Times New Roman"/>
                <w:sz w:val="28"/>
                <w:szCs w:val="28"/>
              </w:rPr>
              <w:t>Для частини чистого прибутку (доходу) податковими (звітними) періодами є календарні: квартал, півріччя, три квартали, рік. Для 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що не прийняли рішення про нарахування дивідендів до 1 травня року, який настає за звітним, податковим (звітним) періодом є календарний рік</w:t>
            </w:r>
            <w:r>
              <w:rPr>
                <w:rFonts w:ascii="Times New Roman" w:eastAsia="Times New Roman" w:hAnsi="Times New Roman" w:cs="Times New Roman"/>
                <w:strike/>
                <w:sz w:val="28"/>
                <w:szCs w:val="28"/>
              </w:rPr>
              <w:t>.</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цьому розрахунок частини чистого прибутку (доходу), дивідендів на державну частку складається наростаючим підсумком та подається до контролюючих органів разом з фінансовою звітністю у строки, передбачені </w:t>
            </w:r>
            <w:hyperlink r:id="rId25" w:anchor="n1206">
              <w:r>
                <w:rPr>
                  <w:rFonts w:ascii="Times New Roman" w:eastAsia="Times New Roman" w:hAnsi="Times New Roman" w:cs="Times New Roman"/>
                  <w:sz w:val="28"/>
                  <w:szCs w:val="28"/>
                  <w:u w:val="single"/>
                </w:rPr>
                <w:t>статтею 49</w:t>
              </w:r>
            </w:hyperlink>
            <w:r>
              <w:rPr>
                <w:rFonts w:ascii="Times New Roman" w:eastAsia="Times New Roman" w:hAnsi="Times New Roman" w:cs="Times New Roman"/>
                <w:sz w:val="28"/>
                <w:szCs w:val="28"/>
              </w:rPr>
              <w:t> цього Кодексу.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Платники податку на прибуток - виробники сільськогосподарської продукції, які обрали річний податковий (звітний) період відповідно до </w:t>
            </w:r>
            <w:hyperlink r:id="rId26" w:anchor="n10657">
              <w:r>
                <w:rPr>
                  <w:rFonts w:ascii="Times New Roman" w:eastAsia="Times New Roman" w:hAnsi="Times New Roman" w:cs="Times New Roman"/>
                  <w:sz w:val="28"/>
                  <w:szCs w:val="28"/>
                  <w:u w:val="single"/>
                </w:rPr>
                <w:t>підпункту 137.4.1</w:t>
              </w:r>
            </w:hyperlink>
            <w:r>
              <w:rPr>
                <w:rFonts w:ascii="Times New Roman" w:eastAsia="Times New Roman" w:hAnsi="Times New Roman" w:cs="Times New Roman"/>
                <w:sz w:val="28"/>
                <w:szCs w:val="28"/>
              </w:rPr>
              <w:t> пункту 137.4 статті 137 цього Кодексу, складають та подають з відповідною </w:t>
            </w:r>
            <w:hyperlink r:id="rId27" w:anchor="n21">
              <w:r>
                <w:rPr>
                  <w:rFonts w:ascii="Times New Roman" w:eastAsia="Times New Roman" w:hAnsi="Times New Roman" w:cs="Times New Roman"/>
                  <w:sz w:val="28"/>
                  <w:szCs w:val="28"/>
                  <w:u w:val="single"/>
                </w:rPr>
                <w:t>податковою декларацією</w:t>
              </w:r>
            </w:hyperlink>
            <w:r>
              <w:rPr>
                <w:rFonts w:ascii="Times New Roman" w:eastAsia="Times New Roman" w:hAnsi="Times New Roman" w:cs="Times New Roman"/>
                <w:sz w:val="28"/>
                <w:szCs w:val="28"/>
              </w:rPr>
              <w:t> фінансову звітність за перше півріччя минулого звітного року, за минулий звітний рік та за перше півріччя поточного звітного року.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Платники частини чистого прибутку (доходу) та/або дивідендів на державну частку, </w:t>
            </w:r>
            <w:r>
              <w:rPr>
                <w:rFonts w:ascii="Times New Roman" w:eastAsia="Times New Roman" w:hAnsi="Times New Roman" w:cs="Times New Roman"/>
                <w:b/>
                <w:sz w:val="28"/>
                <w:szCs w:val="28"/>
              </w:rPr>
              <w:t>визначені </w:t>
            </w:r>
            <w:hyperlink r:id="rId28">
              <w:r>
                <w:rPr>
                  <w:rFonts w:ascii="Times New Roman" w:eastAsia="Times New Roman" w:hAnsi="Times New Roman" w:cs="Times New Roman"/>
                  <w:b/>
                  <w:sz w:val="28"/>
                  <w:szCs w:val="28"/>
                  <w:u w:val="single"/>
                </w:rPr>
                <w:t>Законом України</w:t>
              </w:r>
            </w:hyperlink>
            <w:r>
              <w:rPr>
                <w:rFonts w:ascii="Times New Roman" w:eastAsia="Times New Roman" w:hAnsi="Times New Roman" w:cs="Times New Roman"/>
                <w:b/>
                <w:sz w:val="28"/>
                <w:szCs w:val="28"/>
              </w:rPr>
              <w:t> "Про управління об’єктами державної власності"</w:t>
            </w:r>
            <w:r>
              <w:rPr>
                <w:rFonts w:ascii="Times New Roman" w:eastAsia="Times New Roman" w:hAnsi="Times New Roman" w:cs="Times New Roman"/>
                <w:sz w:val="28"/>
                <w:szCs w:val="28"/>
              </w:rPr>
              <w:t>, подають розрахунок частини чистого прибутку (доходу), дивідендів на державну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Неприбуткові підприємства, установи та організації, визначені </w:t>
            </w:r>
            <w:hyperlink r:id="rId29" w:anchor="n12538">
              <w:r>
                <w:rPr>
                  <w:rFonts w:ascii="Times New Roman" w:eastAsia="Times New Roman" w:hAnsi="Times New Roman" w:cs="Times New Roman"/>
                  <w:sz w:val="28"/>
                  <w:szCs w:val="28"/>
                  <w:u w:val="single"/>
                </w:rPr>
                <w:t>пунктом 133.4</w:t>
              </w:r>
            </w:hyperlink>
            <w:r>
              <w:rPr>
                <w:rFonts w:ascii="Times New Roman" w:eastAsia="Times New Roman" w:hAnsi="Times New Roman" w:cs="Times New Roman"/>
                <w:sz w:val="28"/>
                <w:szCs w:val="28"/>
              </w:rPr>
              <w:t> статті 133 цього Кодексу,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політику, та річну фінансову звітність.</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46.2. Платник податку на прибуток (крім платників податку на прибуток, які відповідно до </w:t>
            </w:r>
            <w:hyperlink r:id="rId30">
              <w:r>
                <w:rPr>
                  <w:rFonts w:ascii="Times New Roman" w:eastAsia="Times New Roman" w:hAnsi="Times New Roman" w:cs="Times New Roman"/>
                  <w:sz w:val="28"/>
                  <w:szCs w:val="28"/>
                  <w:u w:val="single"/>
                </w:rPr>
                <w:t>Закону України</w:t>
              </w:r>
            </w:hyperlink>
            <w:r>
              <w:rPr>
                <w:rFonts w:ascii="Times New Roman" w:eastAsia="Times New Roman" w:hAnsi="Times New Roman" w:cs="Times New Roman"/>
                <w:sz w:val="28"/>
                <w:szCs w:val="28"/>
              </w:rPr>
              <w:t>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подає разом з відповідною </w:t>
            </w:r>
            <w:hyperlink r:id="rId31" w:anchor="n21">
              <w:r>
                <w:rPr>
                  <w:rFonts w:ascii="Times New Roman" w:eastAsia="Times New Roman" w:hAnsi="Times New Roman" w:cs="Times New Roman"/>
                  <w:sz w:val="28"/>
                  <w:szCs w:val="28"/>
                  <w:u w:val="single"/>
                </w:rPr>
                <w:t>податковою декларацією</w:t>
              </w:r>
            </w:hyperlink>
            <w:r>
              <w:rPr>
                <w:rFonts w:ascii="Times New Roman" w:eastAsia="Times New Roman" w:hAnsi="Times New Roman" w:cs="Times New Roman"/>
                <w:sz w:val="28"/>
                <w:szCs w:val="28"/>
              </w:rPr>
              <w:t xml:space="preserve"> квартальну або річну фінансову звітність у </w:t>
            </w:r>
            <w:r>
              <w:rPr>
                <w:rFonts w:ascii="Times New Roman" w:eastAsia="Times New Roman" w:hAnsi="Times New Roman" w:cs="Times New Roman"/>
                <w:sz w:val="28"/>
                <w:szCs w:val="28"/>
              </w:rPr>
              <w:lastRenderedPageBreak/>
              <w:t>порядку, передбаченому для подання податкової декларації з урахуванням вимог </w:t>
            </w:r>
            <w:hyperlink r:id="rId32" w:anchor="n10652">
              <w:r>
                <w:rPr>
                  <w:rFonts w:ascii="Times New Roman" w:eastAsia="Times New Roman" w:hAnsi="Times New Roman" w:cs="Times New Roman"/>
                  <w:sz w:val="28"/>
                  <w:szCs w:val="28"/>
                  <w:u w:val="single"/>
                </w:rPr>
                <w:t>статті 137</w:t>
              </w:r>
            </w:hyperlink>
            <w:r>
              <w:rPr>
                <w:rFonts w:ascii="Times New Roman" w:eastAsia="Times New Roman" w:hAnsi="Times New Roman" w:cs="Times New Roman"/>
                <w:sz w:val="28"/>
                <w:szCs w:val="28"/>
              </w:rPr>
              <w:t> цього Кодексу.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Платники податку на прибуток, які відповідно до </w:t>
            </w:r>
            <w:hyperlink r:id="rId33">
              <w:r>
                <w:rPr>
                  <w:rFonts w:ascii="Times New Roman" w:eastAsia="Times New Roman" w:hAnsi="Times New Roman" w:cs="Times New Roman"/>
                  <w:sz w:val="28"/>
                  <w:szCs w:val="28"/>
                  <w:u w:val="single"/>
                </w:rPr>
                <w:t>Закону України</w:t>
              </w:r>
            </w:hyperlink>
            <w:r>
              <w:rPr>
                <w:rFonts w:ascii="Times New Roman" w:eastAsia="Times New Roman" w:hAnsi="Times New Roman" w:cs="Times New Roman"/>
                <w:sz w:val="28"/>
                <w:szCs w:val="28"/>
              </w:rPr>
              <w:t>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разом з </w:t>
            </w:r>
            <w:hyperlink r:id="rId34" w:anchor="n21">
              <w:r>
                <w:rPr>
                  <w:rFonts w:ascii="Times New Roman" w:eastAsia="Times New Roman" w:hAnsi="Times New Roman" w:cs="Times New Roman"/>
                  <w:sz w:val="28"/>
                  <w:szCs w:val="28"/>
                  <w:u w:val="single"/>
                </w:rPr>
                <w:t>податковою декларацією</w:t>
              </w:r>
            </w:hyperlink>
            <w:r>
              <w:rPr>
                <w:rFonts w:ascii="Times New Roman" w:eastAsia="Times New Roman" w:hAnsi="Times New Roman" w:cs="Times New Roman"/>
                <w:sz w:val="28"/>
                <w:szCs w:val="28"/>
              </w:rPr>
              <w:t> за відповідний податковий (звітний) період звіт про фінансовий стан (баланс) та звіт про прибутки та збитки та інший сукупний дохід (звіт про фінансові результати), складені до перевірки фінансової звітності аудитором. Звіт про фінансовий стан (баланс) та звіт про прибутки та збитки та інший сукупний дохід (звіт про фінансові результати) подаються платниками податку згідно з цим абзацом за формою, визначеною згідно з Законом України "Про бухгалтерський облік та фінансову звітність в Україні", у порядку, передбаченому для подання податкової декларації з урахуванням вимог </w:t>
            </w:r>
            <w:hyperlink r:id="rId35" w:anchor="n10652">
              <w:r>
                <w:rPr>
                  <w:rFonts w:ascii="Times New Roman" w:eastAsia="Times New Roman" w:hAnsi="Times New Roman" w:cs="Times New Roman"/>
                  <w:sz w:val="28"/>
                  <w:szCs w:val="28"/>
                  <w:u w:val="single"/>
                </w:rPr>
                <w:t>статті 137</w:t>
              </w:r>
            </w:hyperlink>
            <w:r>
              <w:rPr>
                <w:rFonts w:ascii="Times New Roman" w:eastAsia="Times New Roman" w:hAnsi="Times New Roman" w:cs="Times New Roman"/>
                <w:sz w:val="28"/>
                <w:szCs w:val="28"/>
              </w:rPr>
              <w:t> цього Кодексу.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Фінансова звітність або звіт про фінансовий стан (баланс) та звіт про прибутки та збитки та інший сукупний дохід (звіт про фінансові результати), що подаються відповідно до абзаців першого та другого цього пункту, є додатком до </w:t>
            </w:r>
            <w:hyperlink r:id="rId36" w:anchor="n20">
              <w:r>
                <w:rPr>
                  <w:rFonts w:ascii="Times New Roman" w:eastAsia="Times New Roman" w:hAnsi="Times New Roman" w:cs="Times New Roman"/>
                  <w:sz w:val="28"/>
                  <w:szCs w:val="28"/>
                  <w:u w:val="single"/>
                </w:rPr>
                <w:t>податкової декларації з податку на прибуток підприємств</w:t>
              </w:r>
            </w:hyperlink>
            <w:r>
              <w:rPr>
                <w:rFonts w:ascii="Times New Roman" w:eastAsia="Times New Roman" w:hAnsi="Times New Roman" w:cs="Times New Roman"/>
                <w:sz w:val="28"/>
                <w:szCs w:val="28"/>
              </w:rPr>
              <w:t xml:space="preserve"> (звіту про використання доходів (прибутків) неприбуткової організації, розрахунку частини чистого прибутку (доходу), дивідендів на </w:t>
            </w:r>
            <w:r>
              <w:rPr>
                <w:rFonts w:ascii="Times New Roman" w:eastAsia="Times New Roman" w:hAnsi="Times New Roman" w:cs="Times New Roman"/>
                <w:b/>
                <w:sz w:val="28"/>
                <w:szCs w:val="28"/>
              </w:rPr>
              <w:t xml:space="preserve">державну/комунальну </w:t>
            </w:r>
            <w:r>
              <w:rPr>
                <w:rFonts w:ascii="Times New Roman" w:eastAsia="Times New Roman" w:hAnsi="Times New Roman" w:cs="Times New Roman"/>
                <w:sz w:val="28"/>
                <w:szCs w:val="28"/>
              </w:rPr>
              <w:t xml:space="preserve"> частку) та її невід’ємною частиною.</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Платники податку на прибуток, які відповідно до </w:t>
            </w:r>
            <w:hyperlink r:id="rId37">
              <w:r>
                <w:rPr>
                  <w:rFonts w:ascii="Times New Roman" w:eastAsia="Times New Roman" w:hAnsi="Times New Roman" w:cs="Times New Roman"/>
                  <w:sz w:val="28"/>
                  <w:szCs w:val="28"/>
                  <w:u w:val="single"/>
                </w:rPr>
                <w:t>Закону України</w:t>
              </w:r>
            </w:hyperlink>
            <w:r>
              <w:rPr>
                <w:rFonts w:ascii="Times New Roman" w:eastAsia="Times New Roman" w:hAnsi="Times New Roman" w:cs="Times New Roman"/>
                <w:sz w:val="28"/>
                <w:szCs w:val="28"/>
              </w:rPr>
              <w:t xml:space="preserve">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w:t>
            </w:r>
            <w:r>
              <w:rPr>
                <w:rFonts w:ascii="Times New Roman" w:eastAsia="Times New Roman" w:hAnsi="Times New Roman" w:cs="Times New Roman"/>
                <w:sz w:val="28"/>
                <w:szCs w:val="28"/>
              </w:rPr>
              <w:lastRenderedPageBreak/>
              <w:t>аудиторським звітом, подають контролюючому органу річну фінансову звітність, яка підлягає оприлюдненню разом з аудиторським звітом у строк не пізніше 10 червня року, наступного за звітним. У разі неподання (несвоєчасного подання) річної фінансової звітності, яка підлягає оприлюдненню разом з аудиторським звітом, застосовується відповідальність, передбачена </w:t>
            </w:r>
            <w:hyperlink r:id="rId38" w:anchor="n2400">
              <w:r>
                <w:rPr>
                  <w:rFonts w:ascii="Times New Roman" w:eastAsia="Times New Roman" w:hAnsi="Times New Roman" w:cs="Times New Roman"/>
                  <w:sz w:val="28"/>
                  <w:szCs w:val="28"/>
                  <w:u w:val="single"/>
                </w:rPr>
                <w:t>пунктом 120.1</w:t>
              </w:r>
            </w:hyperlink>
            <w:r>
              <w:rPr>
                <w:rFonts w:ascii="Times New Roman" w:eastAsia="Times New Roman" w:hAnsi="Times New Roman" w:cs="Times New Roman"/>
                <w:sz w:val="28"/>
                <w:szCs w:val="28"/>
              </w:rPr>
              <w:t> статті 120 цього Кодексу, для подання </w:t>
            </w:r>
            <w:hyperlink r:id="rId39" w:anchor="n21">
              <w:r>
                <w:rPr>
                  <w:rFonts w:ascii="Times New Roman" w:eastAsia="Times New Roman" w:hAnsi="Times New Roman" w:cs="Times New Roman"/>
                  <w:sz w:val="28"/>
                  <w:szCs w:val="28"/>
                  <w:u w:val="single"/>
                </w:rPr>
                <w:t>податкових декларацій</w:t>
              </w:r>
            </w:hyperlink>
            <w:r>
              <w:rPr>
                <w:rFonts w:ascii="Times New Roman" w:eastAsia="Times New Roman" w:hAnsi="Times New Roman" w:cs="Times New Roman"/>
                <w:sz w:val="28"/>
                <w:szCs w:val="28"/>
              </w:rPr>
              <w:t> (розрахунків).</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trike/>
                <w:sz w:val="28"/>
                <w:szCs w:val="28"/>
              </w:rPr>
            </w:pPr>
            <w:r>
              <w:rPr>
                <w:rFonts w:ascii="Times New Roman" w:eastAsia="Times New Roman" w:hAnsi="Times New Roman" w:cs="Times New Roman"/>
                <w:sz w:val="28"/>
                <w:szCs w:val="28"/>
              </w:rPr>
              <w:t>Для частини чистого прибутку (доходу) податковими (звітними) періодами є календарні: квартал, півріччя, три квартали, рік. Для 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що не прийняли рішення про нарахування дивідендів до 1 травня року, який настає за звітним, податковим (звітним) періодом є календарний рік</w:t>
            </w:r>
            <w:r>
              <w:rPr>
                <w:rFonts w:ascii="Times New Roman" w:eastAsia="Times New Roman" w:hAnsi="Times New Roman" w:cs="Times New Roman"/>
                <w:strike/>
                <w:sz w:val="28"/>
                <w:szCs w:val="28"/>
              </w:rPr>
              <w:t>.</w:t>
            </w:r>
          </w:p>
          <w:p w:rsidR="00CA6C41" w:rsidRDefault="00CA6C41">
            <w:pPr>
              <w:pBdr>
                <w:top w:val="nil"/>
                <w:left w:val="nil"/>
                <w:bottom w:val="nil"/>
                <w:right w:val="nil"/>
                <w:between w:val="nil"/>
              </w:pBdr>
              <w:spacing w:after="150" w:line="240" w:lineRule="auto"/>
              <w:ind w:firstLine="450"/>
              <w:jc w:val="both"/>
              <w:rPr>
                <w:rFonts w:ascii="Times New Roman" w:eastAsia="Times New Roman" w:hAnsi="Times New Roman" w:cs="Times New Roman"/>
                <w:strike/>
                <w:sz w:val="28"/>
                <w:szCs w:val="28"/>
              </w:rPr>
            </w:pP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цьому розрахунок частини чистого прибутку (доходу), дивідендів на </w:t>
            </w:r>
            <w:r>
              <w:rPr>
                <w:rFonts w:ascii="Times New Roman" w:eastAsia="Times New Roman" w:hAnsi="Times New Roman" w:cs="Times New Roman"/>
                <w:b/>
                <w:sz w:val="28"/>
                <w:szCs w:val="28"/>
              </w:rPr>
              <w:t xml:space="preserve">державну/комунальну </w:t>
            </w:r>
            <w:r>
              <w:rPr>
                <w:rFonts w:ascii="Times New Roman" w:eastAsia="Times New Roman" w:hAnsi="Times New Roman" w:cs="Times New Roman"/>
                <w:sz w:val="28"/>
                <w:szCs w:val="28"/>
              </w:rPr>
              <w:t xml:space="preserve"> частку складається наростаючим підсумком та подається до контролюючих органів разом з фінансовою звітністю у строки, передбачені </w:t>
            </w:r>
            <w:hyperlink r:id="rId40" w:anchor="n1206">
              <w:r>
                <w:rPr>
                  <w:rFonts w:ascii="Times New Roman" w:eastAsia="Times New Roman" w:hAnsi="Times New Roman" w:cs="Times New Roman"/>
                  <w:sz w:val="28"/>
                  <w:szCs w:val="28"/>
                  <w:u w:val="single"/>
                </w:rPr>
                <w:t>статтею 49</w:t>
              </w:r>
            </w:hyperlink>
            <w:r>
              <w:rPr>
                <w:rFonts w:ascii="Times New Roman" w:eastAsia="Times New Roman" w:hAnsi="Times New Roman" w:cs="Times New Roman"/>
                <w:sz w:val="28"/>
                <w:szCs w:val="28"/>
              </w:rPr>
              <w:t> цього Кодексу.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Платники податку на прибуток - виробники сільськогосподарської продукції, які обрали річний податковий (звітний) період відповідно до </w:t>
            </w:r>
            <w:hyperlink r:id="rId41" w:anchor="n10657">
              <w:r>
                <w:rPr>
                  <w:rFonts w:ascii="Times New Roman" w:eastAsia="Times New Roman" w:hAnsi="Times New Roman" w:cs="Times New Roman"/>
                  <w:sz w:val="28"/>
                  <w:szCs w:val="28"/>
                  <w:u w:val="single"/>
                </w:rPr>
                <w:t>підпункту 137.4.1</w:t>
              </w:r>
            </w:hyperlink>
            <w:r>
              <w:rPr>
                <w:rFonts w:ascii="Times New Roman" w:eastAsia="Times New Roman" w:hAnsi="Times New Roman" w:cs="Times New Roman"/>
                <w:sz w:val="28"/>
                <w:szCs w:val="28"/>
              </w:rPr>
              <w:t> пункту 137.4 статті 137 цього Кодексу, складають та подають з відповідною </w:t>
            </w:r>
            <w:hyperlink r:id="rId42" w:anchor="n21">
              <w:r>
                <w:rPr>
                  <w:rFonts w:ascii="Times New Roman" w:eastAsia="Times New Roman" w:hAnsi="Times New Roman" w:cs="Times New Roman"/>
                  <w:sz w:val="28"/>
                  <w:szCs w:val="28"/>
                  <w:u w:val="single"/>
                </w:rPr>
                <w:t>податковою декларацією</w:t>
              </w:r>
            </w:hyperlink>
            <w:r>
              <w:rPr>
                <w:rFonts w:ascii="Times New Roman" w:eastAsia="Times New Roman" w:hAnsi="Times New Roman" w:cs="Times New Roman"/>
                <w:sz w:val="28"/>
                <w:szCs w:val="28"/>
              </w:rPr>
              <w:t xml:space="preserve"> фінансову звітність за </w:t>
            </w:r>
            <w:r>
              <w:rPr>
                <w:rFonts w:ascii="Times New Roman" w:eastAsia="Times New Roman" w:hAnsi="Times New Roman" w:cs="Times New Roman"/>
                <w:sz w:val="28"/>
                <w:szCs w:val="28"/>
              </w:rPr>
              <w:lastRenderedPageBreak/>
              <w:t>перше півріччя минулого звітного року, за минулий звітний рік та за перше півріччя поточного звітного року.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Платники частини чистого прибутку (доходу) та/або дивідендів на державну</w:t>
            </w:r>
            <w:r>
              <w:rPr>
                <w:rFonts w:ascii="Times New Roman" w:eastAsia="Times New Roman" w:hAnsi="Times New Roman" w:cs="Times New Roman"/>
                <w:b/>
                <w:sz w:val="28"/>
                <w:szCs w:val="28"/>
              </w:rPr>
              <w:t>/комунальну</w:t>
            </w:r>
            <w:r>
              <w:rPr>
                <w:rFonts w:ascii="Times New Roman" w:eastAsia="Times New Roman" w:hAnsi="Times New Roman" w:cs="Times New Roman"/>
                <w:sz w:val="28"/>
                <w:szCs w:val="28"/>
              </w:rPr>
              <w:t xml:space="preserve"> частку подають розрахунок частини чистого прибутку (доходу), дивідендів на державну</w:t>
            </w:r>
            <w:r>
              <w:rPr>
                <w:rFonts w:ascii="Times New Roman" w:eastAsia="Times New Roman" w:hAnsi="Times New Roman" w:cs="Times New Roman"/>
                <w:b/>
                <w:sz w:val="28"/>
                <w:szCs w:val="28"/>
              </w:rPr>
              <w:t>/комунальну</w:t>
            </w:r>
            <w:r>
              <w:rPr>
                <w:rFonts w:ascii="Times New Roman" w:eastAsia="Times New Roman" w:hAnsi="Times New Roman" w:cs="Times New Roman"/>
                <w:sz w:val="28"/>
                <w:szCs w:val="28"/>
              </w:rPr>
              <w:t xml:space="preserve">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Неприбуткові підприємства, установи та організації, визначені пунктом 133.4 статті 133 цього Кодексу,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політику, та річну фінансову звітність.</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Абзац відсутній</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Компанія з управління активами складає та подає окремо податкову декларацію з податку на прибуток підприємств та фінансову звітність за кожним пайовим інвестиційним фондом, який перебуває в її управлінні,</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49. Подання податкової декларації до контролюючих органів </w:t>
            </w: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49.18.6. календарному року для платників податку на прибуток (у тому числі платників частини чистого прибутку (доходу)), для </w:t>
            </w:r>
            <w:hyperlink r:id="rId43" w:anchor="n21">
              <w:r>
                <w:rPr>
                  <w:rFonts w:ascii="Times New Roman" w:eastAsia="Times New Roman" w:hAnsi="Times New Roman" w:cs="Times New Roman"/>
                  <w:sz w:val="28"/>
                  <w:szCs w:val="28"/>
                  <w:u w:val="single"/>
                </w:rPr>
                <w:t>податкової декларації</w:t>
              </w:r>
            </w:hyperlink>
            <w:r>
              <w:rPr>
                <w:rFonts w:ascii="Times New Roman" w:eastAsia="Times New Roman" w:hAnsi="Times New Roman" w:cs="Times New Roman"/>
                <w:sz w:val="28"/>
                <w:szCs w:val="28"/>
              </w:rPr>
              <w:t xml:space="preserve"> (у тому числі розрахунку частини чистого прибутку (доходу), дивідендів на державну частку), яка розраховується наростаючим підсумком за рік, - протягом 60 календарних днів, що настають за останнім календарним днем звітного (податкового) року;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br/>
              <w:t>49.18.7. календарному року для платників дивідендів на державну частку (у тому числі 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які не прийняли рішення про нарахування дивідендів до 1 травня року, що настає за звітним)</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для розрахунку частини чистого прибутку (доходу), дивідендів на державну частку - до 1 </w:t>
            </w:r>
            <w:r>
              <w:rPr>
                <w:rFonts w:ascii="Times New Roman" w:eastAsia="Times New Roman" w:hAnsi="Times New Roman" w:cs="Times New Roman"/>
                <w:b/>
                <w:sz w:val="28"/>
                <w:szCs w:val="28"/>
              </w:rPr>
              <w:t xml:space="preserve">липня </w:t>
            </w:r>
            <w:r>
              <w:rPr>
                <w:rFonts w:ascii="Times New Roman" w:eastAsia="Times New Roman" w:hAnsi="Times New Roman" w:cs="Times New Roman"/>
                <w:sz w:val="28"/>
                <w:szCs w:val="28"/>
              </w:rPr>
              <w:t>року, що настає за звітним</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49. Подання податкової декларації до контролюючих органів</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49.18.6. календарному року для платників податку на прибуток (у тому числі платників частини чистого прибутку (доходу)), для </w:t>
            </w:r>
            <w:hyperlink r:id="rId44" w:anchor="n21">
              <w:r>
                <w:rPr>
                  <w:rFonts w:ascii="Times New Roman" w:eastAsia="Times New Roman" w:hAnsi="Times New Roman" w:cs="Times New Roman"/>
                  <w:sz w:val="28"/>
                  <w:szCs w:val="28"/>
                  <w:u w:val="single"/>
                </w:rPr>
                <w:t>податкової декларації</w:t>
              </w:r>
            </w:hyperlink>
            <w:r>
              <w:rPr>
                <w:rFonts w:ascii="Times New Roman" w:eastAsia="Times New Roman" w:hAnsi="Times New Roman" w:cs="Times New Roman"/>
                <w:sz w:val="28"/>
                <w:szCs w:val="28"/>
              </w:rPr>
              <w:t xml:space="preserve"> (у тому числі розрахунку частини чистого прибутку (доходу), дивідендів на державну/</w:t>
            </w:r>
            <w:r>
              <w:rPr>
                <w:rFonts w:ascii="Times New Roman" w:eastAsia="Times New Roman" w:hAnsi="Times New Roman" w:cs="Times New Roman"/>
                <w:b/>
                <w:sz w:val="28"/>
                <w:szCs w:val="28"/>
              </w:rPr>
              <w:t>комунальну</w:t>
            </w:r>
            <w:r>
              <w:rPr>
                <w:rFonts w:ascii="Times New Roman" w:eastAsia="Times New Roman" w:hAnsi="Times New Roman" w:cs="Times New Roman"/>
                <w:sz w:val="28"/>
                <w:szCs w:val="28"/>
              </w:rPr>
              <w:t xml:space="preserve"> частку), яка розраховується наростаючим підсумком за рік, - протягом 60 календарних днів, що настають за останнім календарним днем звітного (податкового) року;</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49.18.7. календарному року для платників дивідендів на державну/</w:t>
            </w:r>
            <w:r>
              <w:rPr>
                <w:rFonts w:ascii="Times New Roman" w:eastAsia="Times New Roman" w:hAnsi="Times New Roman" w:cs="Times New Roman"/>
                <w:b/>
                <w:sz w:val="28"/>
                <w:szCs w:val="28"/>
              </w:rPr>
              <w:t>комунальну</w:t>
            </w:r>
            <w:r>
              <w:rPr>
                <w:rFonts w:ascii="Times New Roman" w:eastAsia="Times New Roman" w:hAnsi="Times New Roman" w:cs="Times New Roman"/>
                <w:sz w:val="28"/>
                <w:szCs w:val="28"/>
              </w:rPr>
              <w:t xml:space="preserve"> частку (у тому числі 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які не прийняли рішення про нарахування дивідендів до 1 травня року, що настає за звітним)</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для розрахунку частини чистого прибутку (доходу), дивідендів на державну/</w:t>
            </w:r>
            <w:r>
              <w:rPr>
                <w:rFonts w:ascii="Times New Roman" w:eastAsia="Times New Roman" w:hAnsi="Times New Roman" w:cs="Times New Roman"/>
                <w:b/>
                <w:sz w:val="28"/>
                <w:szCs w:val="28"/>
              </w:rPr>
              <w:t>комунальну</w:t>
            </w:r>
            <w:r>
              <w:rPr>
                <w:rFonts w:ascii="Times New Roman" w:eastAsia="Times New Roman" w:hAnsi="Times New Roman" w:cs="Times New Roman"/>
                <w:sz w:val="28"/>
                <w:szCs w:val="28"/>
              </w:rPr>
              <w:t xml:space="preserve"> частку - до 1 </w:t>
            </w:r>
            <w:r>
              <w:rPr>
                <w:rFonts w:ascii="Times New Roman" w:eastAsia="Times New Roman" w:hAnsi="Times New Roman" w:cs="Times New Roman"/>
                <w:b/>
                <w:sz w:val="28"/>
                <w:szCs w:val="28"/>
              </w:rPr>
              <w:t xml:space="preserve">червня </w:t>
            </w:r>
            <w:r>
              <w:rPr>
                <w:rFonts w:ascii="Times New Roman" w:eastAsia="Times New Roman" w:hAnsi="Times New Roman" w:cs="Times New Roman"/>
                <w:sz w:val="28"/>
                <w:szCs w:val="28"/>
              </w:rPr>
              <w:t>року, що настає за звітним</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49.19. Якщо податкова декларація за квартал, півріччя, три квартали або рік розраховується наростаючим підсумком на підставі показників базових податкових періодів, з яких складаються такі квартал, півріччя, три квартали або рік (без урахування авансових внесків), згідно з відповідним розділом цього Кодексу, зазначена податкова декларація подається у строки, визначені </w:t>
            </w:r>
            <w:hyperlink r:id="rId45" w:anchor="n1246">
              <w:r>
                <w:rPr>
                  <w:rFonts w:ascii="Times New Roman" w:eastAsia="Times New Roman" w:hAnsi="Times New Roman" w:cs="Times New Roman"/>
                  <w:sz w:val="28"/>
                  <w:szCs w:val="28"/>
                  <w:u w:val="single"/>
                </w:rPr>
                <w:t>пунктом 49.18</w:t>
              </w:r>
            </w:hyperlink>
            <w:r>
              <w:rPr>
                <w:rFonts w:ascii="Times New Roman" w:eastAsia="Times New Roman" w:hAnsi="Times New Roman" w:cs="Times New Roman"/>
                <w:sz w:val="28"/>
                <w:szCs w:val="28"/>
              </w:rPr>
              <w:t xml:space="preserve"> цієї статті для такого базового звітного (податкового) періоду, крім податкової </w:t>
            </w:r>
            <w:r>
              <w:rPr>
                <w:rFonts w:ascii="Times New Roman" w:eastAsia="Times New Roman" w:hAnsi="Times New Roman" w:cs="Times New Roman"/>
                <w:sz w:val="28"/>
                <w:szCs w:val="28"/>
              </w:rPr>
              <w:lastRenderedPageBreak/>
              <w:t xml:space="preserve">декларації з податку на прибуток та розрахунку частини чистого прибутку (доходу), дивідендів на </w:t>
            </w:r>
            <w:r>
              <w:rPr>
                <w:rFonts w:ascii="Times New Roman" w:eastAsia="Times New Roman" w:hAnsi="Times New Roman" w:cs="Times New Roman"/>
                <w:b/>
                <w:sz w:val="28"/>
                <w:szCs w:val="28"/>
              </w:rPr>
              <w:t xml:space="preserve">державну </w:t>
            </w:r>
            <w:r>
              <w:rPr>
                <w:rFonts w:ascii="Times New Roman" w:eastAsia="Times New Roman" w:hAnsi="Times New Roman" w:cs="Times New Roman"/>
                <w:sz w:val="28"/>
                <w:szCs w:val="28"/>
              </w:rPr>
              <w:t>частку, які розраховуються наростаючим підсумком за рік.</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платників частини чистого прибутку (доходу) податковими (звітними) періодами є календарні: квартал, півріччя, три квартали, рік. При цьому розрахунок частини чистого прибутку (доходу), дивідендів на </w:t>
            </w:r>
            <w:r>
              <w:rPr>
                <w:rFonts w:ascii="Times New Roman" w:eastAsia="Times New Roman" w:hAnsi="Times New Roman" w:cs="Times New Roman"/>
                <w:b/>
                <w:sz w:val="28"/>
                <w:szCs w:val="28"/>
              </w:rPr>
              <w:t xml:space="preserve">державну </w:t>
            </w:r>
            <w:r>
              <w:rPr>
                <w:rFonts w:ascii="Times New Roman" w:eastAsia="Times New Roman" w:hAnsi="Times New Roman" w:cs="Times New Roman"/>
                <w:sz w:val="28"/>
                <w:szCs w:val="28"/>
              </w:rPr>
              <w:t xml:space="preserve">частку складається наростаючим підсумком та подається до контролюючих органів разом з фінансовою звітністю у строки, передбачені </w:t>
            </w:r>
            <w:hyperlink r:id="rId46" w:anchor="n1248">
              <w:r>
                <w:rPr>
                  <w:rFonts w:ascii="Times New Roman" w:eastAsia="Times New Roman" w:hAnsi="Times New Roman" w:cs="Times New Roman"/>
                  <w:sz w:val="28"/>
                  <w:szCs w:val="28"/>
                  <w:u w:val="single"/>
                </w:rPr>
                <w:t xml:space="preserve">пунктом 49.18.2 </w:t>
              </w:r>
            </w:hyperlink>
            <w:r>
              <w:rPr>
                <w:rFonts w:ascii="Times New Roman" w:eastAsia="Times New Roman" w:hAnsi="Times New Roman" w:cs="Times New Roman"/>
                <w:sz w:val="28"/>
                <w:szCs w:val="28"/>
              </w:rPr>
              <w:t>статті 49 цього Кодексу (крім платників, визначених підпунктом 49.18.7 пункту 49.18 статті 49 цього Кодексу).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платників дивідендів на </w:t>
            </w:r>
            <w:r>
              <w:rPr>
                <w:rFonts w:ascii="Times New Roman" w:eastAsia="Times New Roman" w:hAnsi="Times New Roman" w:cs="Times New Roman"/>
                <w:b/>
                <w:sz w:val="28"/>
                <w:szCs w:val="28"/>
              </w:rPr>
              <w:t xml:space="preserve">державну </w:t>
            </w:r>
            <w:r>
              <w:rPr>
                <w:rFonts w:ascii="Times New Roman" w:eastAsia="Times New Roman" w:hAnsi="Times New Roman" w:cs="Times New Roman"/>
                <w:sz w:val="28"/>
                <w:szCs w:val="28"/>
              </w:rPr>
              <w:t xml:space="preserve">частку (господарські товариства, корпоративні права яких частково належать державі, та господарські товариства, 50 і більше відсотків акцій (часток, паїв) яких належать господарським товариствам, частка держави в яких становить 100 відсотків), податковими (звітними) періодами є календарний рік. При цьому розрахунок частини чистого прибутку (доходу), дивідендів на </w:t>
            </w:r>
            <w:r>
              <w:rPr>
                <w:rFonts w:ascii="Times New Roman" w:eastAsia="Times New Roman" w:hAnsi="Times New Roman" w:cs="Times New Roman"/>
                <w:b/>
                <w:sz w:val="28"/>
                <w:szCs w:val="28"/>
              </w:rPr>
              <w:t xml:space="preserve">державну </w:t>
            </w:r>
            <w:r>
              <w:rPr>
                <w:rFonts w:ascii="Times New Roman" w:eastAsia="Times New Roman" w:hAnsi="Times New Roman" w:cs="Times New Roman"/>
                <w:sz w:val="28"/>
                <w:szCs w:val="28"/>
              </w:rPr>
              <w:t>частку складається та подається до контролюючих органів разом з фінансовою звітністю до 1 липня року, що настає за звітним.</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Господарські товариства, у статутному капіталі яких є корпоративні права держави, та господарські товариства, 50 і більше відсотків акцій (часток, паїв) яких знаходяться у статутних капіталах господарських товариств, частка держави в яких становить 100 відсотків, які не прийняли рішення про нарахування дивідендів до 1 </w:t>
            </w:r>
            <w:r>
              <w:rPr>
                <w:rFonts w:ascii="Times New Roman" w:eastAsia="Times New Roman" w:hAnsi="Times New Roman" w:cs="Times New Roman"/>
                <w:sz w:val="28"/>
                <w:szCs w:val="28"/>
              </w:rPr>
              <w:lastRenderedPageBreak/>
              <w:t xml:space="preserve">травня року, що настає за звітним, подають один раз на рік до 1 липня року, що настає за звітним, розрахунок частини чистого прибутку (доходу), дивідендів на </w:t>
            </w:r>
            <w:r>
              <w:rPr>
                <w:rFonts w:ascii="Times New Roman" w:eastAsia="Times New Roman" w:hAnsi="Times New Roman" w:cs="Times New Roman"/>
                <w:b/>
                <w:sz w:val="28"/>
                <w:szCs w:val="28"/>
              </w:rPr>
              <w:t xml:space="preserve">державну </w:t>
            </w:r>
            <w:r>
              <w:rPr>
                <w:rFonts w:ascii="Times New Roman" w:eastAsia="Times New Roman" w:hAnsi="Times New Roman" w:cs="Times New Roman"/>
                <w:sz w:val="28"/>
                <w:szCs w:val="28"/>
              </w:rPr>
              <w:t>частку, складений за підсумками звітного року.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цілей цього Кодексу під терміном "базовий звітний (податковий) період" слід розуміти перший звітний (податковий) період року, визначений відповідним розділом цього Кодексу.</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49.19. Якщо податкова декларація за квартал, півріччя, три квартали або рік розраховується наростаючим підсумком на підставі показників базових податкових періодів, з яких складаються такі квартал, півріччя, три квартали або рік (без урахування авансових внесків), згідно з відповідним розділом цього Кодексу, зазначена податкова декларація подається у строки, визначені </w:t>
            </w:r>
            <w:hyperlink r:id="rId47" w:anchor="n1246">
              <w:r>
                <w:rPr>
                  <w:rFonts w:ascii="Times New Roman" w:eastAsia="Times New Roman" w:hAnsi="Times New Roman" w:cs="Times New Roman"/>
                  <w:sz w:val="28"/>
                  <w:szCs w:val="28"/>
                  <w:u w:val="single"/>
                </w:rPr>
                <w:t>пунктом 49.18</w:t>
              </w:r>
            </w:hyperlink>
            <w:r>
              <w:rPr>
                <w:rFonts w:ascii="Times New Roman" w:eastAsia="Times New Roman" w:hAnsi="Times New Roman" w:cs="Times New Roman"/>
                <w:sz w:val="28"/>
                <w:szCs w:val="28"/>
              </w:rPr>
              <w:t xml:space="preserve"> цієї статті для такого базового звітного (податкового) періоду, крім податкової декларації з податку на прибуток та розрахунку частини чистого прибутку </w:t>
            </w:r>
            <w:r>
              <w:rPr>
                <w:rFonts w:ascii="Times New Roman" w:eastAsia="Times New Roman" w:hAnsi="Times New Roman" w:cs="Times New Roman"/>
                <w:sz w:val="28"/>
                <w:szCs w:val="28"/>
              </w:rPr>
              <w:lastRenderedPageBreak/>
              <w:t xml:space="preserve">(доходу), дивідендів на </w:t>
            </w:r>
            <w:r>
              <w:rPr>
                <w:rFonts w:ascii="Times New Roman" w:eastAsia="Times New Roman" w:hAnsi="Times New Roman" w:cs="Times New Roman"/>
                <w:b/>
                <w:sz w:val="28"/>
                <w:szCs w:val="28"/>
              </w:rPr>
              <w:t xml:space="preserve">державну/комунальну </w:t>
            </w:r>
            <w:r>
              <w:rPr>
                <w:rFonts w:ascii="Times New Roman" w:eastAsia="Times New Roman" w:hAnsi="Times New Roman" w:cs="Times New Roman"/>
                <w:sz w:val="28"/>
                <w:szCs w:val="28"/>
              </w:rPr>
              <w:t>частку, які розраховуються наростаючим підсумком за рік.</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платників частини чистого прибутку (доходу) податковими (звітними) періодами є календарні: квартал, півріччя, три квартали, рік. При цьому розрахунок частини чистого прибутку (доходу), дивідендів на </w:t>
            </w:r>
            <w:r>
              <w:rPr>
                <w:rFonts w:ascii="Times New Roman" w:eastAsia="Times New Roman" w:hAnsi="Times New Roman" w:cs="Times New Roman"/>
                <w:b/>
                <w:sz w:val="28"/>
                <w:szCs w:val="28"/>
              </w:rPr>
              <w:t xml:space="preserve">державну/комунальну </w:t>
            </w:r>
            <w:r>
              <w:rPr>
                <w:rFonts w:ascii="Times New Roman" w:eastAsia="Times New Roman" w:hAnsi="Times New Roman" w:cs="Times New Roman"/>
                <w:sz w:val="28"/>
                <w:szCs w:val="28"/>
              </w:rPr>
              <w:t xml:space="preserve">частку складається наростаючим підсумком та подається до контролюючих органів разом з фінансовою звітністю у строки, передбачені </w:t>
            </w:r>
            <w:hyperlink r:id="rId48" w:anchor="n1248">
              <w:r>
                <w:rPr>
                  <w:rFonts w:ascii="Times New Roman" w:eastAsia="Times New Roman" w:hAnsi="Times New Roman" w:cs="Times New Roman"/>
                  <w:sz w:val="28"/>
                  <w:szCs w:val="28"/>
                  <w:u w:val="single"/>
                </w:rPr>
                <w:t xml:space="preserve">пунктом 49.18.2 </w:t>
              </w:r>
            </w:hyperlink>
            <w:r>
              <w:rPr>
                <w:rFonts w:ascii="Times New Roman" w:eastAsia="Times New Roman" w:hAnsi="Times New Roman" w:cs="Times New Roman"/>
                <w:sz w:val="28"/>
                <w:szCs w:val="28"/>
              </w:rPr>
              <w:t>статті 49 цього Кодексу (крім платників, визначених підпунктом 49.18.7 пункту 49.18 статті 49 цього Кодексу).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платників дивідендів на </w:t>
            </w:r>
            <w:r>
              <w:rPr>
                <w:rFonts w:ascii="Times New Roman" w:eastAsia="Times New Roman" w:hAnsi="Times New Roman" w:cs="Times New Roman"/>
                <w:b/>
                <w:sz w:val="28"/>
                <w:szCs w:val="28"/>
              </w:rPr>
              <w:t xml:space="preserve">державну/комунальну </w:t>
            </w:r>
            <w:r>
              <w:rPr>
                <w:rFonts w:ascii="Times New Roman" w:eastAsia="Times New Roman" w:hAnsi="Times New Roman" w:cs="Times New Roman"/>
                <w:sz w:val="28"/>
                <w:szCs w:val="28"/>
              </w:rPr>
              <w:t xml:space="preserve">частку (господарські товариства, корпоративні права яких частково належать державі, та господарські товариства, 50 і більше відсотків акцій (часток, паїв) яких належать господарським товариствам, частка держави в яких становить 100 відсотків), податковими (звітними) періодами є календарний рік. При цьому розрахунок частини чистого прибутку (доходу), дивідендів на </w:t>
            </w:r>
            <w:r>
              <w:rPr>
                <w:rFonts w:ascii="Times New Roman" w:eastAsia="Times New Roman" w:hAnsi="Times New Roman" w:cs="Times New Roman"/>
                <w:b/>
                <w:sz w:val="28"/>
                <w:szCs w:val="28"/>
              </w:rPr>
              <w:t xml:space="preserve">державну/комунальну </w:t>
            </w:r>
            <w:r>
              <w:rPr>
                <w:rFonts w:ascii="Times New Roman" w:eastAsia="Times New Roman" w:hAnsi="Times New Roman" w:cs="Times New Roman"/>
                <w:sz w:val="28"/>
                <w:szCs w:val="28"/>
              </w:rPr>
              <w:t xml:space="preserve">частку складається та подається до контролюючих органів разом з фінансовою звітністю до 1 </w:t>
            </w:r>
            <w:r>
              <w:rPr>
                <w:rFonts w:ascii="Times New Roman" w:eastAsia="Times New Roman" w:hAnsi="Times New Roman" w:cs="Times New Roman"/>
                <w:b/>
                <w:sz w:val="28"/>
                <w:szCs w:val="28"/>
              </w:rPr>
              <w:t xml:space="preserve">червня </w:t>
            </w:r>
            <w:r>
              <w:rPr>
                <w:rFonts w:ascii="Times New Roman" w:eastAsia="Times New Roman" w:hAnsi="Times New Roman" w:cs="Times New Roman"/>
                <w:sz w:val="28"/>
                <w:szCs w:val="28"/>
              </w:rPr>
              <w:t>року, що настає за звітним.</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Господарські товариства, у статутному капіталі яких є корпоративні права держави, та господарські товариства, 50 і більше відсотків акцій (часток, паїв) яких знаходяться у статутних капіталах господарських товариств, частка держави в яких становить 100 відсотків, які не прийняли рішення про нарахування дивідендів до 1 травня року, що настає за звітним, подають один раз на рік до 1 </w:t>
            </w:r>
            <w:r>
              <w:rPr>
                <w:rFonts w:ascii="Times New Roman" w:eastAsia="Times New Roman" w:hAnsi="Times New Roman" w:cs="Times New Roman"/>
                <w:b/>
                <w:sz w:val="28"/>
                <w:szCs w:val="28"/>
              </w:rPr>
              <w:t xml:space="preserve">червня </w:t>
            </w:r>
            <w:r>
              <w:rPr>
                <w:rFonts w:ascii="Times New Roman" w:eastAsia="Times New Roman" w:hAnsi="Times New Roman" w:cs="Times New Roman"/>
                <w:sz w:val="28"/>
                <w:szCs w:val="28"/>
              </w:rPr>
              <w:t xml:space="preserve">року, що настає за звітним, розрахунок частини чистого прибутку (доходу), дивідендів на </w:t>
            </w:r>
            <w:r>
              <w:rPr>
                <w:rFonts w:ascii="Times New Roman" w:eastAsia="Times New Roman" w:hAnsi="Times New Roman" w:cs="Times New Roman"/>
                <w:b/>
                <w:sz w:val="28"/>
                <w:szCs w:val="28"/>
              </w:rPr>
              <w:lastRenderedPageBreak/>
              <w:t xml:space="preserve">державну/комунальну </w:t>
            </w:r>
            <w:r>
              <w:rPr>
                <w:rFonts w:ascii="Times New Roman" w:eastAsia="Times New Roman" w:hAnsi="Times New Roman" w:cs="Times New Roman"/>
                <w:sz w:val="28"/>
                <w:szCs w:val="28"/>
              </w:rPr>
              <w:t>частку, складений за підсумками звітного року.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цілей цього Кодексу під терміном "базовий звітний (податковий) період" слід розуміти перший звітний (податковий) період року, визначений відповідним розділом цього Кодексу.</w:t>
            </w: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56.</w:t>
            </w:r>
            <w:r>
              <w:rPr>
                <w:rFonts w:ascii="Times New Roman" w:eastAsia="Times New Roman" w:hAnsi="Times New Roman" w:cs="Times New Roman"/>
                <w:sz w:val="28"/>
                <w:szCs w:val="28"/>
              </w:rPr>
              <w:t> Оскарження рішень контролюючих органів</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56.</w:t>
            </w:r>
            <w:r>
              <w:rPr>
                <w:rFonts w:ascii="Times New Roman" w:eastAsia="Times New Roman" w:hAnsi="Times New Roman" w:cs="Times New Roman"/>
                <w:sz w:val="28"/>
                <w:szCs w:val="28"/>
              </w:rPr>
              <w:t> Оскарження рішень контролюючих органів</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56.23. Оскарження рішення про відмову у реєстрації податкової накладної / розрахунку коригування в Єдиному реєстрі податкових накладних здійснюється у порядку, визначеному цією статтею з урахуванням таких особливостей:</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56.23.1. скарга на рішення про відмову у реєстрації податкової накладної / розрахунку коригування в Єдиному реєстрі податкових накладних подається до центрального органу виконавчої влади, що реалізує державну податкову політику;</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56.23.2. скарга на рішення про відмову у реєстрації податкової накладної / розрахунку коригування в Єдиному реєстрі податкових накладних розглядається в порядку, визначеному Кабінетом Міністрів України, комісією центрального органу виконавчої влади, що реалізує державну податкову політику, за участі уповноваженої особи центрального органу виконавчої влади, що забезпечує формування та реалізує державну фінансову політику;</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56.23.3. скарга на рішення про відмову у реєстрації податкової накладної / розрахунку коригування в Єдиному реєстрі податкових накладних розглядається протягом 10 календарних днів з дня отримання такої скарги центральним органом виконавчої влади, що реалізує державну податкову політику. Термін розгляду скарги не може бути продовженим;</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56.23.4. якщо вмотивоване рішення за скаргою платника податків на рішення про відмову у реєстрації податкової накладної / розрахунку коригування в Єдиному реєстрі податкових накладних не надсилається платнику податків протягом 10-денного строку, така скарга вважається повністю задоволеною на користь платника податків з дня, наступного за останнім днем зазначеного строку.</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56.23. Оскарження рішення про зупинення реєстрації податкової накладної / розрахунку коригування в Єдиному реєстрі податкових накладних, про неврахування таблиці даних платника податку на додану вартість, про відповідність платника податку на додану вартість критеріям ризиковості платника податку здійснюється у порядку, визначеному цією статтею, з урахуванням таких особливостей:</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56.23.1. скарги на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 платника податку на додану вартість критеріям ризиковості платника податку подаються контролюючому органу та розглядаються протягом 10 календарних днів з дня отримання таких скарг </w:t>
            </w:r>
            <w:r>
              <w:rPr>
                <w:rFonts w:ascii="Times New Roman" w:eastAsia="Times New Roman" w:hAnsi="Times New Roman" w:cs="Times New Roman"/>
                <w:b/>
                <w:sz w:val="28"/>
                <w:szCs w:val="28"/>
              </w:rPr>
              <w:lastRenderedPageBreak/>
              <w:t>контролюючим органом в порядку, визначеному Кабінетом Міністрів України. Строк розгляду скарги не може бути продовженим;</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Виключити</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Виключити</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56.23.4. якщо вмотивоване рішення за скаргою платника податків на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 платника податку на додану вартість критеріям ризиковості платника податку не надсилається платнику податків протягом 10-денного строку, така скарга вважається повністю задоволеною на користь платника податків з дня, що настає за останнім днем зазначеного строку.</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57. </w:t>
            </w:r>
            <w:r>
              <w:rPr>
                <w:rFonts w:ascii="Times New Roman" w:eastAsia="Times New Roman" w:hAnsi="Times New Roman" w:cs="Times New Roman"/>
                <w:sz w:val="28"/>
                <w:szCs w:val="28"/>
              </w:rPr>
              <w:t>Строки сплати податкового зобов’язання</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57. </w:t>
            </w:r>
            <w:r>
              <w:rPr>
                <w:rFonts w:ascii="Times New Roman" w:eastAsia="Times New Roman" w:hAnsi="Times New Roman" w:cs="Times New Roman"/>
                <w:sz w:val="28"/>
                <w:szCs w:val="28"/>
              </w:rPr>
              <w:t>Строки сплати податкового зобов’язання</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57.1. Платник податків зобов’язаний самостійно сплатити суму податкового зобов’язання, зазначену у поданій ним податковій декларації, протягом 10 календарних днів, що настають за останнім днем відповідного граничного строку, передбаченого цим Кодексом для подання податкової декларації, крім випадків, встановлених цим Кодексом.</w:t>
            </w:r>
          </w:p>
          <w:p w:rsidR="00CA6C41" w:rsidRDefault="00FC4AC1">
            <w:pPr>
              <w:pBdr>
                <w:top w:val="nil"/>
                <w:left w:val="nil"/>
                <w:bottom w:val="nil"/>
                <w:right w:val="nil"/>
                <w:between w:val="nil"/>
              </w:pBdr>
              <w:spacing w:before="6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Податковий агент зобов’язаний сплатити суму податкового зобов’язання (суму нарахованого (утриманого) податку), самостійно визначеного ним з доходу, що виплачується на користь платника податку - фізичної особи та за рахунок такої виплати, у строки, передбачені цим Кодексом.</w:t>
            </w:r>
          </w:p>
          <w:p w:rsidR="00CA6C41" w:rsidRDefault="00FC4AC1">
            <w:pPr>
              <w:pBdr>
                <w:top w:val="nil"/>
                <w:left w:val="nil"/>
                <w:bottom w:val="nil"/>
                <w:right w:val="nil"/>
                <w:between w:val="nil"/>
              </w:pBdr>
              <w:spacing w:before="6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Суму податкового зобов’язання, визначену у митній декларації, платник податків зобов’язаний сплатити до/або на день подання митної декларації.</w:t>
            </w:r>
          </w:p>
          <w:p w:rsidR="00CA6C41" w:rsidRDefault="00CA6C41">
            <w:pPr>
              <w:pBdr>
                <w:top w:val="nil"/>
                <w:left w:val="nil"/>
                <w:bottom w:val="nil"/>
                <w:right w:val="nil"/>
                <w:between w:val="nil"/>
              </w:pBdr>
              <w:spacing w:before="60"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before="60"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Відсутня</w:t>
            </w:r>
          </w:p>
          <w:p w:rsidR="00CA6C41" w:rsidRDefault="00CA6C41">
            <w:pPr>
              <w:pBdr>
                <w:top w:val="nil"/>
                <w:left w:val="nil"/>
                <w:bottom w:val="nil"/>
                <w:right w:val="nil"/>
                <w:between w:val="nil"/>
              </w:pBdr>
              <w:spacing w:before="60"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60"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60"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before="6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Якщо граничний строк сплати податкового зобов’язання припадає на вихідний або святковий день, останнім днем сплати податкового зобов’язання вважається операційний (банківський) день, що настає за вихідним або святковим днем.</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57.1. Платник податків зобов’язаний самостійно сплатити суму податкового зобов’язання, зазначену у поданій ним податковій декларації, протягом 10 календарних днів, що настають за останнім днем відповідного граничного строку, передбаченого цим Кодексом для подання податкової декларації, крім випадків, встановлених цим Кодексом.</w:t>
            </w:r>
          </w:p>
          <w:p w:rsidR="00CA6C41" w:rsidRDefault="00FC4AC1">
            <w:pPr>
              <w:pBdr>
                <w:top w:val="nil"/>
                <w:left w:val="nil"/>
                <w:bottom w:val="nil"/>
                <w:right w:val="nil"/>
                <w:between w:val="nil"/>
              </w:pBdr>
              <w:spacing w:before="6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Податковий агент зобов’язаний сплатити суму податкового зобов’язання (суму нарахованого (утриманого) податку), самостійно визначеного ним з доходу, що виплачується на користь платника податку - фізичної особи та за рахунок такої виплати, у строки, передбачені цим Кодексом.</w:t>
            </w:r>
          </w:p>
          <w:p w:rsidR="00CA6C41" w:rsidRDefault="00FC4AC1">
            <w:pPr>
              <w:pBdr>
                <w:top w:val="nil"/>
                <w:left w:val="nil"/>
                <w:bottom w:val="nil"/>
                <w:right w:val="nil"/>
                <w:between w:val="nil"/>
              </w:pBdr>
              <w:spacing w:before="6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Суму податкового зобов’язання, визначену у митній декларації, платник податків зобов’язаний сплатити до/або на день подання митної декларації.</w:t>
            </w:r>
          </w:p>
          <w:p w:rsidR="00CA6C41" w:rsidRDefault="00CA6C41">
            <w:pPr>
              <w:pBdr>
                <w:top w:val="nil"/>
                <w:left w:val="nil"/>
                <w:bottom w:val="nil"/>
                <w:right w:val="nil"/>
                <w:between w:val="nil"/>
              </w:pBdr>
              <w:spacing w:before="60" w:after="0" w:line="240" w:lineRule="auto"/>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before="60"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Платник дивідендів на державну/комунальну частку зобов’язаний самостійно сплатити суму податкового зобов’язання, зазначену у поданому ним розрахунку частини чистого прибутку (доходу), дивідендів на державну/комунальну частку у строк до 1 липня року, що настає за звітним.</w:t>
            </w:r>
          </w:p>
          <w:p w:rsidR="00CA6C41" w:rsidRDefault="00FC4AC1">
            <w:pPr>
              <w:pBdr>
                <w:top w:val="nil"/>
                <w:left w:val="nil"/>
                <w:bottom w:val="nil"/>
                <w:right w:val="nil"/>
                <w:between w:val="nil"/>
              </w:pBdr>
              <w:spacing w:before="6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Якщо граничний строк сплати податкового зобов’язання припадає на вихідний або святковий день, останнім днем сплати податкового зобов’язання вважається операційний (банківський) день, що настає за вихідним або святковим днем.</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6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73.</w:t>
            </w:r>
            <w:r>
              <w:rPr>
                <w:rFonts w:ascii="Times New Roman" w:eastAsia="Times New Roman" w:hAnsi="Times New Roman" w:cs="Times New Roman"/>
                <w:sz w:val="28"/>
                <w:szCs w:val="28"/>
              </w:rPr>
              <w:t> Отримання податкової інформації контролюючими органами</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6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73.</w:t>
            </w:r>
            <w:r>
              <w:rPr>
                <w:rFonts w:ascii="Times New Roman" w:eastAsia="Times New Roman" w:hAnsi="Times New Roman" w:cs="Times New Roman"/>
                <w:sz w:val="28"/>
                <w:szCs w:val="28"/>
              </w:rPr>
              <w:t> Отримання податкової інформації контролюючими органами</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6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73.4. Інформація про наявність та рух коштів на рахунках платника податків надається в обсягах більших, ніж передбачені пунктом 73.3 цієї статті, банками та іншими фінансовими установами контролюючим органам за рішенням суду. Для отримання такої інформації контролюючий орган звертається до суду.</w:t>
            </w:r>
          </w:p>
          <w:p w:rsidR="00CA6C41" w:rsidRDefault="00FC4AC1">
            <w:pPr>
              <w:pBdr>
                <w:top w:val="nil"/>
                <w:left w:val="nil"/>
                <w:bottom w:val="nil"/>
                <w:right w:val="nil"/>
                <w:between w:val="nil"/>
              </w:pBdr>
              <w:spacing w:before="60" w:after="6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Правила, встановлені цим пунктом, не застосовуються до запитів про надання банками та іншими фінансовими установами, які визнаються фінансовими агентами, інформації про підзвітні рахунки в обсягах, визначених </w:t>
            </w:r>
            <w:hyperlink r:id="rId49">
              <w:r>
                <w:rPr>
                  <w:rFonts w:ascii="Times New Roman" w:eastAsia="Times New Roman" w:hAnsi="Times New Roman" w:cs="Times New Roman"/>
                  <w:sz w:val="28"/>
                  <w:szCs w:val="28"/>
                </w:rPr>
                <w:t>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w:t>
              </w:r>
            </w:hyperlink>
            <w:r>
              <w:rPr>
                <w:rFonts w:ascii="Times New Roman" w:eastAsia="Times New Roman" w:hAnsi="Times New Roman" w:cs="Times New Roman"/>
                <w:sz w:val="28"/>
                <w:szCs w:val="28"/>
              </w:rPr>
              <w:t>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w:t>
            </w:r>
          </w:p>
          <w:p w:rsidR="00CA6C41" w:rsidRDefault="00FC4AC1">
            <w:pPr>
              <w:pBdr>
                <w:top w:val="nil"/>
                <w:left w:val="nil"/>
                <w:bottom w:val="nil"/>
                <w:right w:val="nil"/>
                <w:between w:val="nil"/>
              </w:pBdr>
              <w:spacing w:before="60" w:after="6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6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73.4. Інформація про наявність та рух коштів на рахунках платника податків надається в обсягах більших, ніж передбачені пунктом 73.3 цієї статті, банками та іншими фінансовими установами контролюючим органам за рішенням суду. Для отримання такої інформації контролюючий орган звертається до суду.</w:t>
            </w:r>
          </w:p>
          <w:p w:rsidR="00CA6C41" w:rsidRDefault="00FC4AC1">
            <w:pPr>
              <w:pBdr>
                <w:top w:val="nil"/>
                <w:left w:val="nil"/>
                <w:bottom w:val="nil"/>
                <w:right w:val="nil"/>
                <w:between w:val="nil"/>
              </w:pBdr>
              <w:spacing w:before="60" w:after="6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Правила, встановлені цим пунктом, не застосовуються до запитів про надання банками та іншими фінансовими установами, які визнаються фінансовими агентами, інформації про підзвітні рахунки в обсягах, визначених </w:t>
            </w:r>
            <w:hyperlink r:id="rId50">
              <w:r>
                <w:rPr>
                  <w:rFonts w:ascii="Times New Roman" w:eastAsia="Times New Roman" w:hAnsi="Times New Roman" w:cs="Times New Roman"/>
                  <w:sz w:val="28"/>
                  <w:szCs w:val="28"/>
                </w:rPr>
                <w:t>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w:t>
              </w:r>
            </w:hyperlink>
            <w:r>
              <w:rPr>
                <w:rFonts w:ascii="Times New Roman" w:eastAsia="Times New Roman" w:hAnsi="Times New Roman" w:cs="Times New Roman"/>
                <w:sz w:val="28"/>
                <w:szCs w:val="28"/>
              </w:rPr>
              <w:t>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w:t>
            </w:r>
          </w:p>
          <w:p w:rsidR="00CA6C41" w:rsidRDefault="00FC4AC1">
            <w:pPr>
              <w:pBdr>
                <w:top w:val="nil"/>
                <w:left w:val="nil"/>
                <w:bottom w:val="nil"/>
                <w:right w:val="nil"/>
                <w:between w:val="nil"/>
              </w:pBdr>
              <w:spacing w:before="60" w:after="6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Правила, встановлені цим пунктом не застосовуються до вимог центрального органу виконавчої влади,  що  реалізує державну податкову політику, про надання інформації установами Національного банку України, банками та іншими фінансовими установами у випадках визначених підпунктом 20.1.5 пункту 20.1 статті 20 Кодексу.</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left="27" w:firstLine="28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95.</w:t>
            </w:r>
            <w:r>
              <w:rPr>
                <w:rFonts w:ascii="Times New Roman" w:eastAsia="Times New Roman" w:hAnsi="Times New Roman" w:cs="Times New Roman"/>
                <w:sz w:val="28"/>
                <w:szCs w:val="28"/>
              </w:rPr>
              <w:t> Продаж майна, що перебуває у податковій заставі</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left="27" w:firstLine="28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95.</w:t>
            </w:r>
            <w:r>
              <w:rPr>
                <w:rFonts w:ascii="Times New Roman" w:eastAsia="Times New Roman" w:hAnsi="Times New Roman" w:cs="Times New Roman"/>
                <w:sz w:val="28"/>
                <w:szCs w:val="28"/>
              </w:rPr>
              <w:t> Продаж майна, що перебуває у податковій заставі</w:t>
            </w:r>
          </w:p>
        </w:tc>
      </w:tr>
      <w:tr w:rsidR="00CA6C41">
        <w:tc>
          <w:tcPr>
            <w:tcW w:w="712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left="27"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left="27"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95.5. Вилучені відповідно до цієї статті готівкові кошти вносяться посадовою особою контролюючого органу до банку в день їх стягнення для перерахування до </w:t>
            </w:r>
            <w:r>
              <w:rPr>
                <w:rFonts w:ascii="Times New Roman" w:eastAsia="Times New Roman" w:hAnsi="Times New Roman" w:cs="Times New Roman"/>
                <w:sz w:val="28"/>
                <w:szCs w:val="28"/>
              </w:rPr>
              <w:lastRenderedPageBreak/>
              <w:t xml:space="preserve">відповідного бюджету </w:t>
            </w:r>
            <w:r>
              <w:rPr>
                <w:rFonts w:ascii="Times New Roman" w:eastAsia="Times New Roman" w:hAnsi="Times New Roman" w:cs="Times New Roman"/>
                <w:b/>
                <w:strike/>
                <w:sz w:val="28"/>
                <w:szCs w:val="28"/>
              </w:rPr>
              <w:t>чи державного цільового фонду</w:t>
            </w:r>
            <w:r>
              <w:rPr>
                <w:rFonts w:ascii="Times New Roman" w:eastAsia="Times New Roman" w:hAnsi="Times New Roman" w:cs="Times New Roman"/>
                <w:strike/>
                <w:sz w:val="28"/>
                <w:szCs w:val="28"/>
              </w:rPr>
              <w:t xml:space="preserve"> </w:t>
            </w:r>
            <w:r>
              <w:rPr>
                <w:rFonts w:ascii="Times New Roman" w:eastAsia="Times New Roman" w:hAnsi="Times New Roman" w:cs="Times New Roman"/>
                <w:sz w:val="28"/>
                <w:szCs w:val="28"/>
              </w:rPr>
              <w:t>в рахунок погашення податкового боргу платника податків, а у разі погашення податкового боргу з податку на додану вартість за задекларованими до сплати податковими зобов’язаннями за періоди, починаючи з 1 липня 2015 року, визначеними платником податків у податковій декларації з податку на додану вартість або уточнюючому розрахунку, такі кошти вносяться на рахунок платника в системі електронного адміністрування податку на додану вартість. У разі неможливості внесення зазначених коштів протягом того самого дня їх необхідно внести в банк наступного робочого дня. Забезпечення збереження зазначених коштів до моменту їх внесення в банк здійснюється відповідним контролюючим органом.</w:t>
            </w:r>
          </w:p>
          <w:p w:rsidR="00CA6C41" w:rsidRDefault="00FC4AC1">
            <w:pPr>
              <w:pBdr>
                <w:top w:val="nil"/>
                <w:left w:val="nil"/>
                <w:bottom w:val="nil"/>
                <w:right w:val="nil"/>
                <w:between w:val="nil"/>
              </w:pBdr>
              <w:spacing w:after="0" w:line="240" w:lineRule="auto"/>
              <w:ind w:left="27"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6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left="27"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CA6C41" w:rsidRDefault="00FC4AC1">
            <w:pPr>
              <w:pBdr>
                <w:top w:val="nil"/>
                <w:left w:val="nil"/>
                <w:bottom w:val="nil"/>
                <w:right w:val="nil"/>
                <w:between w:val="nil"/>
              </w:pBdr>
              <w:spacing w:after="0" w:line="240" w:lineRule="auto"/>
              <w:ind w:left="27"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95.5. Вилучені відповідно до цієї статті готівкові кошти вносяться посадовою особою контролюючого органу до банку в день їх стягнення для перерахування до відповідного </w:t>
            </w:r>
            <w:r>
              <w:rPr>
                <w:rFonts w:ascii="Times New Roman" w:eastAsia="Times New Roman" w:hAnsi="Times New Roman" w:cs="Times New Roman"/>
                <w:sz w:val="28"/>
                <w:szCs w:val="28"/>
              </w:rPr>
              <w:lastRenderedPageBreak/>
              <w:t>бюджету в рахунок погашення податкового боргу платника податків, а у разі погашення податкового боргу з податку на додану вартість за задекларованими до сплати податковими зобов’язаннями за періоди, починаючи з 1 липня 2015 року, визначеними платником податків у податковій декларації з податку на додану вартість або уточнюючому розрахунку, такі кошти вносяться на рахунок платника в системі електронного адміністрування податку на додану вартість. У разі неможливості внесення зазначених коштів протягом того самого дня їх необхідно внести в банк наступного робочого дня. Забезпечення збереження зазначених коштів до моменту їх внесення в банк здійснюється відповідним контролюючим органом.</w:t>
            </w:r>
          </w:p>
          <w:p w:rsidR="00CA6C41" w:rsidRDefault="00CA6C41">
            <w:pPr>
              <w:pBdr>
                <w:top w:val="nil"/>
                <w:left w:val="nil"/>
                <w:bottom w:val="nil"/>
                <w:right w:val="nil"/>
                <w:between w:val="nil"/>
              </w:pBdr>
              <w:spacing w:after="0" w:line="240" w:lineRule="auto"/>
              <w:ind w:left="27" w:firstLine="284"/>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left="27"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bl>
    <w:p w:rsidR="00CA6C41" w:rsidRDefault="00CA6C41">
      <w:pPr>
        <w:pBdr>
          <w:top w:val="nil"/>
          <w:left w:val="nil"/>
          <w:bottom w:val="nil"/>
          <w:right w:val="nil"/>
          <w:between w:val="nil"/>
        </w:pBdr>
        <w:rPr>
          <w:rFonts w:ascii="Times New Roman" w:eastAsia="Times New Roman" w:hAnsi="Times New Roman" w:cs="Times New Roman"/>
          <w:sz w:val="28"/>
          <w:szCs w:val="28"/>
        </w:rPr>
      </w:pPr>
    </w:p>
    <w:p w:rsidR="00CA6C41" w:rsidRDefault="00CA6C41">
      <w:pPr>
        <w:pBdr>
          <w:top w:val="nil"/>
          <w:left w:val="nil"/>
          <w:bottom w:val="nil"/>
          <w:right w:val="nil"/>
          <w:between w:val="nil"/>
        </w:pBdr>
        <w:rPr>
          <w:rFonts w:ascii="Times New Roman" w:eastAsia="Times New Roman" w:hAnsi="Times New Roman" w:cs="Times New Roman"/>
          <w:sz w:val="28"/>
          <w:szCs w:val="28"/>
        </w:rPr>
      </w:pPr>
    </w:p>
    <w:tbl>
      <w:tblPr>
        <w:tblStyle w:val="afffff1"/>
        <w:tblW w:w="14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16"/>
        <w:gridCol w:w="7469"/>
      </w:tblGrid>
      <w:tr w:rsidR="00CA6C41">
        <w:tc>
          <w:tcPr>
            <w:tcW w:w="7416"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III. ПОДАТОК НА ПРИБУТОК ПІДПРИЄМСТВ</w:t>
            </w:r>
          </w:p>
        </w:tc>
        <w:tc>
          <w:tcPr>
            <w:tcW w:w="7469"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III. ПОДАТОК НА ПРИБУТОК ПІДПРИЄМСТВ</w:t>
            </w:r>
          </w:p>
        </w:tc>
      </w:tr>
      <w:tr w:rsidR="00CA6C41">
        <w:tc>
          <w:tcPr>
            <w:tcW w:w="7416"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134. Об’єкт оподаткування</w:t>
            </w:r>
          </w:p>
        </w:tc>
        <w:tc>
          <w:tcPr>
            <w:tcW w:w="7469"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134. Об’єкт оподаткування</w:t>
            </w:r>
          </w:p>
        </w:tc>
      </w:tr>
      <w:tr w:rsidR="00CA6C41">
        <w:tc>
          <w:tcPr>
            <w:tcW w:w="7416"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133.4. Не є платниками податку неприбуткові підприємства, установи та організації у порядку та на умовах, встановлених цим пунктом.</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133.4.1. Неприбутковим підприємством, установою та організацією для цілей оподаткування податком на прибуток </w:t>
            </w:r>
            <w:r>
              <w:rPr>
                <w:rFonts w:ascii="Times New Roman" w:eastAsia="Times New Roman" w:hAnsi="Times New Roman" w:cs="Times New Roman"/>
                <w:sz w:val="28"/>
                <w:szCs w:val="28"/>
              </w:rPr>
              <w:lastRenderedPageBreak/>
              <w:t>підприємств є підприємство, установа та організація (далі - неприбуткова організація), що одночасно відповідає таким вимогам:</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утворена та зареєстрована в порядку, визначеному законом, що регулює діяльність відповідної неприбуткової організації;</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установчі документи якої (або установчі документи організації вищого рівня, на підставі яких діє неприбуткова організація відповідно до закону) містять заборону розподілу отриманих доходів (прибутків) або їх частини серед засновників (учасників у розумінні </w:t>
            </w:r>
            <w:hyperlink r:id="rId51">
              <w:r>
                <w:rPr>
                  <w:rFonts w:ascii="Times New Roman" w:eastAsia="Times New Roman" w:hAnsi="Times New Roman" w:cs="Times New Roman"/>
                  <w:sz w:val="28"/>
                  <w:szCs w:val="28"/>
                </w:rPr>
                <w:t>Цивільного кодексу України</w:t>
              </w:r>
            </w:hyperlink>
            <w:r>
              <w:rPr>
                <w:rFonts w:ascii="Times New Roman" w:eastAsia="Times New Roman" w:hAnsi="Times New Roman" w:cs="Times New Roman"/>
                <w:sz w:val="28"/>
                <w:szCs w:val="28"/>
              </w:rPr>
              <w:t>), членів такої організації, працівників (крім оплати їхньої праці, нарахування єдиного соціального внеску), членів органів управління та інших пов’язаних з ними осіб. Для цілей цього абзацу не вважається розподілом отриманих доходів (прибутків) фінансування видатків, визначених підпунктом 133.4.2 цього пункту;</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установчі документи якої (або установчі документи організації вищого рівня, на підставі яких діє неприбуткова організація відповідно до закону) передбачають передачу активів одній або кільком неприбутковим організаціям відповідного виду, іншим юридичним особам, що здійснюють недержавне пенсійне забезпечення відповідно до закону (для недержавних пенсійних фондів), або зарахування до доходу бюджету у разі припинення юридичної особи (у результаті її ліквідації, злиття, поділу, приєднання або перетворення). Положення цього абзацу не поширюється на об’єднання та асоціації об’єднань </w:t>
            </w:r>
            <w:r>
              <w:rPr>
                <w:rFonts w:ascii="Times New Roman" w:eastAsia="Times New Roman" w:hAnsi="Times New Roman" w:cs="Times New Roman"/>
                <w:sz w:val="28"/>
                <w:szCs w:val="28"/>
              </w:rPr>
              <w:lastRenderedPageBreak/>
              <w:t>співвласників багатоквартирних будинків, та житлово-будівельні кооперативи;</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внесена контролюючим органом до Реєстру неприбуткових установ та організацій.</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Положення абзаців третього і четвертого цього підпункту щодо вимог наявності установчих документів не поширюються на бюджетні установи.</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Відсутній </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CA6C4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p>
          <w:p w:rsidR="00CA6C41" w:rsidRDefault="00FC4AC1">
            <w:pPr>
              <w:widowControl w:val="0"/>
              <w:pBdr>
                <w:top w:val="nil"/>
                <w:left w:val="nil"/>
                <w:bottom w:val="nil"/>
                <w:right w:val="nil"/>
                <w:between w:val="nil"/>
              </w:pBdr>
              <w:spacing w:before="24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Зареєстровані установи та організації (новостворені), які подали в установленому порядку документи для внесення до Реєстру неприбуткових установ та організацій під час або протягом 10 днів з дня державної реєстрації та які за результатами розгляду цих документів внесені до Реєстру неприбуткових установ та організацій, для цілей оподаткування вважаються неприбутковими організаціями з дня їх державної реєстрації.</w:t>
            </w:r>
          </w:p>
        </w:tc>
        <w:tc>
          <w:tcPr>
            <w:tcW w:w="7469"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133.4. Не є платниками податку неприбуткові підприємства, установи та організації у порядку та на умовах, встановлених цим пунктом.</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133.4.1. Неприбутковим підприємством, установою та організацією для цілей оподаткування податком на прибуток </w:t>
            </w:r>
            <w:r>
              <w:rPr>
                <w:rFonts w:ascii="Times New Roman" w:eastAsia="Times New Roman" w:hAnsi="Times New Roman" w:cs="Times New Roman"/>
                <w:sz w:val="28"/>
                <w:szCs w:val="28"/>
              </w:rPr>
              <w:lastRenderedPageBreak/>
              <w:t>підприємств є підприємство, установа та організація (далі - неприбуткова організація), що одночасно відповідає таким вимогам:</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утворена та зареєстрована в порядку, визначеному законом, що регулює діяльність відповідної неприбуткової організації;</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установчі документи якої (або установчі документи організації вищого рівня, на підставі яких діє неприбуткова організація відповідно до закону) містять заборону розподілу отриманих доходів (прибутків) або їх частини серед засновників (учасників у розумінні </w:t>
            </w:r>
            <w:hyperlink r:id="rId52">
              <w:r>
                <w:rPr>
                  <w:rFonts w:ascii="Times New Roman" w:eastAsia="Times New Roman" w:hAnsi="Times New Roman" w:cs="Times New Roman"/>
                  <w:sz w:val="28"/>
                  <w:szCs w:val="28"/>
                </w:rPr>
                <w:t>Цивільного кодексу України</w:t>
              </w:r>
            </w:hyperlink>
            <w:r>
              <w:rPr>
                <w:rFonts w:ascii="Times New Roman" w:eastAsia="Times New Roman" w:hAnsi="Times New Roman" w:cs="Times New Roman"/>
                <w:sz w:val="28"/>
                <w:szCs w:val="28"/>
              </w:rPr>
              <w:t>), членів такої організації, працівників (крім оплати їхньої праці, нарахування єдиного соціального внеску), членів органів управління та інших пов’язаних з ними осіб. Для цілей цього абзацу не вважається розподілом отриманих доходів (прибутків) фінансування видатків, визначених підпунктом 133.4.2 цього пункту;</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установчі документи якої (або установчі документи організації вищого рівня, на підставі яких діє неприбуткова організація відповідно до закону) передбачають передачу активів одній або кільком неприбутковим організаціям відповідного виду, іншим юридичним особам, що здійснюють недержавне пенсійне забезпечення відповідно до закону (для недержавних пенсійних фондів), або зарахування до доходу бюджету у разі припинення юридичної особи (у результаті її ліквідації, злиття, поділу, приєднання або перетворення). Положення цього абзацу не поширюється на об’єднання та асоціації об’єднань </w:t>
            </w:r>
            <w:r>
              <w:rPr>
                <w:rFonts w:ascii="Times New Roman" w:eastAsia="Times New Roman" w:hAnsi="Times New Roman" w:cs="Times New Roman"/>
                <w:sz w:val="28"/>
                <w:szCs w:val="28"/>
              </w:rPr>
              <w:lastRenderedPageBreak/>
              <w:t>співвласників багатоквартирних будинків, та житлово-будівельні кооперативи;</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внесена контролюючим органом до Реєстру неприбуткових установ та організацій.</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Положення абзаців третього і четвертого цього підпункту щодо вимог наявності установчих документів не поширюються на бюджетні установи.</w:t>
            </w:r>
          </w:p>
          <w:p w:rsidR="00CA6C41" w:rsidRDefault="00FC4AC1">
            <w:pPr>
              <w:widowControl w:val="0"/>
              <w:pBdr>
                <w:top w:val="nil"/>
                <w:left w:val="nil"/>
                <w:bottom w:val="nil"/>
                <w:right w:val="nil"/>
                <w:between w:val="nil"/>
              </w:pBdr>
              <w:spacing w:before="240" w:after="120" w:line="24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Положення абзацу третього цього підпункту щодо наявності в установчих документах неприбуткової організації положень щодо заборони розподілу отриманих доходів (прибутків) або їх частини серед осіб, зазначених у абзаці третьому цього підпункту, не поширюються на організації колективного управління в частині діяльності зі збору, розподілу та виплати правовласникам доходу від прав на підставах та в порядку, визначених Законом України «Про ефективне управління майновими правами правовласників у сфері авторського права і (або) суміжних прав».</w:t>
            </w:r>
          </w:p>
          <w:p w:rsidR="00CA6C41" w:rsidRDefault="00FC4AC1">
            <w:pPr>
              <w:widowControl w:val="0"/>
              <w:pBdr>
                <w:top w:val="nil"/>
                <w:left w:val="nil"/>
                <w:bottom w:val="nil"/>
                <w:right w:val="nil"/>
                <w:between w:val="nil"/>
              </w:pBdr>
              <w:spacing w:before="24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Зареєстровані установи та організації (новостворені), які подали в установленому порядку документи для внесення до Реєстру неприбуткових установ та організацій під час або протягом 10 днів з дня державної реєстрації та які за результатами розгляду цих документів внесені до Реєстру неприбуткових установ та організацій, для цілей оподаткування вважаються неприбутковими організаціями з дня їх державної реєстрації.</w:t>
            </w:r>
          </w:p>
        </w:tc>
      </w:tr>
      <w:tr w:rsidR="00CA6C41">
        <w:tc>
          <w:tcPr>
            <w:tcW w:w="7416"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140. Різниці, які виникають при здійсненні фінансових операцій</w:t>
            </w:r>
          </w:p>
        </w:tc>
        <w:tc>
          <w:tcPr>
            <w:tcW w:w="7469"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140. Різниці, які виникають при здійсненні фінансових операцій</w:t>
            </w:r>
          </w:p>
        </w:tc>
      </w:tr>
      <w:tr w:rsidR="00CA6C41">
        <w:tc>
          <w:tcPr>
            <w:tcW w:w="7416"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140.4. Фінансовий результат до оподаткування зменшується:</w:t>
            </w:r>
          </w:p>
          <w:p w:rsidR="00CA6C41" w:rsidRDefault="00CA6C4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p>
          <w:p w:rsidR="00CA6C41" w:rsidRDefault="00FC4AC1">
            <w:pPr>
              <w:widowControl w:val="0"/>
              <w:pBdr>
                <w:top w:val="nil"/>
                <w:left w:val="nil"/>
                <w:bottom w:val="nil"/>
                <w:right w:val="nil"/>
                <w:between w:val="nil"/>
              </w:pBdr>
              <w:spacing w:before="240" w:after="0" w:line="276"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140.4.4. на суму від’ємного значення об’єкта оподаткування минулих податкових (звітних) років. </w:t>
            </w:r>
            <w:r>
              <w:rPr>
                <w:rFonts w:ascii="Times New Roman" w:eastAsia="Times New Roman" w:hAnsi="Times New Roman" w:cs="Times New Roman"/>
                <w:b/>
                <w:sz w:val="28"/>
                <w:szCs w:val="28"/>
              </w:rPr>
              <w:t>Положення цього підпункту застосовуються з урахуванням пункту 3 підрозділу 4 розділу XX «Перехідні положення» цього Кодексу</w:t>
            </w:r>
            <w:r>
              <w:rPr>
                <w:rFonts w:ascii="Times New Roman" w:eastAsia="Times New Roman" w:hAnsi="Times New Roman" w:cs="Times New Roman"/>
                <w:sz w:val="28"/>
                <w:szCs w:val="28"/>
              </w:rPr>
              <w:t>;</w:t>
            </w:r>
          </w:p>
          <w:p w:rsidR="00CA6C41" w:rsidRDefault="00CA6C4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p>
        </w:tc>
        <w:tc>
          <w:tcPr>
            <w:tcW w:w="7469"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140.4. Фінансовий результат до оподаткування зменшується:</w:t>
            </w:r>
          </w:p>
          <w:p w:rsidR="00CA6C41" w:rsidRDefault="00FC4AC1">
            <w:pPr>
              <w:widowControl w:val="0"/>
              <w:pBdr>
                <w:top w:val="nil"/>
                <w:left w:val="nil"/>
                <w:bottom w:val="nil"/>
                <w:right w:val="nil"/>
                <w:between w:val="nil"/>
              </w:pBdr>
              <w:spacing w:after="0" w:line="240"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CA6C41">
            <w:pPr>
              <w:widowControl w:val="0"/>
              <w:pBdr>
                <w:top w:val="nil"/>
                <w:left w:val="nil"/>
                <w:bottom w:val="nil"/>
                <w:right w:val="nil"/>
                <w:between w:val="nil"/>
              </w:pBdr>
              <w:spacing w:after="0" w:line="240" w:lineRule="auto"/>
              <w:ind w:firstLine="300"/>
              <w:jc w:val="both"/>
              <w:rPr>
                <w:rFonts w:ascii="Times New Roman" w:eastAsia="Times New Roman" w:hAnsi="Times New Roman" w:cs="Times New Roman"/>
                <w:sz w:val="28"/>
                <w:szCs w:val="28"/>
              </w:rPr>
            </w:pPr>
          </w:p>
          <w:p w:rsidR="00CA6C41" w:rsidRDefault="00FC4AC1">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140.4.4. на суму від’ємного значення об’єкта оподаткування минулих податкових (звітних) років.</w:t>
            </w:r>
          </w:p>
          <w:p w:rsidR="00CA6C41" w:rsidRDefault="00FC4AC1">
            <w:pPr>
              <w:widowControl w:val="0"/>
              <w:spacing w:before="240" w:after="240" w:line="240" w:lineRule="auto"/>
              <w:jc w:val="both"/>
              <w:rPr>
                <w:rFonts w:ascii="Times New Roman" w:eastAsia="Times New Roman" w:hAnsi="Times New Roman" w:cs="Times New Roman"/>
                <w:b/>
                <w:sz w:val="28"/>
                <w:szCs w:val="28"/>
              </w:rPr>
            </w:pPr>
            <w:bookmarkStart w:id="1" w:name="_heading=h.gjdgxs" w:colFirst="0" w:colLast="0"/>
            <w:bookmarkEnd w:id="1"/>
            <w:r>
              <w:rPr>
                <w:rFonts w:ascii="Times New Roman" w:eastAsia="Times New Roman" w:hAnsi="Times New Roman" w:cs="Times New Roman"/>
                <w:b/>
                <w:sz w:val="28"/>
                <w:szCs w:val="28"/>
              </w:rPr>
              <w:t>Положення цього підпункту застосовуються протягом семи послідовних податкових (звітних) років починаючи з податкового (звітного) року виникнення такого від’ємного значення об’єкта оподаткування.</w:t>
            </w:r>
          </w:p>
          <w:p w:rsidR="00CA6C41" w:rsidRDefault="00FC4AC1">
            <w:pPr>
              <w:widowControl w:val="0"/>
              <w:pBdr>
                <w:top w:val="nil"/>
                <w:left w:val="nil"/>
                <w:bottom w:val="nil"/>
                <w:right w:val="nil"/>
                <w:between w:val="nil"/>
              </w:pBdr>
              <w:spacing w:after="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Положення цього підпункту застосовуються з урахуванням пунктів 3 та 4</w:t>
            </w:r>
            <w:r>
              <w:rPr>
                <w:rFonts w:ascii="Times New Roman" w:eastAsia="Times New Roman" w:hAnsi="Times New Roman" w:cs="Times New Roman"/>
                <w:b/>
                <w:sz w:val="28"/>
                <w:szCs w:val="28"/>
                <w:vertAlign w:val="superscript"/>
              </w:rPr>
              <w:t>2</w:t>
            </w:r>
            <w:r>
              <w:rPr>
                <w:rFonts w:ascii="Times New Roman" w:eastAsia="Times New Roman" w:hAnsi="Times New Roman" w:cs="Times New Roman"/>
                <w:b/>
                <w:sz w:val="28"/>
                <w:szCs w:val="28"/>
              </w:rPr>
              <w:t xml:space="preserve"> підрозділу 4 розділу XX “Перехідні положення” цього Кодексу;</w:t>
            </w:r>
          </w:p>
        </w:tc>
      </w:tr>
      <w:tr w:rsidR="00CA6C41">
        <w:tc>
          <w:tcPr>
            <w:tcW w:w="7416"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140.5. Фінансовий результат податкового (звітного) періоду збільшується:</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140.5.7. на суму витрат по нарахуванню роялті у повному обсязі, якщо роялті нараховані на користь:</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нерезидента, який не є бенефіціарним (фактичним) отримувачем (власником) роялті, за виключенням випадків, коли бенефіціар (фактичний власник) надав право </w:t>
            </w:r>
            <w:r>
              <w:rPr>
                <w:rFonts w:ascii="Times New Roman" w:eastAsia="Times New Roman" w:hAnsi="Times New Roman" w:cs="Times New Roman"/>
                <w:sz w:val="28"/>
                <w:szCs w:val="28"/>
              </w:rPr>
              <w:lastRenderedPageBreak/>
              <w:t>отримувати роялті іншим особам.</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цілей застосування цього підпункту у випадках, коли резиденти - суб’єкти кінематографії України сплачують роялті нерезидентам за субліцензійними договорами за використання або за надання права на використання аудіовізуальних творів (у тому числі фільмів), а також об’єктів авторського права та/або суміжних прав, що використовуються при виробництві (створенні) аудіовізуальних творів (у тому числі фільмів), такі нерезиденти вважаються бенефіціарними (фактичними) отримувачами (власниками) щодо таких роялті;</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нерезидента щодо об’єктів, права інтелектуальної власності щодо яких вперше виникли у резидента України.</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виникнення розбіжностей між контролюючим органом та платником податку стосовно визначення особи, у якої вперше виникли (були набуті) права інтелектуальної власності на об’єкт інтелектуальної власності, такі контролюючі органи зобов’язані звернутися до центрального органу виконавчої влади, що реалізує державну політику у сфері інтелектуальної власності, для отримання відповідного висновку.</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Вимоги цього підпункту не застосовуються до випадків нарахування суб’єктом кінематографії роялті за використання об’єктів права інтелектуальної власності </w:t>
            </w:r>
            <w:r>
              <w:rPr>
                <w:rFonts w:ascii="Times New Roman" w:eastAsia="Times New Roman" w:hAnsi="Times New Roman" w:cs="Times New Roman"/>
                <w:sz w:val="28"/>
                <w:szCs w:val="28"/>
              </w:rPr>
              <w:lastRenderedPageBreak/>
              <w:t>(фільмів, літературних творів, музичних творів, творів образотворчого мистецтва, фотографічних творів, фонограм, відеограм), крім випадків, коли резидент України - суб’єкт кінематографії, у якого виникли майнові авторські та суміжні права внаслідок створення (виготовлення) ним вказаних творів, якщо він у подальшому передав чи здійснив відчуження майнових авторських або суміжних прав нерезиденту та здійснює нарахування роялті за використання цього об’єкта;</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нерезидента, який не підлягає оподаткуванню у відношенні роялті в державі, резидентом якої він є;</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особи, яка сплачує податок у складі інших податків, крім фізичних осіб, які оподатковуються в порядку, встановленому розділом IV цього Кодексу;</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юридичної особи, яка відповідно до цього Кодексу звільнена від сплати цього податку чи сплачує цей податок за ставкою, іншою, ніж встановлена в пункті 136.1 статті 136 цього Кодексу.</w:t>
            </w:r>
          </w:p>
          <w:p w:rsidR="00CA6C41" w:rsidRDefault="00FC4AC1">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tc>
        <w:tc>
          <w:tcPr>
            <w:tcW w:w="7469"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140.5. Фінансовий результат податкового (звітного) періоду збільшується</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140.5.7. на суму витрат по нарахуванню роялті у повному обсязі, якщо роялті нараховані на користь:</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нерезидента, який не є бенефіціарним (фактичним) отримувачем (власником) роялті, за виключенням випадків, коли бенефіціар (фактичний власник) надав право </w:t>
            </w:r>
            <w:r>
              <w:rPr>
                <w:rFonts w:ascii="Times New Roman" w:eastAsia="Times New Roman" w:hAnsi="Times New Roman" w:cs="Times New Roman"/>
                <w:sz w:val="28"/>
                <w:szCs w:val="28"/>
              </w:rPr>
              <w:lastRenderedPageBreak/>
              <w:t>отримувати роялті іншим особам.</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цілей застосування цього підпункту у випадках, коли резиденти - суб’єкти кінематографії України сплачують роялті нерезидентам за субліцензійними договорами за використання або за надання права на використання аудіовізуальних творів (у тому числі фільмів), а також об’єктів авторського права та/або суміжних прав, що використовуються при виробництві (створенні) аудіовізуальних творів (у тому числі фільмів), такі нерезиденти вважаються бенефіціарними (фактичними) отримувачами (власниками) щодо таких роялті;</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нерезидента щодо об’єктів, права інтелектуальної власності щодо яких вперше виникли у резидента України.</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виникнення розбіжностей між контролюючим органом та платником податку стосовно визначення особи, у якої вперше виникли (були набуті) права інтелектуальної власності на об’єкт інтелектуальної власності, такі контролюючі органи зобов’язані звернутися до центрального органу виконавчої влади, що реалізує державну політику у сфері інтелектуальної власності, для отримання відповідного висновку.</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Вимоги цього підпункту не застосовуються до випадків нарахування суб’єктом кінематографії роялті за використання об’єктів права інтелектуальної власності </w:t>
            </w:r>
            <w:r>
              <w:rPr>
                <w:rFonts w:ascii="Times New Roman" w:eastAsia="Times New Roman" w:hAnsi="Times New Roman" w:cs="Times New Roman"/>
                <w:sz w:val="28"/>
                <w:szCs w:val="28"/>
              </w:rPr>
              <w:lastRenderedPageBreak/>
              <w:t>(фільмів, літературних творів, музичних творів, творів образотворчого мистецтва, фотографічних творів, фонограм, відеограм), крім випадків, коли резидент України - суб’єкт кінематографії, у якого виникли майнові авторські та суміжні права внаслідок створення (виготовлення) ним вказаних творів, якщо він у подальшому передав чи здійснив відчуження майнових авторських або суміжних прав нерезиденту та здійснює нарахування роялті за використання цього об’єкта;</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нерезидента, який не підлягає оподаткуванню у відношенні роялті в державі, резидентом якої він є;</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особи, яка сплачує податок у складі інших податків, крім фізичних осіб, які оподатковуються в порядку, встановленому розділом IV цього Кодексу;</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юридичної особи, яка відповідно до цього Кодексу звільнена від сплати цього податку чи сплачує цей податок за ставкою, іншою, ніж встановлена в пункті 136.1 статті 136 цього Кодексу. </w:t>
            </w:r>
          </w:p>
          <w:p w:rsidR="00CA6C41" w:rsidRDefault="00FC4AC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Вимоги цього підпункту не застосовуються платником податку у випадках нарахування роялті на користь правовласників як винагороди за використання об’єктів авторського права і (або) суміжних прав чи як відрахування на користь правовласників, на підставі договорів, укладених таким платником податку із </w:t>
            </w:r>
            <w:r>
              <w:rPr>
                <w:rFonts w:ascii="Times New Roman" w:eastAsia="Times New Roman" w:hAnsi="Times New Roman" w:cs="Times New Roman"/>
                <w:b/>
                <w:sz w:val="28"/>
                <w:szCs w:val="28"/>
              </w:rPr>
              <w:lastRenderedPageBreak/>
              <w:t>організаціями колективного управління, відповідно до Закону України «Про ефективне управління майновими правами правовласників у сфері авторського права і (або) суміжних прав».</w:t>
            </w:r>
          </w:p>
        </w:tc>
      </w:tr>
      <w:tr w:rsidR="00CA6C41">
        <w:tc>
          <w:tcPr>
            <w:tcW w:w="7416"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before="240" w:after="240" w:line="276"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141. </w:t>
            </w:r>
            <w:r>
              <w:rPr>
                <w:rFonts w:ascii="Times New Roman" w:eastAsia="Times New Roman" w:hAnsi="Times New Roman" w:cs="Times New Roman"/>
                <w:sz w:val="28"/>
                <w:szCs w:val="28"/>
              </w:rPr>
              <w:t>Особливості оподаткування окремих видів діяльності та операцій</w:t>
            </w:r>
          </w:p>
          <w:p w:rsidR="00CA6C41" w:rsidRDefault="00FC4AC1">
            <w:pPr>
              <w:widowControl w:val="0"/>
              <w:pBdr>
                <w:top w:val="nil"/>
                <w:left w:val="nil"/>
                <w:bottom w:val="nil"/>
                <w:right w:val="nil"/>
                <w:between w:val="nil"/>
              </w:pBdr>
              <w:spacing w:before="240" w:after="240" w:line="276"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141.4. Особливості оподаткування нерезидентів</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прибуток від здійснення операцій з продажу або іншого відчуження наступних інвестиційних активів:</w:t>
            </w:r>
          </w:p>
          <w:p w:rsidR="00CA6C41" w:rsidRDefault="00CA6C4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цінних паперів, деривативів або інших корпоративних прав у статутному капіталі юридичних осіб - резидентів, крім тих, що знаходяться в обігу на фондовій біржі, що входить до переліку, затвердженого Кабінетом Міністрів України відповідно до </w:t>
            </w:r>
            <w:hyperlink r:id="rId53" w:anchor="n14112">
              <w:r>
                <w:rPr>
                  <w:rFonts w:ascii="Times New Roman" w:eastAsia="Times New Roman" w:hAnsi="Times New Roman" w:cs="Times New Roman"/>
                  <w:sz w:val="28"/>
                  <w:szCs w:val="28"/>
                  <w:u w:val="single"/>
                </w:rPr>
                <w:t>підпункту "а"</w:t>
              </w:r>
            </w:hyperlink>
            <w:r>
              <w:rPr>
                <w:rFonts w:ascii="Times New Roman" w:eastAsia="Times New Roman" w:hAnsi="Times New Roman" w:cs="Times New Roman"/>
                <w:sz w:val="28"/>
                <w:szCs w:val="28"/>
              </w:rPr>
              <w:t xml:space="preserve"> підпункту 141.4.11 пункту 141.4 статті 141 цього Кодексу;</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акцій, корпоративних прав, часток в іноземних компаніях, організаціях, утворених відповідно до законодавства інших держав (іноземні юридичні особи), крім тих, що знаходяться в обігу на фондовій біржі, що входить до переліку, затвердженого Кабінетом Міністрів України відповідно до </w:t>
            </w:r>
            <w:hyperlink r:id="rId54" w:anchor="n14112">
              <w:r>
                <w:rPr>
                  <w:rFonts w:ascii="Times New Roman" w:eastAsia="Times New Roman" w:hAnsi="Times New Roman" w:cs="Times New Roman"/>
                  <w:sz w:val="28"/>
                  <w:szCs w:val="28"/>
                  <w:u w:val="single"/>
                </w:rPr>
                <w:t>підпункту "а"</w:t>
              </w:r>
            </w:hyperlink>
            <w:r>
              <w:rPr>
                <w:rFonts w:ascii="Times New Roman" w:eastAsia="Times New Roman" w:hAnsi="Times New Roman" w:cs="Times New Roman"/>
                <w:sz w:val="28"/>
                <w:szCs w:val="28"/>
              </w:rPr>
              <w:t xml:space="preserve"> підпункту 141.4.11 пункту 141.4 статті 141 цього Кодексу, що відповідають </w:t>
            </w:r>
            <w:r>
              <w:rPr>
                <w:rFonts w:ascii="Times New Roman" w:eastAsia="Times New Roman" w:hAnsi="Times New Roman" w:cs="Times New Roman"/>
                <w:sz w:val="28"/>
                <w:szCs w:val="28"/>
              </w:rPr>
              <w:lastRenderedPageBreak/>
              <w:t>таким умовам:</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у будь-який момент часу впродовж 365 днів, що передують продажу або іншому відчуженню, вартість акцій, часток, корпоративних або інших аналогічних прав іноземної юридичної особи на 50 і більше відсотків утворюється за рахунок акцій, часток в українській юридичній особі, які належать зазначеній іноземній юридичній особі прямо або опосередковано, та</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у будь-який момент часу впродовж 365 днів, що передують продажу або іншому відчуженню, вартість акцій, часток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або використовується такою українською юридичною особою на підставі договору довгострокової оренди, фінансового лізингу чи аналогічного договору.</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акцій, корпоративних прав у статутному капіталі юридичної особи - резидента України, за умови що у будь-який час впродовж 365 днів, що передують продажу або іншому відчуженню, вартість таких акцій, корпоративних прав на 50 і більше відсотків утворювалась за рахунок нерухомого майна, яке розташовано в Україні та належить такій юридичній особі - резиденту України або використовується такою юридичною особою - резидентом України на підставі договору довгострокової оренди, </w:t>
            </w:r>
            <w:r>
              <w:rPr>
                <w:rFonts w:ascii="Times New Roman" w:eastAsia="Times New Roman" w:hAnsi="Times New Roman" w:cs="Times New Roman"/>
                <w:sz w:val="28"/>
                <w:szCs w:val="28"/>
              </w:rPr>
              <w:lastRenderedPageBreak/>
              <w:t>фінансового лізингу чи аналогічного договору.</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Вартість акцій, часток, корпоративних або інших аналогічних прав (для цілей абзаців четвертого та шостого підпункту "е" цього підпункту) та нерухомого майна (для цілей абзаців п’ятого та шостого підпункту "е" цього підпункту) визначається на підставі балансової (залишкової) вартості за даними бухгалтерського обліку як найвища сума у будь-який момент часу впродовж 365 днів, що передують продажу або іншому відчуженню, та підлягає порівнянню з вартістю іншого майна (активів) згідно з балансовою (залишковою) вартістю за даними бухгалтерського обліку такої юридичної особи;</w:t>
            </w:r>
          </w:p>
          <w:p w:rsidR="00CA6C41" w:rsidRDefault="00CA6C41">
            <w:pPr>
              <w:widowControl w:val="0"/>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p>
        </w:tc>
        <w:tc>
          <w:tcPr>
            <w:tcW w:w="7469"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before="240" w:after="240" w:line="276"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141. </w:t>
            </w:r>
            <w:r>
              <w:rPr>
                <w:rFonts w:ascii="Times New Roman" w:eastAsia="Times New Roman" w:hAnsi="Times New Roman" w:cs="Times New Roman"/>
                <w:sz w:val="28"/>
                <w:szCs w:val="28"/>
              </w:rPr>
              <w:t>Особливості оподаткування окремих видів діяльності та операцій</w:t>
            </w:r>
          </w:p>
          <w:p w:rsidR="00CA6C41" w:rsidRDefault="00FC4AC1">
            <w:pPr>
              <w:widowControl w:val="0"/>
              <w:pBdr>
                <w:top w:val="nil"/>
                <w:left w:val="nil"/>
                <w:bottom w:val="nil"/>
                <w:right w:val="nil"/>
                <w:between w:val="nil"/>
              </w:pBdr>
              <w:spacing w:before="240" w:after="240" w:line="276"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141.4. Особливості оподаткування нерезидентів</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прибуток від здійснення операцій з продажу або іншого відчуження наступних інвестиційних активів:</w:t>
            </w:r>
          </w:p>
          <w:p w:rsidR="00CA6C41" w:rsidRDefault="00FC4AC1">
            <w:pPr>
              <w:widowControl w:val="0"/>
              <w:pBdr>
                <w:top w:val="nil"/>
                <w:left w:val="nil"/>
                <w:bottom w:val="nil"/>
                <w:right w:val="nil"/>
                <w:between w:val="nil"/>
              </w:pBdr>
              <w:spacing w:before="240" w:after="240" w:line="276"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цінних паперів, деривативів або інших корпоративних прав;</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цінних паперів, деривативів або інших корпоративних прав у статутному капіталі юридичних осіб - резидентів, крім тих, що знаходяться в обігу на фондовій біржі, що входить до переліку, затвердженого Кабінетом Міністрів України відповідно до </w:t>
            </w:r>
            <w:hyperlink r:id="rId55" w:anchor="n14112">
              <w:r>
                <w:rPr>
                  <w:rFonts w:ascii="Times New Roman" w:eastAsia="Times New Roman" w:hAnsi="Times New Roman" w:cs="Times New Roman"/>
                  <w:sz w:val="28"/>
                  <w:szCs w:val="28"/>
                  <w:u w:val="single"/>
                </w:rPr>
                <w:t>підпункту "а"</w:t>
              </w:r>
            </w:hyperlink>
            <w:r>
              <w:rPr>
                <w:rFonts w:ascii="Times New Roman" w:eastAsia="Times New Roman" w:hAnsi="Times New Roman" w:cs="Times New Roman"/>
                <w:sz w:val="28"/>
                <w:szCs w:val="28"/>
              </w:rPr>
              <w:t xml:space="preserve"> підпункту 141.4.11 пункту 141.4 статті 141 цього Кодексу;</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акцій, корпоративних прав, часток в іноземних компаніях, організаціях, утворених відповідно до законодавства інших держав (іноземні юридичні особи), крім тих, що знаходяться в обігу на фондовій біржі, що входить до переліку, затвердженого Кабінетом Міністрів України </w:t>
            </w:r>
            <w:r>
              <w:rPr>
                <w:rFonts w:ascii="Times New Roman" w:eastAsia="Times New Roman" w:hAnsi="Times New Roman" w:cs="Times New Roman"/>
                <w:sz w:val="28"/>
                <w:szCs w:val="28"/>
              </w:rPr>
              <w:lastRenderedPageBreak/>
              <w:t xml:space="preserve">відповідно до </w:t>
            </w:r>
            <w:hyperlink r:id="rId56" w:anchor="n14112">
              <w:r>
                <w:rPr>
                  <w:rFonts w:ascii="Times New Roman" w:eastAsia="Times New Roman" w:hAnsi="Times New Roman" w:cs="Times New Roman"/>
                  <w:sz w:val="28"/>
                  <w:szCs w:val="28"/>
                  <w:u w:val="single"/>
                </w:rPr>
                <w:t>підпункту "а"</w:t>
              </w:r>
            </w:hyperlink>
            <w:r>
              <w:rPr>
                <w:rFonts w:ascii="Times New Roman" w:eastAsia="Times New Roman" w:hAnsi="Times New Roman" w:cs="Times New Roman"/>
                <w:sz w:val="28"/>
                <w:szCs w:val="28"/>
              </w:rPr>
              <w:t xml:space="preserve"> підпункту 141.4.11 пункту 141.4 статті 141 цього Кодексу, що відповідають таким умовам:</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у будь-який момент часу впродовж 365 днів, що передують продажу або іншому відчуженню, вартість акцій, часток, корпоративних або інших аналогічних прав іноземної юридичної особи на 50 і більше відсотків утворюється за рахунок акцій, часток в українській юридичній особі, які належать зазначеній іноземній юридичній особі прямо або опосередковано, та</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у будь-який момент часу впродовж 365 днів, що передують продажу або іншому відчуженню, вартість акцій, часток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або використовується такою українською юридичною особою на підставі договору довгострокової оренди, фінансового лізингу чи аналогічного договору.</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акцій, корпоративних прав у статутному капіталі юридичної особи - резидента України, за умови що у будь-який час впродовж 365 днів, що передують продажу або іншому відчуженню, вартість таких акцій, корпоративних прав на 50 і більше відсотків утворювалась за рахунок нерухомого майна, яке розташовано в Україні та належить такій юридичній особі - резиденту України або використовується такою юридичною особою - резидентом </w:t>
            </w:r>
            <w:r>
              <w:rPr>
                <w:rFonts w:ascii="Times New Roman" w:eastAsia="Times New Roman" w:hAnsi="Times New Roman" w:cs="Times New Roman"/>
                <w:sz w:val="28"/>
                <w:szCs w:val="28"/>
              </w:rPr>
              <w:lastRenderedPageBreak/>
              <w:t>України на підставі договору довгострокової оренди, фінансового лізингу чи аналогічного договору.</w:t>
            </w:r>
          </w:p>
          <w:p w:rsidR="00CA6C41" w:rsidRDefault="00FC4AC1">
            <w:pPr>
              <w:widowControl w:val="0"/>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Вартість акцій, часток, корпоративних або інших аналогічних прав (для цілей абзаців четвертого та шостого підпункту "е" цього підпункту) та нерухомого майна (для цілей абзаців п’ятого та шостого підпункту "е" цього підпункту) визначається на підставі балансової (залишкової) вартості за даними бухгалтерського обліку як найвища сума у будь-який момент часу впродовж 365 днів, що передують продажу або іншому відчуженню, та підлягає порівнянню з вартістю іншого майна (активів) згідно з балансовою (залишковою) вартістю за даними бухгалтерського обліку такої юридичної особи;</w:t>
            </w:r>
          </w:p>
        </w:tc>
      </w:tr>
      <w:tr w:rsidR="00CA6C41">
        <w:tc>
          <w:tcPr>
            <w:tcW w:w="7416"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before="240" w:after="0" w:line="276" w:lineRule="auto"/>
              <w:ind w:left="-120"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141.4.2. Резидент, у тому числі фізична особа підприємець, фізична особа, яка провадить незалежну професійну діяльність, або суб'єкт господарювання (юридична особа чи фізична особа підприємець), який обрав спрощену систему оподаткування, або інший нерезидент, який провадить господарську діяльність через постійне представництво на території України, які здійснюють на користь нерезидента або уповноваженої ним особи будь-яку виплату з доходу з джерелом його походження з України, отриманого таким нерезидентом (у тому числі на рахунки нерезидента, що ведуться в національній валюті), утримують податок з таких </w:t>
            </w:r>
            <w:r>
              <w:rPr>
                <w:rFonts w:ascii="Times New Roman" w:eastAsia="Times New Roman" w:hAnsi="Times New Roman" w:cs="Times New Roman"/>
                <w:sz w:val="28"/>
                <w:szCs w:val="28"/>
              </w:rPr>
              <w:lastRenderedPageBreak/>
              <w:t>доходів, зазначених у підпункті 141.4.1 цього пункту, за ставкою в розмірі 15 відсотків (крім доходів, зазначених у підпунктах 141.4.4 - 141.4.6 та 141.4.11 цього пункту) їх суми та за їх рахунок, що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 Вимоги цього абзацу не застосовуються до доходів нерезидентів, що отримуються ними через їх постійні представництва на території України.</w:t>
            </w:r>
          </w:p>
          <w:p w:rsidR="00CA6C41" w:rsidRDefault="00FC4AC1">
            <w:pPr>
              <w:widowControl w:val="0"/>
              <w:pBdr>
                <w:top w:val="nil"/>
                <w:left w:val="nil"/>
                <w:bottom w:val="nil"/>
                <w:right w:val="nil"/>
                <w:between w:val="nil"/>
              </w:pBdr>
              <w:spacing w:before="240" w:after="0" w:line="276" w:lineRule="auto"/>
              <w:ind w:left="-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widowControl w:val="0"/>
              <w:pBdr>
                <w:top w:val="nil"/>
                <w:left w:val="nil"/>
                <w:bottom w:val="nil"/>
                <w:right w:val="nil"/>
                <w:between w:val="nil"/>
              </w:pBdr>
              <w:spacing w:before="240" w:after="0" w:line="276" w:lineRule="auto"/>
              <w:ind w:left="-120"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разі якщо нерезидент набуває право власності на інвестиційний актив, визначений абзацами </w:t>
            </w:r>
            <w:r>
              <w:rPr>
                <w:rFonts w:ascii="Times New Roman" w:eastAsia="Times New Roman" w:hAnsi="Times New Roman" w:cs="Times New Roman"/>
                <w:b/>
                <w:sz w:val="28"/>
                <w:szCs w:val="28"/>
              </w:rPr>
              <w:t>третім - шостим</w:t>
            </w:r>
            <w:r>
              <w:rPr>
                <w:rFonts w:ascii="Times New Roman" w:eastAsia="Times New Roman" w:hAnsi="Times New Roman" w:cs="Times New Roman"/>
                <w:sz w:val="28"/>
                <w:szCs w:val="28"/>
              </w:rPr>
              <w:t xml:space="preserve"> підпункту "е" підпункту 141.4.1 цього пункту, у іншого нерезидента, який не має постійного представництва в Україні відповідно до норм цього пункту, нерезидент, який набуває право власності, зобов'язаний утримати податок з прибутку від відчуження інвестиційного активу, виплаченого на користь іншого нерезидента, за ставкою в розмірі 15 відсотків та за його рахунок, задекларувати та перераховувати до бюджету України податок під час такої виплати, якщо інше не передбачено положеннями міжнародних договорів України з країною резиденції особи, на користь яких здійснюється виплата, що набрали чинності.</w:t>
            </w:r>
          </w:p>
        </w:tc>
        <w:tc>
          <w:tcPr>
            <w:tcW w:w="7469" w:type="dxa"/>
            <w:shd w:val="clear" w:color="auto" w:fill="auto"/>
            <w:tcMar>
              <w:top w:w="100" w:type="dxa"/>
              <w:left w:w="100" w:type="dxa"/>
              <w:bottom w:w="100" w:type="dxa"/>
              <w:right w:w="100" w:type="dxa"/>
            </w:tcMar>
          </w:tcPr>
          <w:p w:rsidR="00CA6C41" w:rsidRDefault="00FC4AC1">
            <w:pPr>
              <w:widowControl w:val="0"/>
              <w:pBdr>
                <w:top w:val="nil"/>
                <w:left w:val="nil"/>
                <w:bottom w:val="nil"/>
                <w:right w:val="nil"/>
                <w:between w:val="nil"/>
              </w:pBdr>
              <w:spacing w:before="240" w:after="0" w:line="276"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141.4.2. Резидент, у тому числі фізична особа підприємець, фізична особа, яка провадить незалежну професійну діяльність, або суб'єкт господарювання (юридична особа чи фізична особа підприємець), який обрав спрощену систему оподаткування, або інший нерезидент, який провадить господарську діяльність через постійне представництво на території України, які здійснюють на користь нерезидента або уповноваженої ним особи будь-яку виплату з доходу з джерелом його походження з України, отриманого таким нерезидентом (у тому числі на рахунки нерезидента, що ведуться в національній валюті), утримують податок з таких </w:t>
            </w:r>
            <w:r>
              <w:rPr>
                <w:rFonts w:ascii="Times New Roman" w:eastAsia="Times New Roman" w:hAnsi="Times New Roman" w:cs="Times New Roman"/>
                <w:sz w:val="28"/>
                <w:szCs w:val="28"/>
              </w:rPr>
              <w:lastRenderedPageBreak/>
              <w:t>доходів, зазначених у підпункті 141.4.1 цього пункту, за ставкою в розмірі 15 відсотків (крім доходів, зазначених у підпунктах 141.4.4 - 141.4.6 та 141.4.11 цього пункту) їх суми та за їх рахунок, що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 Вимоги цього абзацу не застосовуються до доходів нерезидентів, що отримуються ними через їх постійні представництва на території України.</w:t>
            </w:r>
          </w:p>
          <w:p w:rsidR="00CA6C41" w:rsidRDefault="00FC4AC1">
            <w:pPr>
              <w:widowControl w:val="0"/>
              <w:pBdr>
                <w:top w:val="nil"/>
                <w:left w:val="nil"/>
                <w:bottom w:val="nil"/>
                <w:right w:val="nil"/>
                <w:between w:val="nil"/>
              </w:pBdr>
              <w:spacing w:before="240" w:after="0" w:line="276" w:lineRule="auto"/>
              <w:ind w:left="-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widowControl w:val="0"/>
              <w:pBdr>
                <w:top w:val="nil"/>
                <w:left w:val="nil"/>
                <w:bottom w:val="nil"/>
                <w:right w:val="nil"/>
                <w:between w:val="nil"/>
              </w:pBdr>
              <w:spacing w:before="240" w:after="0" w:line="276" w:lineRule="auto"/>
              <w:ind w:left="141"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разі якщо нерезидент набуває право власності на інвестиційний актив, визначений абзацами </w:t>
            </w:r>
            <w:r>
              <w:rPr>
                <w:rFonts w:ascii="Times New Roman" w:eastAsia="Times New Roman" w:hAnsi="Times New Roman" w:cs="Times New Roman"/>
                <w:b/>
                <w:sz w:val="28"/>
                <w:szCs w:val="28"/>
              </w:rPr>
              <w:t>четвертим – сьомим</w:t>
            </w:r>
            <w:r>
              <w:rPr>
                <w:rFonts w:ascii="Times New Roman" w:eastAsia="Times New Roman" w:hAnsi="Times New Roman" w:cs="Times New Roman"/>
                <w:sz w:val="28"/>
                <w:szCs w:val="28"/>
              </w:rPr>
              <w:t xml:space="preserve"> підпункту "е" підпункту 141.4.1 цього пункту, у іншого нерезидента, який не має постійного представництва в Україні відповідно до норм цього пункту, нерезидент, який набуває право власності, зобов'язаний утримати податок з прибутку від відчуження інвестиційного активу, виплаченого на користь іншого нерезидента, за ставкою в розмірі 15 відсотків та за його рахунок, задекларувати та перераховувати до бюджету України податок під час такої виплати, якщо інше не передбачено положеннями міжнародних договорів України з країною резиденції особи, на користь яких здійснюється виплата, що набрали чинності.</w:t>
            </w:r>
          </w:p>
        </w:tc>
      </w:tr>
    </w:tbl>
    <w:p w:rsidR="00CA6C41" w:rsidRDefault="00CA6C41">
      <w:pPr>
        <w:pBdr>
          <w:top w:val="nil"/>
          <w:left w:val="nil"/>
          <w:bottom w:val="nil"/>
          <w:right w:val="nil"/>
          <w:between w:val="nil"/>
        </w:pBdr>
        <w:rPr>
          <w:rFonts w:ascii="Times New Roman" w:eastAsia="Times New Roman" w:hAnsi="Times New Roman" w:cs="Times New Roman"/>
          <w:sz w:val="28"/>
          <w:szCs w:val="28"/>
        </w:rPr>
      </w:pPr>
    </w:p>
    <w:tbl>
      <w:tblPr>
        <w:tblStyle w:val="afffff2"/>
        <w:tblW w:w="1488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23"/>
        <w:gridCol w:w="7561"/>
      </w:tblGrid>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IV. ПОДАТОК НА ДОХОДИ ФІЗИЧНИХ ОСІБ</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IV. ПОДАТОК НА ДОХОДИ ФІЗИЧНИХ ОСІБ</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164.</w:t>
            </w:r>
            <w:r>
              <w:rPr>
                <w:rFonts w:ascii="Times New Roman" w:eastAsia="Times New Roman" w:hAnsi="Times New Roman" w:cs="Times New Roman"/>
                <w:sz w:val="28"/>
                <w:szCs w:val="28"/>
              </w:rPr>
              <w:t> База оподаткування</w:t>
            </w:r>
          </w:p>
          <w:p w:rsidR="00CA6C41" w:rsidRDefault="00FC4AC1">
            <w:pPr>
              <w:pBdr>
                <w:top w:val="nil"/>
                <w:left w:val="nil"/>
                <w:bottom w:val="nil"/>
                <w:right w:val="nil"/>
                <w:between w:val="nil"/>
              </w:pBdr>
              <w:spacing w:after="0" w:line="240" w:lineRule="auto"/>
              <w:ind w:firstLine="306"/>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164. </w:t>
            </w:r>
            <w:r>
              <w:rPr>
                <w:rFonts w:ascii="Times New Roman" w:eastAsia="Times New Roman" w:hAnsi="Times New Roman" w:cs="Times New Roman"/>
                <w:sz w:val="28"/>
                <w:szCs w:val="28"/>
              </w:rPr>
              <w:t> База оподаткування</w:t>
            </w:r>
          </w:p>
          <w:p w:rsidR="00CA6C41" w:rsidRDefault="00FC4AC1">
            <w:pPr>
              <w:pBdr>
                <w:top w:val="nil"/>
                <w:left w:val="nil"/>
                <w:bottom w:val="nil"/>
                <w:right w:val="nil"/>
                <w:between w:val="nil"/>
              </w:pBdr>
              <w:spacing w:after="0" w:line="240" w:lineRule="auto"/>
              <w:ind w:firstLine="306"/>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164.2.17. дохід, отриманий платником податку як додаткове благо (крім випадків, передбачених статтею 165 цього Кодексу) у вигляді:</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основної суми боргу (кредиту) платника податку, прощеного (анульованого) кредитором за його самостійним рішенням, не пов'язаним з процедурою банкрутства, до закінчення строку позовної давності, у разі якщо його сума перевищує 25 відсотків однієї мінімальної заробітної плати (у розрахунку на рік), встановленої на 1 січня звітного податкового року. Кредитор зобов'язаний повідомити платника податку - боржника шляхом направлення рекомендованого листа з повідомленням про вручення або шляхом укладення відповідного договору, або надання повідомлення боржнику під підпис особисто про прощення (анулювання) боргу та включити суму прощеного (анульованого) боргу до податкового розрахунку суми доходу, нарахованого (сплаченого) на користь платників податку, за підсумками звітного періоду, у якому такий борг було прощено. Боржник самостійно сплачує податок з таких доходів та відображає їх у річній податковій декларації. У разі неповідомлення кредитором боржника про прощення (анулювання) боргу у порядку, визначеному цим підпунктом, такий кредитор зобов'язаний виконати всі </w:t>
            </w:r>
            <w:r>
              <w:rPr>
                <w:rFonts w:ascii="Times New Roman" w:eastAsia="Times New Roman" w:hAnsi="Times New Roman" w:cs="Times New Roman"/>
                <w:sz w:val="28"/>
                <w:szCs w:val="28"/>
              </w:rPr>
              <w:lastRenderedPageBreak/>
              <w:t>обов'язки податкового агента щодо доходів, визначених цим підпунктом.</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кредитом, що отриманий на придбання житла (іпотечний кредит), платник податку має право на сплату суми податкового зобов'язання, нарахованого на основну суму боргу (кредиту) платника податку, прощеного (анульованого) кредитором за його самостійним рішенням, не пов'язаним із процедурою його банкрутства, до закінчення строку позовної давності, протягом трьох років починаючи з року, в якому задекларовано суму такого податкового зобов'язання. Для розстрочення такої суми податкового зобов'язання платник податку разом із декларацією подає до контролюючого органу заяву у довільній формі, що містить фактичні дані про суму прощеного (анульованого) кредитором боргу (кредиту та/або відсотків),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Суми розстрочених податкових зобов'язань розраховуються платником податку самостійно згідно з документами щодо основної суми прощеного (анульованого) кредитором боргу (кредиту) та погашаються рівними частинами кожного календарного кварталу до 20 числа місяця, наступного за кожним календарним кварталом (до 20 квітня, до 20 липня, до 20 жовтня і до </w:t>
            </w:r>
            <w:r>
              <w:rPr>
                <w:rFonts w:ascii="Times New Roman" w:eastAsia="Times New Roman" w:hAnsi="Times New Roman" w:cs="Times New Roman"/>
                <w:b/>
                <w:sz w:val="28"/>
                <w:szCs w:val="28"/>
              </w:rPr>
              <w:t>20 грудня</w:t>
            </w:r>
            <w:r>
              <w:rPr>
                <w:rFonts w:ascii="Times New Roman" w:eastAsia="Times New Roman" w:hAnsi="Times New Roman" w:cs="Times New Roman"/>
                <w:sz w:val="28"/>
                <w:szCs w:val="28"/>
              </w:rPr>
              <w:t xml:space="preserve">) починаючи з кварталу, що настає за тим кварталом, у якому до контролюючого органу подано заяву у довільній формі, що містить фактичні дані про </w:t>
            </w:r>
            <w:r>
              <w:rPr>
                <w:rFonts w:ascii="Times New Roman" w:eastAsia="Times New Roman" w:hAnsi="Times New Roman" w:cs="Times New Roman"/>
                <w:sz w:val="28"/>
                <w:szCs w:val="28"/>
              </w:rPr>
              <w:lastRenderedPageBreak/>
              <w:t>основну суму прощеного (анульованого) кредитором боргу (кредиту),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164.2.17. дохід, отриманий платником податку як додаткове благо (крім випадків, передбачених статтею 165 цього Кодексу) у вигляді:</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основної суми боргу (кредиту) платника податку, прощеного (анульованого) кредитором за його самостійним рішенням, не пов'язаним з процедурою банкрутства, до закінчення строку позовної давності, у разі якщо його сума перевищує 25 відсотків однієї мінімальної заробітної плати (у розрахунку на рік), встановленої на 1 січня звітного податкового року. Кредитор зобов'язаний повідомити платника податку - боржника шляхом направлення рекомендованого листа з повідомленням про вручення або шляхом укладення відповідного договору, або надання повідомлення боржнику під підпис особисто про прощення (анулювання) боргу та включити суму прощеного (анульованого) боргу до податкового розрахунку суми доходу, нарахованого (сплаченого) на користь платників податку, за підсумками звітного періоду, у якому такий борг було прощено. Боржник самостійно сплачує податок з таких доходів та відображає їх у річній податковій декларації. У разі неповідомлення кредитором боржника про прощення (анулювання) боргу у порядку, визначеному цим підпунктом, такий кредитор зобов'язаний виконати всі обов'язки </w:t>
            </w:r>
            <w:r>
              <w:rPr>
                <w:rFonts w:ascii="Times New Roman" w:eastAsia="Times New Roman" w:hAnsi="Times New Roman" w:cs="Times New Roman"/>
                <w:sz w:val="28"/>
                <w:szCs w:val="28"/>
              </w:rPr>
              <w:lastRenderedPageBreak/>
              <w:t>податкового агента щодо доходів, визначених цим підпунктом.</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кредитом, що отриманий на придбання житла (іпотечний кредит), платник податку має право на сплату суми податкового зобов'язання, нарахованого+ на основну суму боргу (кредиту) платника податку, прощеного (анульованого) кредитором за його самостійним рішенням, не пов'язаним із процедурою його банкрутства, до закінчення строку позовної давності, протягом трьох років починаючи з року, в якому задекларовано суму такого податкового зобов'язання. Для розстрочення такої суми податкового зобов'язання платник податку разом із декларацією подає до контролюючого органу заяву у довільній формі, що містить фактичні дані про суму прощеного (анульованого) кредитором боргу (кредиту та/або відсотків),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Суми розстрочених податкових зобов'язань розраховуються платником податку самостійно згідно з документами щодо основної суми прощеного (анульованого) кредитором боргу (кредиту) та погашаються рівними частинами кожного календарного кварталу до 20 числа місяця, наступного за кожним календарним кварталом (до 20 квітня, до 20 липня, до 20 жовтня і до </w:t>
            </w:r>
            <w:r>
              <w:rPr>
                <w:rFonts w:ascii="Times New Roman" w:eastAsia="Times New Roman" w:hAnsi="Times New Roman" w:cs="Times New Roman"/>
                <w:b/>
                <w:sz w:val="28"/>
                <w:szCs w:val="28"/>
              </w:rPr>
              <w:t>20 січня)</w:t>
            </w:r>
            <w:r>
              <w:rPr>
                <w:rFonts w:ascii="Times New Roman" w:eastAsia="Times New Roman" w:hAnsi="Times New Roman" w:cs="Times New Roman"/>
                <w:sz w:val="28"/>
                <w:szCs w:val="28"/>
              </w:rPr>
              <w:t xml:space="preserve"> починаючи з кварталу, що настає за тим кварталом, у якому до контролюючого органу подано заяву у довільній формі, що містить фактичні дані про основну суму прощеного </w:t>
            </w:r>
            <w:r>
              <w:rPr>
                <w:rFonts w:ascii="Times New Roman" w:eastAsia="Times New Roman" w:hAnsi="Times New Roman" w:cs="Times New Roman"/>
                <w:sz w:val="28"/>
                <w:szCs w:val="28"/>
              </w:rPr>
              <w:lastRenderedPageBreak/>
              <w:t>(анульованого) кредитором боргу (кредиту),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1320"/>
              </w:tabs>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165.</w:t>
            </w:r>
            <w:r>
              <w:rPr>
                <w:rFonts w:ascii="Times New Roman" w:eastAsia="Times New Roman" w:hAnsi="Times New Roman" w:cs="Times New Roman"/>
                <w:sz w:val="28"/>
                <w:szCs w:val="28"/>
              </w:rPr>
              <w:t> Доходи, які не включаються до розрахунку загального місячного (річного) оподатковуваного доходу</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165.</w:t>
            </w:r>
            <w:r>
              <w:rPr>
                <w:rFonts w:ascii="Times New Roman" w:eastAsia="Times New Roman" w:hAnsi="Times New Roman" w:cs="Times New Roman"/>
                <w:sz w:val="28"/>
                <w:szCs w:val="28"/>
              </w:rPr>
              <w:t> Доходи, які не включаються до розрахунку загального місячного (річного) оподатковуваного доходу:</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13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165.1. До загального місячного (річного) оподатковуваного доходу платника податку не включаються такі доходи:</w:t>
            </w:r>
          </w:p>
          <w:p w:rsidR="00CA6C41" w:rsidRDefault="00CA6C41">
            <w:pPr>
              <w:pBdr>
                <w:top w:val="nil"/>
                <w:left w:val="nil"/>
                <w:bottom w:val="nil"/>
                <w:right w:val="nil"/>
                <w:between w:val="nil"/>
              </w:pBdr>
              <w:tabs>
                <w:tab w:val="left" w:pos="1320"/>
              </w:tabs>
              <w:spacing w:after="0" w:line="240" w:lineRule="auto"/>
              <w:ind w:firstLine="306"/>
              <w:jc w:val="both"/>
              <w:rPr>
                <w:rFonts w:ascii="Times New Roman" w:eastAsia="Times New Roman" w:hAnsi="Times New Roman" w:cs="Times New Roman"/>
                <w:sz w:val="28"/>
                <w:szCs w:val="28"/>
              </w:rPr>
            </w:pP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165.1. До загального місячного (річного) оподатковуваного доходу платника податку не включаються такі доходи:</w:t>
            </w:r>
          </w:p>
        </w:tc>
      </w:tr>
      <w:tr w:rsidR="00CA6C41">
        <w:tc>
          <w:tcPr>
            <w:tcW w:w="7323" w:type="dxa"/>
            <w:shd w:val="clear" w:color="auto" w:fill="auto"/>
            <w:tcMar>
              <w:top w:w="0" w:type="dxa"/>
              <w:left w:w="108" w:type="dxa"/>
              <w:bottom w:w="0" w:type="dxa"/>
              <w:right w:w="108" w:type="dxa"/>
            </w:tcMar>
          </w:tcPr>
          <w:p w:rsidR="00CA6C41" w:rsidRDefault="0050376E">
            <w:pPr>
              <w:pBdr>
                <w:top w:val="nil"/>
                <w:left w:val="nil"/>
                <w:bottom w:val="nil"/>
                <w:right w:val="nil"/>
                <w:between w:val="nil"/>
              </w:pBdr>
              <w:tabs>
                <w:tab w:val="left" w:pos="1320"/>
              </w:tabs>
              <w:spacing w:after="0" w:line="240" w:lineRule="auto"/>
              <w:jc w:val="both"/>
              <w:rPr>
                <w:rFonts w:ascii="Times New Roman" w:eastAsia="Times New Roman" w:hAnsi="Times New Roman" w:cs="Times New Roman"/>
                <w:sz w:val="28"/>
                <w:szCs w:val="28"/>
              </w:rPr>
            </w:pPr>
            <w:hyperlink r:id="rId57" w:anchor="w120">
              <w:r w:rsidR="00FC4AC1">
                <w:rPr>
                  <w:rFonts w:ascii="Times New Roman" w:eastAsia="Times New Roman" w:hAnsi="Times New Roman" w:cs="Times New Roman"/>
                  <w:sz w:val="28"/>
                  <w:szCs w:val="28"/>
                </w:rPr>
                <w:t>165</w:t>
              </w:r>
            </w:hyperlink>
            <w:r w:rsidR="00FC4AC1">
              <w:rPr>
                <w:rFonts w:ascii="Times New Roman" w:eastAsia="Times New Roman" w:hAnsi="Times New Roman" w:cs="Times New Roman"/>
                <w:sz w:val="28"/>
                <w:szCs w:val="28"/>
                <w:u w:val="single"/>
              </w:rPr>
              <w:t>.</w:t>
            </w:r>
            <w:r w:rsidR="00FC4AC1">
              <w:rPr>
                <w:rFonts w:ascii="Times New Roman" w:eastAsia="Times New Roman" w:hAnsi="Times New Roman" w:cs="Times New Roman"/>
                <w:sz w:val="28"/>
                <w:szCs w:val="28"/>
              </w:rPr>
              <w:t xml:space="preserve">1.1 сума державної та соціальної матеріальної допомоги, державної допомоги (включаючи грошові компенсації особам з інвалідністю, на дітей з інвалідністю при реалізації індивідуальних програм реабілітації осіб з інвалідністю, суми допомоги по вагітності та пологах), винагород і страхових виплат, які отримує платник податку з бюджетів та фондів загальнообов’язкового державного соціального страхування та у формі фінансової допомоги особам з інвалідністю </w:t>
            </w:r>
            <w:r w:rsidR="00FC4AC1">
              <w:rPr>
                <w:rFonts w:ascii="Times New Roman" w:eastAsia="Times New Roman" w:hAnsi="Times New Roman" w:cs="Times New Roman"/>
                <w:b/>
                <w:sz w:val="28"/>
                <w:szCs w:val="28"/>
              </w:rPr>
              <w:t>з Фонду соціального захисту інвалідів</w:t>
            </w:r>
            <w:r w:rsidR="00FC4AC1">
              <w:rPr>
                <w:rFonts w:ascii="Times New Roman" w:eastAsia="Times New Roman" w:hAnsi="Times New Roman" w:cs="Times New Roman"/>
                <w:sz w:val="28"/>
                <w:szCs w:val="28"/>
              </w:rPr>
              <w:t xml:space="preserve"> згідно із законом, у тому числі (але не виключно):</w:t>
            </w:r>
          </w:p>
        </w:tc>
        <w:tc>
          <w:tcPr>
            <w:tcW w:w="7561" w:type="dxa"/>
            <w:shd w:val="clear" w:color="auto" w:fill="auto"/>
            <w:tcMar>
              <w:top w:w="0" w:type="dxa"/>
              <w:left w:w="108" w:type="dxa"/>
              <w:bottom w:w="0" w:type="dxa"/>
              <w:right w:w="108" w:type="dxa"/>
            </w:tcMar>
          </w:tcPr>
          <w:p w:rsidR="00CA6C41" w:rsidRDefault="0050376E">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hyperlink r:id="rId58" w:anchor="w120">
              <w:r w:rsidR="00FC4AC1">
                <w:rPr>
                  <w:rFonts w:ascii="Times New Roman" w:eastAsia="Times New Roman" w:hAnsi="Times New Roman" w:cs="Times New Roman"/>
                  <w:sz w:val="28"/>
                  <w:szCs w:val="28"/>
                </w:rPr>
                <w:t>165</w:t>
              </w:r>
            </w:hyperlink>
            <w:r w:rsidR="00FC4AC1">
              <w:rPr>
                <w:rFonts w:ascii="Times New Roman" w:eastAsia="Times New Roman" w:hAnsi="Times New Roman" w:cs="Times New Roman"/>
                <w:sz w:val="28"/>
                <w:szCs w:val="28"/>
              </w:rPr>
              <w:t xml:space="preserve">.1.1 сума державної та соціальної матеріальної допомоги, державної допомоги (включаючи грошові компенсації особам з інвалідністю, на дітей з інвалідністю при реалізації індивідуальних програм реабілітації осіб з інвалідністю, суми допомоги по вагітності та пологах), винагород і страхових виплат, які отримує платник податку з бюджетів та фондів загальнообов’язкового державного соціального страхування та у формі фінансової допомоги особам з інвалідністю,  </w:t>
            </w:r>
            <w:r w:rsidR="00FC4AC1">
              <w:rPr>
                <w:rFonts w:ascii="Times New Roman" w:eastAsia="Times New Roman" w:hAnsi="Times New Roman" w:cs="Times New Roman"/>
                <w:b/>
                <w:sz w:val="28"/>
                <w:szCs w:val="28"/>
              </w:rPr>
              <w:t xml:space="preserve">яка надається неприбутковою бюджетною установою, основним завданням якого є фінансове забезпечення заходів щодо соціальної захищеності осіб з інвалідністю в Україні, </w:t>
            </w:r>
            <w:r w:rsidR="00FC4AC1">
              <w:rPr>
                <w:rFonts w:ascii="Times New Roman" w:eastAsia="Times New Roman" w:hAnsi="Times New Roman" w:cs="Times New Roman"/>
                <w:sz w:val="28"/>
                <w:szCs w:val="28"/>
              </w:rPr>
              <w:t>згідно із законом, у тому числі (але не виключно):</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13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1320"/>
              </w:tabs>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Пункт 165.1.62 відсутній</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165.1.62. суми безнадійного податкового боргу, списані контролюючим органом платнику податку відповідно до статті 101 цього Кодексу.</w:t>
            </w:r>
          </w:p>
        </w:tc>
      </w:tr>
      <w:tr w:rsidR="00CA6C41">
        <w:tc>
          <w:tcPr>
            <w:tcW w:w="7323"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1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167.</w:t>
            </w:r>
            <w:r>
              <w:rPr>
                <w:rFonts w:ascii="Times New Roman" w:eastAsia="Times New Roman" w:hAnsi="Times New Roman" w:cs="Times New Roman"/>
                <w:sz w:val="28"/>
                <w:szCs w:val="28"/>
              </w:rPr>
              <w:t xml:space="preserve"> Ставки податку</w:t>
            </w:r>
          </w:p>
        </w:tc>
        <w:tc>
          <w:tcPr>
            <w:tcW w:w="7561"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1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167.</w:t>
            </w:r>
            <w:r>
              <w:rPr>
                <w:rFonts w:ascii="Times New Roman" w:eastAsia="Times New Roman" w:hAnsi="Times New Roman" w:cs="Times New Roman"/>
                <w:sz w:val="28"/>
                <w:szCs w:val="28"/>
              </w:rPr>
              <w:t xml:space="preserve"> Ставки податку</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240" w:line="240"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167.4. Ставка податку становить 18 відсотків бази оподаткування щодо перевищення суми пенсії (включаючи суму її індексації, нараховану відповідно до закону), щомісячного довічного грошового утримання, визначеної у</w:t>
            </w:r>
            <w:hyperlink r:id="rId59" w:anchor="n9860">
              <w:r>
                <w:rPr>
                  <w:rFonts w:ascii="Times New Roman" w:eastAsia="Times New Roman" w:hAnsi="Times New Roman" w:cs="Times New Roman"/>
                  <w:sz w:val="28"/>
                  <w:szCs w:val="28"/>
                </w:rPr>
                <w:t xml:space="preserve"> підпункті 164.2.19</w:t>
              </w:r>
            </w:hyperlink>
            <w:r>
              <w:rPr>
                <w:rFonts w:ascii="Times New Roman" w:eastAsia="Times New Roman" w:hAnsi="Times New Roman" w:cs="Times New Roman"/>
                <w:sz w:val="28"/>
                <w:szCs w:val="28"/>
              </w:rPr>
              <w:t xml:space="preserve"> пункту 164.2 статті 164 цього розділу, які отримуються платником податку з Пенсійного фонду України чи бюджету згідно із законом.</w:t>
            </w:r>
          </w:p>
        </w:tc>
        <w:tc>
          <w:tcPr>
            <w:tcW w:w="7561"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240" w:line="240" w:lineRule="auto"/>
              <w:ind w:left="28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Виключити</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168. Порядок нарахування, утримання та сплати (перерахування) податку до бюджету</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168. Порядок нарахування, утримання та сплати (перерахування) податку до бюджету</w:t>
            </w:r>
          </w:p>
        </w:tc>
      </w:tr>
      <w:tr w:rsidR="00CA6C41">
        <w:tc>
          <w:tcPr>
            <w:tcW w:w="7323"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168.4. Порядок сплати (перерахування) податку до бюджету.</w:t>
            </w:r>
          </w:p>
        </w:tc>
        <w:tc>
          <w:tcPr>
            <w:tcW w:w="7561"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168.4. Порядок сплати (перерахування) податку до бюджету.</w:t>
            </w:r>
          </w:p>
        </w:tc>
      </w:tr>
      <w:tr w:rsidR="00CA6C41">
        <w:tc>
          <w:tcPr>
            <w:tcW w:w="7323"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168.4.4. юридична особа за своїм місцезнаходженням та місцезнаходженням не уповноважених сплачувати податок відокремлених підрозділів, відокремлений підрозділ, який уповноважений нараховувати, утримувати і сплачувати (перераховувати) до бюджету податок, за своїм місцезнаходженням 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за місцезнаходженням відокремлених підрозділів, а у випадках, передбачених цим Кодексом, - за </w:t>
            </w:r>
            <w:r>
              <w:rPr>
                <w:rFonts w:ascii="Times New Roman" w:eastAsia="Times New Roman" w:hAnsi="Times New Roman" w:cs="Times New Roman"/>
                <w:sz w:val="28"/>
                <w:szCs w:val="28"/>
              </w:rPr>
              <w:lastRenderedPageBreak/>
              <w:t>місцезнаходженням земельних ділянок, земельних часток (паїв), виділених або не виділених в натурі (на місцевості).</w:t>
            </w:r>
          </w:p>
        </w:tc>
        <w:tc>
          <w:tcPr>
            <w:tcW w:w="7561"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168.4.4. юридична особа за своїм місцезнаходженням та місцезнаходженням не уповноважених сплачувати податок відокремлених підрозділів, відокремлений підрозділ, який уповноважений нараховувати, утримувати і сплачувати (перераховувати) до бюджету податок, за своїм місцезнаходженням 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за місцезнаходженням відокремлених підрозділів, а у випадках, передбачених цим Кодексом, - за місцезнаходженням </w:t>
            </w:r>
            <w:r>
              <w:rPr>
                <w:rFonts w:ascii="Times New Roman" w:eastAsia="Times New Roman" w:hAnsi="Times New Roman" w:cs="Times New Roman"/>
                <w:sz w:val="28"/>
                <w:szCs w:val="28"/>
              </w:rPr>
              <w:lastRenderedPageBreak/>
              <w:t>земельних ділянок, земельних часток (паїв), виділених або не виділених в натурі (на місцевості).</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Органи, що здійснюють казначейське обслуговування бюджетних коштів в установленому </w:t>
            </w:r>
            <w:hyperlink r:id="rId60" w:anchor="n4">
              <w:r>
                <w:rPr>
                  <w:rFonts w:ascii="Times New Roman" w:eastAsia="Times New Roman" w:hAnsi="Times New Roman" w:cs="Times New Roman"/>
                  <w:sz w:val="28"/>
                  <w:szCs w:val="28"/>
                </w:rPr>
                <w:t>Бюджетним кодексом України</w:t>
              </w:r>
            </w:hyperlink>
            <w:r>
              <w:rPr>
                <w:rFonts w:ascii="Times New Roman" w:eastAsia="Times New Roman" w:hAnsi="Times New Roman" w:cs="Times New Roman"/>
                <w:sz w:val="28"/>
                <w:szCs w:val="28"/>
              </w:rPr>
              <w:t xml:space="preserve">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 що здійснюють казначейське обслуговування бюджетних коштів в установленому </w:t>
            </w:r>
            <w:hyperlink r:id="rId61" w:anchor="n4">
              <w:r>
                <w:rPr>
                  <w:rFonts w:ascii="Times New Roman" w:eastAsia="Times New Roman" w:hAnsi="Times New Roman" w:cs="Times New Roman"/>
                  <w:sz w:val="28"/>
                  <w:szCs w:val="28"/>
                </w:rPr>
                <w:t>Бюджетним кодексом України</w:t>
              </w:r>
            </w:hyperlink>
            <w:r>
              <w:rPr>
                <w:rFonts w:ascii="Times New Roman" w:eastAsia="Times New Roman" w:hAnsi="Times New Roman" w:cs="Times New Roman"/>
                <w:sz w:val="28"/>
                <w:szCs w:val="28"/>
              </w:rPr>
              <w:t xml:space="preserve">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 що здійснюють казначейське обслуговування бюджетних коштів в установленому </w:t>
            </w:r>
            <w:hyperlink r:id="rId62" w:anchor="n4">
              <w:r>
                <w:rPr>
                  <w:rFonts w:ascii="Times New Roman" w:eastAsia="Times New Roman" w:hAnsi="Times New Roman" w:cs="Times New Roman"/>
                  <w:sz w:val="28"/>
                  <w:szCs w:val="28"/>
                </w:rPr>
                <w:t>Бюджетним кодексом України</w:t>
              </w:r>
            </w:hyperlink>
            <w:r>
              <w:rPr>
                <w:rFonts w:ascii="Times New Roman" w:eastAsia="Times New Roman" w:hAnsi="Times New Roman" w:cs="Times New Roman"/>
                <w:sz w:val="28"/>
                <w:szCs w:val="28"/>
              </w:rPr>
              <w:t xml:space="preserve">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вилучити</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169.</w:t>
            </w:r>
            <w:r>
              <w:rPr>
                <w:rFonts w:ascii="Times New Roman" w:eastAsia="Times New Roman" w:hAnsi="Times New Roman" w:cs="Times New Roman"/>
                <w:sz w:val="28"/>
                <w:szCs w:val="28"/>
              </w:rPr>
              <w:t> Перерахунок податку та податкові соціальні пільги</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169.1. Перелік податкових соціальних пільг.</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урахуванням норм абзацу першого підпункту 169.4.1 пункту 169.4 цієї статті платник податку має право на зменшення суми загального місячного оподатковуваного доходу, отримуваного від одного роботодавця у вигляді заробітної плати, на суму податкової соціальної пільги:</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169.</w:t>
            </w:r>
            <w:r>
              <w:rPr>
                <w:rFonts w:ascii="Times New Roman" w:eastAsia="Times New Roman" w:hAnsi="Times New Roman" w:cs="Times New Roman"/>
                <w:sz w:val="28"/>
                <w:szCs w:val="28"/>
              </w:rPr>
              <w:t> Перерахунок податку та податкові соціальні пільги</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169.1. Перелік податкових соціальних пільг.</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урахуванням норм абзацу першого підпункту 169.4.1 пункту 169.4 цієї статті платник податку має право на зменшення суми загального місячного оподатковуваного доходу, отримуваного від одного роботодавця у вигляді заробітної плати, на суму податкової соціальної пільги:</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169.1.3</w:t>
            </w:r>
            <w:r>
              <w:rPr>
                <w:rFonts w:ascii="Times New Roman" w:eastAsia="Times New Roman" w:hAnsi="Times New Roman" w:cs="Times New Roman"/>
                <w:sz w:val="28"/>
                <w:szCs w:val="28"/>
              </w:rPr>
              <w:t xml:space="preserve"> у розмірі, що дорівнює 150 відсоткам суми пільги, визначеної підпунктом 169.1.1 цього пункту, - для такого платника податку, який:</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169.1.3</w:t>
            </w:r>
            <w:r>
              <w:rPr>
                <w:rFonts w:ascii="Times New Roman" w:eastAsia="Times New Roman" w:hAnsi="Times New Roman" w:cs="Times New Roman"/>
                <w:sz w:val="28"/>
                <w:szCs w:val="28"/>
              </w:rPr>
              <w:t xml:space="preserve"> у розмірі, що дорівнює 150 відсоткам суми пільги, визначеної підпунктом 169.1.1 цього пункту, - для такого платника податку, який:</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 є учасником бойових дій </w:t>
            </w:r>
            <w:r>
              <w:rPr>
                <w:rFonts w:ascii="Times New Roman" w:eastAsia="Times New Roman" w:hAnsi="Times New Roman" w:cs="Times New Roman"/>
                <w:b/>
                <w:sz w:val="28"/>
                <w:szCs w:val="28"/>
              </w:rPr>
              <w:t>на території інших країн у період після Другої світової війни,</w:t>
            </w:r>
            <w:r>
              <w:rPr>
                <w:rFonts w:ascii="Times New Roman" w:eastAsia="Times New Roman" w:hAnsi="Times New Roman" w:cs="Times New Roman"/>
                <w:sz w:val="28"/>
                <w:szCs w:val="28"/>
              </w:rPr>
              <w:t xml:space="preserve"> на якого </w:t>
            </w:r>
            <w:r>
              <w:rPr>
                <w:rFonts w:ascii="Times New Roman" w:eastAsia="Times New Roman" w:hAnsi="Times New Roman" w:cs="Times New Roman"/>
                <w:sz w:val="28"/>
                <w:szCs w:val="28"/>
              </w:rPr>
              <w:lastRenderedPageBreak/>
              <w:t>поширюється дія </w:t>
            </w:r>
            <w:hyperlink r:id="rId63">
              <w:r>
                <w:rPr>
                  <w:rFonts w:ascii="Times New Roman" w:eastAsia="Times New Roman" w:hAnsi="Times New Roman" w:cs="Times New Roman"/>
                  <w:sz w:val="28"/>
                  <w:szCs w:val="28"/>
                </w:rPr>
                <w:t>Закону України "Про статус ветеранів війни, гарантії їх соціального захисту"</w:t>
              </w:r>
            </w:hyperlink>
            <w:r>
              <w:rPr>
                <w:rFonts w:ascii="Times New Roman" w:eastAsia="Times New Roman" w:hAnsi="Times New Roman" w:cs="Times New Roman"/>
                <w:sz w:val="28"/>
                <w:szCs w:val="28"/>
              </w:rPr>
              <w:t>, крім осіб, визначених у підпункті "б" підпункту 169.1.4 цього пункту;</w:t>
            </w: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е) є учасником бойових дій,</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на якого поширюється дія </w:t>
            </w:r>
            <w:hyperlink r:id="rId64">
              <w:r>
                <w:rPr>
                  <w:rFonts w:ascii="Times New Roman" w:eastAsia="Times New Roman" w:hAnsi="Times New Roman" w:cs="Times New Roman"/>
                  <w:sz w:val="28"/>
                  <w:szCs w:val="28"/>
                </w:rPr>
                <w:t xml:space="preserve">Закону України "Про статус ветеранів війни, гарантії їх </w:t>
              </w:r>
              <w:r>
                <w:rPr>
                  <w:rFonts w:ascii="Times New Roman" w:eastAsia="Times New Roman" w:hAnsi="Times New Roman" w:cs="Times New Roman"/>
                  <w:sz w:val="28"/>
                  <w:szCs w:val="28"/>
                </w:rPr>
                <w:lastRenderedPageBreak/>
                <w:t>соціального захисту"</w:t>
              </w:r>
            </w:hyperlink>
            <w:r>
              <w:rPr>
                <w:rFonts w:ascii="Times New Roman" w:eastAsia="Times New Roman" w:hAnsi="Times New Roman" w:cs="Times New Roman"/>
                <w:sz w:val="28"/>
                <w:szCs w:val="28"/>
              </w:rPr>
              <w:t>, крім осіб, визначених у підпункті "б" підпункту 169.1.4 цього пункту;</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169.1.4.</w:t>
            </w:r>
            <w:r>
              <w:rPr>
                <w:rFonts w:ascii="Times New Roman" w:eastAsia="Times New Roman" w:hAnsi="Times New Roman" w:cs="Times New Roman"/>
                <w:sz w:val="28"/>
                <w:szCs w:val="28"/>
              </w:rPr>
              <w:t xml:space="preserve"> у розмірі, що дорівнює 200 відсоткам суми пільги, визначеної </w:t>
            </w:r>
            <w:hyperlink r:id="rId65" w:anchor="n3917">
              <w:r>
                <w:rPr>
                  <w:rFonts w:ascii="Times New Roman" w:eastAsia="Times New Roman" w:hAnsi="Times New Roman" w:cs="Times New Roman"/>
                  <w:sz w:val="28"/>
                  <w:szCs w:val="28"/>
                </w:rPr>
                <w:t>підпунктом 169.1.1</w:t>
              </w:r>
            </w:hyperlink>
            <w:r>
              <w:rPr>
                <w:rFonts w:ascii="Times New Roman" w:eastAsia="Times New Roman" w:hAnsi="Times New Roman" w:cs="Times New Roman"/>
                <w:sz w:val="28"/>
                <w:szCs w:val="28"/>
              </w:rPr>
              <w:t> цього пункту, - для такого платника податку, який є:</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169.1.4.</w:t>
            </w:r>
            <w:r>
              <w:rPr>
                <w:rFonts w:ascii="Times New Roman" w:eastAsia="Times New Roman" w:hAnsi="Times New Roman" w:cs="Times New Roman"/>
                <w:sz w:val="28"/>
                <w:szCs w:val="28"/>
              </w:rPr>
              <w:t xml:space="preserve"> у розмірі, що дорівнює 200 відсоткам суми пільги, визначеної </w:t>
            </w:r>
            <w:hyperlink r:id="rId66" w:anchor="n3917">
              <w:r>
                <w:rPr>
                  <w:rFonts w:ascii="Times New Roman" w:eastAsia="Times New Roman" w:hAnsi="Times New Roman" w:cs="Times New Roman"/>
                  <w:sz w:val="28"/>
                  <w:szCs w:val="28"/>
                </w:rPr>
                <w:t>підпунктом 169.1.1</w:t>
              </w:r>
            </w:hyperlink>
            <w:r>
              <w:rPr>
                <w:rFonts w:ascii="Times New Roman" w:eastAsia="Times New Roman" w:hAnsi="Times New Roman" w:cs="Times New Roman"/>
                <w:sz w:val="28"/>
                <w:szCs w:val="28"/>
              </w:rPr>
              <w:t> цього пункту, - для такого платника податку, який є:</w:t>
            </w:r>
          </w:p>
        </w:tc>
      </w:tr>
      <w:tr w:rsidR="00CA6C41">
        <w:tc>
          <w:tcPr>
            <w:tcW w:w="7323" w:type="dxa"/>
            <w:shd w:val="clear" w:color="auto" w:fill="auto"/>
            <w:tcMar>
              <w:top w:w="0" w:type="dxa"/>
              <w:left w:w="108" w:type="dxa"/>
              <w:bottom w:w="0" w:type="dxa"/>
              <w:right w:w="108" w:type="dxa"/>
            </w:tcMar>
          </w:tcPr>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учасником бойових дій під час Другої світової війни або особою, яка у той час працювала в тилу, та особою з інвалідністю I і II групи</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з числа учасників бойових дій </w:t>
            </w:r>
            <w:r>
              <w:rPr>
                <w:rFonts w:ascii="Times New Roman" w:eastAsia="Times New Roman" w:hAnsi="Times New Roman" w:cs="Times New Roman"/>
                <w:b/>
                <w:sz w:val="28"/>
                <w:szCs w:val="28"/>
              </w:rPr>
              <w:t>на території інших країн у період після Другої світової війни,</w:t>
            </w:r>
            <w:r>
              <w:rPr>
                <w:rFonts w:ascii="Times New Roman" w:eastAsia="Times New Roman" w:hAnsi="Times New Roman" w:cs="Times New Roman"/>
                <w:sz w:val="28"/>
                <w:szCs w:val="28"/>
              </w:rPr>
              <w:t xml:space="preserve"> на яких поширюється дія </w:t>
            </w:r>
            <w:hyperlink r:id="rId67">
              <w:r>
                <w:rPr>
                  <w:rFonts w:ascii="Times New Roman" w:eastAsia="Times New Roman" w:hAnsi="Times New Roman" w:cs="Times New Roman"/>
                  <w:sz w:val="28"/>
                  <w:szCs w:val="28"/>
                </w:rPr>
                <w:t>Закону України "Про статус ветеранів війни, гарантії їх соціального захисту"</w:t>
              </w:r>
            </w:hyperlink>
            <w:r>
              <w:rPr>
                <w:rFonts w:ascii="Times New Roman" w:eastAsia="Times New Roman" w:hAnsi="Times New Roman" w:cs="Times New Roman"/>
                <w:sz w:val="28"/>
                <w:szCs w:val="28"/>
              </w:rPr>
              <w:t>;</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учасником бойових дій під час Другої світової війни або особою, яка у той час працювала в тилу, та особою з інвалідністю I і II групи з числа учасників бойових дій, на яких поширюється дія </w:t>
            </w:r>
            <w:hyperlink r:id="rId68">
              <w:r>
                <w:rPr>
                  <w:rFonts w:ascii="Times New Roman" w:eastAsia="Times New Roman" w:hAnsi="Times New Roman" w:cs="Times New Roman"/>
                  <w:sz w:val="28"/>
                  <w:szCs w:val="28"/>
                </w:rPr>
                <w:t>Закону України "Про статус ветеранів війни, гарантії їх соціального захисту"</w:t>
              </w:r>
            </w:hyperlink>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170. </w:t>
            </w:r>
            <w:r>
              <w:rPr>
                <w:rFonts w:ascii="Times New Roman" w:eastAsia="Times New Roman" w:hAnsi="Times New Roman" w:cs="Times New Roman"/>
                <w:sz w:val="28"/>
                <w:szCs w:val="28"/>
              </w:rPr>
              <w:t>Особливості нарахування (виплати) та оподаткування окремих видів доходів</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170. </w:t>
            </w:r>
            <w:r>
              <w:rPr>
                <w:rFonts w:ascii="Times New Roman" w:eastAsia="Times New Roman" w:hAnsi="Times New Roman" w:cs="Times New Roman"/>
                <w:sz w:val="28"/>
                <w:szCs w:val="28"/>
              </w:rPr>
              <w:t>Особливості нарахування (виплати) та оподаткування окремих видів доходів</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170.6. Оподаткування виграшів та призів</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170.6.3. Оподаткування доходів у вигляді виграшів та призів, інших, ніж виграш (приз) у лотерею, здійснюється у загальному порядку, встановленому цим Кодексом для доходів, що остаточно оподатковуються під час їх нарахування, за ставкою, визначеною </w:t>
            </w:r>
            <w:r>
              <w:rPr>
                <w:rFonts w:ascii="Times New Roman" w:eastAsia="Times New Roman" w:hAnsi="Times New Roman" w:cs="Times New Roman"/>
                <w:b/>
                <w:sz w:val="28"/>
                <w:szCs w:val="28"/>
              </w:rPr>
              <w:t>в абзаці першому пункту</w:t>
            </w:r>
            <w:r>
              <w:rPr>
                <w:rFonts w:ascii="Times New Roman" w:eastAsia="Times New Roman" w:hAnsi="Times New Roman" w:cs="Times New Roman"/>
                <w:sz w:val="28"/>
                <w:szCs w:val="28"/>
              </w:rPr>
              <w:t xml:space="preserve"> 167.1 статті 167 цього Кодексу.</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170.6. Оподаткування виграшів та призів</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170.6.3. Оподаткування доходів у вигляді виграшів та призів, інших, ніж виграш (приз) у лотерею, здійснюється у загальному порядку, встановленому цим Кодексом для доходів, що остаточно оподатковуються під час їх нарахування, за ставкою, визначеною </w:t>
            </w:r>
            <w:r>
              <w:rPr>
                <w:rFonts w:ascii="Times New Roman" w:eastAsia="Times New Roman" w:hAnsi="Times New Roman" w:cs="Times New Roman"/>
                <w:b/>
                <w:sz w:val="28"/>
                <w:szCs w:val="28"/>
              </w:rPr>
              <w:t>пунктом</w:t>
            </w:r>
            <w:r>
              <w:rPr>
                <w:rFonts w:ascii="Times New Roman" w:eastAsia="Times New Roman" w:hAnsi="Times New Roman" w:cs="Times New Roman"/>
                <w:sz w:val="28"/>
                <w:szCs w:val="28"/>
              </w:rPr>
              <w:t xml:space="preserve"> 167.1 статті 167 цього Кодексу.</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177.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177.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w:t>
            </w:r>
          </w:p>
        </w:tc>
      </w:tr>
      <w:tr w:rsidR="00CA6C41">
        <w:tc>
          <w:tcPr>
            <w:tcW w:w="7323"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177.4. До переліку витрат, безпосередньо пов’язаних з отриманням доходів, належать:</w:t>
            </w:r>
          </w:p>
        </w:tc>
        <w:tc>
          <w:tcPr>
            <w:tcW w:w="7561"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177.4. До переліку витрат, безпосередньо пов’язаних з отриманням доходів, належать:</w:t>
            </w:r>
          </w:p>
        </w:tc>
      </w:tr>
      <w:tr w:rsidR="00CA6C41">
        <w:tc>
          <w:tcPr>
            <w:tcW w:w="7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177.4.4. інші витрати, до складу яких включаються витрати, що пов’язані з веденням господарської діяльності, які не зазначені в підпунктах 177.4.1-177.4.3 цього пункту, до яких відносяться витрати на відрядження найманих працівників, на послуги зв’язку, реклами, плати за розрахунково-касове обслуговування, на оплату оренди, ремонт та експлуатацію майна, що використовується в господарській діяльності, на транспортування готової продукції (товарів), транспортно-експедиційні та інші послуги, пов’язані з транспортуванням продукції (товарів), вартість придбаних послуг, прямо пов’язаних з виробництвом товарів, виконанням робіт, наданням послуг.</w:t>
            </w:r>
          </w:p>
        </w:tc>
        <w:tc>
          <w:tcPr>
            <w:tcW w:w="756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177.4.4. інші витрати, до складу яких включаються витрати, що пов’язані з веденням господарської діяльності, які не зазначені в підпунктах 177.4.1-177.4.3 цього пункту, до яких відносяться витрати на відрядження найманих працівників, на послуги зв’язку, реклами, плати за розрахунково-касове обслуговування, на оплату оренди, ремонт та експлуатацію майна, що використовується в господарській діяльності, на транспортування готової продукції (товарів), транспортно-експедиційні та інші послуги, пов’язані з транспортуванням продукції (товарів), вартість придбаних послуг, прямо пов’язаних з виробництвом товарів, виконанням робіт, наданням послуг,</w:t>
            </w:r>
            <w:r>
              <w:rPr>
                <w:rFonts w:ascii="Times New Roman" w:eastAsia="Times New Roman" w:hAnsi="Times New Roman" w:cs="Times New Roman"/>
                <w:b/>
                <w:sz w:val="28"/>
                <w:szCs w:val="28"/>
              </w:rPr>
              <w:t xml:space="preserve"> роялті, сплачені на користь правовласників як винагорода за використання об’єктів авторського права і (або) суміжних прав чи як відрахування на користь правовласників, на підставі договорів, укладених такою фізичною особою – підприємцем із організаціями колективного управління, відповідно до Закону України «Про ефективне управління майновими правами правовласників у сфері авторського права і (або) суміжних прав»;</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bl>
    <w:p w:rsidR="00CA6C41" w:rsidRDefault="00CA6C41">
      <w:pPr>
        <w:pBdr>
          <w:top w:val="nil"/>
          <w:left w:val="nil"/>
          <w:bottom w:val="nil"/>
          <w:right w:val="nil"/>
          <w:between w:val="nil"/>
        </w:pBdr>
        <w:rPr>
          <w:rFonts w:ascii="Times New Roman" w:eastAsia="Times New Roman" w:hAnsi="Times New Roman" w:cs="Times New Roman"/>
          <w:sz w:val="28"/>
          <w:szCs w:val="28"/>
        </w:rPr>
      </w:pPr>
    </w:p>
    <w:tbl>
      <w:tblPr>
        <w:tblStyle w:val="afffff3"/>
        <w:tblW w:w="148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60"/>
        <w:gridCol w:w="7620"/>
      </w:tblGrid>
      <w:tr w:rsidR="00CA6C41">
        <w:tc>
          <w:tcPr>
            <w:tcW w:w="726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 ПОДАТОК НА ДОДАНУ ВАРТІСТЬ</w:t>
            </w:r>
          </w:p>
        </w:tc>
        <w:tc>
          <w:tcPr>
            <w:tcW w:w="762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 ПОДАТОК НА ДОДАНУ ВАРТІСТЬ</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firstLin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183. Порядок реєстрації платників податку</w:t>
            </w:r>
          </w:p>
          <w:p w:rsidR="00CA6C41" w:rsidRDefault="00FC4AC1">
            <w:pPr>
              <w:pBdr>
                <w:top w:val="nil"/>
                <w:left w:val="nil"/>
                <w:bottom w:val="nil"/>
                <w:right w:val="nil"/>
                <w:between w:val="nil"/>
              </w:pBdr>
              <w:spacing w:before="240" w:after="0" w:line="276"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firstLin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183. Порядок реєстрації платників податку</w:t>
            </w:r>
          </w:p>
        </w:tc>
      </w:tr>
      <w:tr w:rsidR="00CA6C41">
        <w:tc>
          <w:tcPr>
            <w:tcW w:w="7260" w:type="dxa"/>
            <w:shd w:val="clear" w:color="auto" w:fill="auto"/>
            <w:tcMar>
              <w:top w:w="100" w:type="dxa"/>
              <w:left w:w="100" w:type="dxa"/>
              <w:bottom w:w="100" w:type="dxa"/>
              <w:right w:w="100" w:type="dxa"/>
            </w:tcMar>
          </w:tcPr>
          <w:p w:rsidR="00CA6C41" w:rsidRDefault="00FC4AC1">
            <w:pPr>
              <w:pStyle w:val="3"/>
              <w:spacing w:before="280" w:after="0"/>
              <w:ind w:firstLine="306"/>
              <w:jc w:val="both"/>
              <w:rPr>
                <w:b w:val="0"/>
                <w:sz w:val="28"/>
                <w:szCs w:val="28"/>
              </w:rPr>
            </w:pPr>
            <w:r>
              <w:rPr>
                <w:b w:val="0"/>
                <w:sz w:val="28"/>
                <w:szCs w:val="28"/>
              </w:rPr>
              <w:t>183.7. Заява про реєстрацію особи як платника податку подається до контролюючого органу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rsidR="00CA6C41" w:rsidRDefault="00FC4AC1">
            <w:pPr>
              <w:pStyle w:val="3"/>
              <w:spacing w:before="280" w:after="0"/>
              <w:ind w:firstLine="306"/>
              <w:jc w:val="both"/>
              <w:rPr>
                <w:b w:val="0"/>
                <w:sz w:val="28"/>
                <w:szCs w:val="28"/>
              </w:rPr>
            </w:pPr>
            <w:r>
              <w:rPr>
                <w:b w:val="0"/>
                <w:sz w:val="28"/>
                <w:szCs w:val="28"/>
              </w:rPr>
              <w:t>Суб'єкти господарювання (новостворені) можуть заявити про своє бажання добровільно зареєструватися як платник податку під час державної реєстрації створення юридичної особи або державної реєстрації фізичної особи - підприємця. Відповідна заява або відомості передаються до контролюючих органів у порядку, встановленому Законом України "Про державну реєстрацію юридичних осіб, фізичних осіб - підприємців та громадських формувань".</w:t>
            </w:r>
          </w:p>
          <w:p w:rsidR="00CA6C41" w:rsidRDefault="00FC4AC1">
            <w:pPr>
              <w:pStyle w:val="3"/>
              <w:spacing w:before="280" w:after="0"/>
              <w:ind w:firstLine="306"/>
              <w:jc w:val="both"/>
              <w:rPr>
                <w:b w:val="0"/>
                <w:sz w:val="28"/>
                <w:szCs w:val="28"/>
              </w:rPr>
            </w:pPr>
            <w:r>
              <w:rPr>
                <w:b w:val="0"/>
                <w:sz w:val="28"/>
                <w:szCs w:val="28"/>
              </w:rPr>
              <w:t>У реєстраційній заяві зазначаються підстави для реєстрації особи як платника податку.</w:t>
            </w:r>
          </w:p>
          <w:p w:rsidR="00CA6C41" w:rsidRDefault="00FC4AC1">
            <w:pPr>
              <w:pBdr>
                <w:top w:val="nil"/>
                <w:left w:val="nil"/>
                <w:bottom w:val="nil"/>
                <w:right w:val="nil"/>
                <w:between w:val="nil"/>
              </w:pBdr>
              <w:spacing w:before="240" w:after="0" w:line="276" w:lineRule="auto"/>
              <w:ind w:firstLin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Щодо таких заяв або відомостей перебіг </w:t>
            </w:r>
            <w:r>
              <w:rPr>
                <w:rFonts w:ascii="Times New Roman" w:eastAsia="Times New Roman" w:hAnsi="Times New Roman" w:cs="Times New Roman"/>
                <w:b/>
                <w:sz w:val="28"/>
                <w:szCs w:val="28"/>
              </w:rPr>
              <w:t xml:space="preserve">триденного </w:t>
            </w:r>
            <w:r>
              <w:rPr>
                <w:rFonts w:ascii="Times New Roman" w:eastAsia="Times New Roman" w:hAnsi="Times New Roman" w:cs="Times New Roman"/>
                <w:sz w:val="28"/>
                <w:szCs w:val="28"/>
              </w:rPr>
              <w:t xml:space="preserve">строку їх розгляду контролюючими органами розпочинається з </w:t>
            </w:r>
            <w:r>
              <w:rPr>
                <w:rFonts w:ascii="Times New Roman" w:eastAsia="Times New Roman" w:hAnsi="Times New Roman" w:cs="Times New Roman"/>
                <w:b/>
                <w:sz w:val="28"/>
                <w:szCs w:val="28"/>
              </w:rPr>
              <w:t xml:space="preserve">дати </w:t>
            </w:r>
            <w:r>
              <w:rPr>
                <w:rFonts w:ascii="Times New Roman" w:eastAsia="Times New Roman" w:hAnsi="Times New Roman" w:cs="Times New Roman"/>
                <w:sz w:val="28"/>
                <w:szCs w:val="28"/>
              </w:rPr>
              <w:t>їх надходження до контролюючого органу, правила, порядок та строки розгляду є такими самими, як і для реєстраційних заяв, поданих згідно з абзацом першим цього пункту.</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ind w:firstLine="5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183.7. Заява про реєстрацію особи як платника податку подається до контролюючого органу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rsidR="00CA6C41" w:rsidRDefault="00FC4AC1">
            <w:pPr>
              <w:pBdr>
                <w:top w:val="nil"/>
                <w:left w:val="nil"/>
                <w:bottom w:val="nil"/>
                <w:right w:val="nil"/>
                <w:between w:val="nil"/>
              </w:pBdr>
              <w:spacing w:after="0" w:line="240" w:lineRule="auto"/>
              <w:ind w:firstLine="50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rsidR="00CA6C41" w:rsidRDefault="00FC4AC1">
            <w:pPr>
              <w:pBdr>
                <w:top w:val="nil"/>
                <w:left w:val="nil"/>
                <w:bottom w:val="nil"/>
                <w:right w:val="nil"/>
                <w:between w:val="nil"/>
              </w:pBdr>
              <w:spacing w:after="0" w:line="240" w:lineRule="auto"/>
              <w:ind w:firstLine="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Суб'єкти господарювання (новостворені) можуть заявити про своє бажання добровільно зареєструватися як платник податку під час державної реєстрації створення юридичної особи або державної реєстрації фізичної особи - підприємця. Відповідна заява або відомості передаються до контролюючих органів у порядку, встановленому Законом України "Про державну реєстрацію юридичних осіб, фізичних осіб - підприємців та громадських формувань".</w:t>
            </w:r>
          </w:p>
          <w:p w:rsidR="00CA6C41" w:rsidRDefault="00CA6C41">
            <w:pPr>
              <w:pBdr>
                <w:top w:val="nil"/>
                <w:left w:val="nil"/>
                <w:bottom w:val="nil"/>
                <w:right w:val="nil"/>
                <w:between w:val="nil"/>
              </w:pBdr>
              <w:spacing w:after="0" w:line="240" w:lineRule="auto"/>
              <w:ind w:firstLine="50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5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реєстраційній заяві зазначаються підстави для реєстрації особи як платника податку. </w:t>
            </w:r>
          </w:p>
          <w:p w:rsidR="00CA6C41" w:rsidRDefault="00FC4AC1">
            <w:pPr>
              <w:pBdr>
                <w:top w:val="nil"/>
                <w:left w:val="nil"/>
                <w:bottom w:val="nil"/>
                <w:right w:val="nil"/>
                <w:between w:val="nil"/>
              </w:pBdr>
              <w:spacing w:before="240" w:after="0" w:line="276" w:lineRule="auto"/>
              <w:ind w:firstLin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Щодо таких заяв або відомостей перебіг строку їх розгляду контролюючими органами розпочинається</w:t>
            </w:r>
            <w:r>
              <w:rPr>
                <w:rFonts w:ascii="Times New Roman" w:eastAsia="Times New Roman" w:hAnsi="Times New Roman" w:cs="Times New Roman"/>
                <w:b/>
                <w:sz w:val="28"/>
                <w:szCs w:val="28"/>
              </w:rPr>
              <w:t xml:space="preserve"> з дня, наступного за днем</w:t>
            </w:r>
            <w:r>
              <w:rPr>
                <w:rFonts w:ascii="Times New Roman" w:eastAsia="Times New Roman" w:hAnsi="Times New Roman" w:cs="Times New Roman"/>
                <w:sz w:val="28"/>
                <w:szCs w:val="28"/>
              </w:rPr>
              <w:t xml:space="preserve"> їх надходження до контролюючого органу, правила, порядок та строки розгляду є такими самими, як і для реєстраційних заяв, поданих згідно з абзацом першим цього пункту.</w:t>
            </w:r>
          </w:p>
        </w:tc>
      </w:tr>
      <w:tr w:rsidR="00CA6C41">
        <w:tc>
          <w:tcPr>
            <w:tcW w:w="726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187.</w:t>
            </w:r>
            <w:r>
              <w:rPr>
                <w:rFonts w:ascii="Times New Roman" w:eastAsia="Times New Roman" w:hAnsi="Times New Roman" w:cs="Times New Roman"/>
                <w:sz w:val="28"/>
                <w:szCs w:val="28"/>
              </w:rPr>
              <w:t> Дата виникнення податкових зобов'язань</w:t>
            </w:r>
          </w:p>
        </w:tc>
        <w:tc>
          <w:tcPr>
            <w:tcW w:w="762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187.</w:t>
            </w:r>
            <w:r>
              <w:rPr>
                <w:rFonts w:ascii="Times New Roman" w:eastAsia="Times New Roman" w:hAnsi="Times New Roman" w:cs="Times New Roman"/>
                <w:sz w:val="28"/>
                <w:szCs w:val="28"/>
              </w:rPr>
              <w:t> Дата виникнення податкових зобов'язань</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tc>
      </w:tr>
      <w:tr w:rsidR="00CA6C41">
        <w:tc>
          <w:tcPr>
            <w:tcW w:w="726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187.1. Датою виникнення податкових зобов'язань з постачання товарів/послуг вважається дата, яка припадає на податковий період, протягом якого відбувається будь-яка з подій, що сталася раніше:</w:t>
            </w:r>
            <w:bookmarkStart w:id="2" w:name="bookmark=id.23ckvvd" w:colFirst="0" w:colLast="0"/>
            <w:bookmarkEnd w:id="2"/>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дата зарахування коштів від покупця/замовника на банківський рахунок платника податку як оплата товарів/послуг, що підлягають постачанню, а в разі постачання товарів/послуг за готівку - дата оприбуткування коштів у касі платника податку, а в разі відсутності такої - дата інкасації готівки у банківській установі, що обслуговує платника податку;</w:t>
            </w:r>
            <w:bookmarkStart w:id="3" w:name="bookmark=id.ihv636" w:colFirst="0" w:colLast="0"/>
            <w:bookmarkEnd w:id="3"/>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 дата відвантаження товарів, а в разі експорту товарів -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 дата оформлення документа, що засвідчує факт постачання послуг платником податку.</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bookmarkStart w:id="4" w:name="bookmark=id.32hioqz" w:colFirst="0" w:colLast="0"/>
            <w:bookmarkEnd w:id="4"/>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операціями з виконання підрядних будівельних робіт суб'єкти підприємницької діяльності можуть застосовувати касовий метод податкового обліку відповідно до підпункту </w:t>
            </w:r>
            <w:hyperlink r:id="rId69" w:anchor="n780">
              <w:r>
                <w:rPr>
                  <w:rFonts w:ascii="Times New Roman" w:eastAsia="Times New Roman" w:hAnsi="Times New Roman" w:cs="Times New Roman"/>
                  <w:sz w:val="28"/>
                  <w:szCs w:val="28"/>
                </w:rPr>
                <w:t>14.1.266</w:t>
              </w:r>
            </w:hyperlink>
            <w:r>
              <w:rPr>
                <w:rFonts w:ascii="Times New Roman" w:eastAsia="Times New Roman" w:hAnsi="Times New Roman" w:cs="Times New Roman"/>
                <w:sz w:val="28"/>
                <w:szCs w:val="28"/>
              </w:rPr>
              <w:t> пункту 14.1 статті 14 цього Кодексу.</w:t>
            </w:r>
          </w:p>
        </w:tc>
        <w:tc>
          <w:tcPr>
            <w:tcW w:w="762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187.1. Датою виникнення податкових зобов'язань з постачання товарів/послуг вважається дата, яка припадає на податковий період, протягом якого відбувається будь-яка з подій, що сталася раніше:</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дата зарахування коштів від покупця/замовника на банківський рахунок платника податку як оплата товарів/послуг, що підлягають постачанню, а в разі постачання товарів/послуг за готівку - дата оприбуткування коштів у касі платника податку, а в разі відсутності такої - дата інкасації готівки у банківській установі, що обслуговує платника податку;</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б) дата здійснення постачання товарів, а в разі експорту товарів –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 дата оформлення документа, що засвідчує факт постачання послуг платником податку. Для документів, складених в електронній формі, датою оформлення документа, що засвідчує факт постачання послуг платником податку, вважається дата зазначена у самому документі як дата його складення відповідно до Закону України «Про бухгалтерський облік та фінансову звітність в Україні»,   незалежно  від  дати накладення  електронного  підпису.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операціями з виконання підрядних будівельних робіт суб'єкти підприємницької діяльності можуть застосовувати касовий метод податкового обліку відповідно до підпункту </w:t>
            </w:r>
            <w:hyperlink r:id="rId70" w:anchor="n780">
              <w:r>
                <w:rPr>
                  <w:rFonts w:ascii="Times New Roman" w:eastAsia="Times New Roman" w:hAnsi="Times New Roman" w:cs="Times New Roman"/>
                  <w:sz w:val="28"/>
                  <w:szCs w:val="28"/>
                </w:rPr>
                <w:t>14.1.266</w:t>
              </w:r>
            </w:hyperlink>
            <w:r>
              <w:rPr>
                <w:rFonts w:ascii="Times New Roman" w:eastAsia="Times New Roman" w:hAnsi="Times New Roman" w:cs="Times New Roman"/>
                <w:sz w:val="28"/>
                <w:szCs w:val="28"/>
              </w:rPr>
              <w:t> пункту 14.1 статті 14 цього Кодексу.</w:t>
            </w:r>
          </w:p>
        </w:tc>
      </w:tr>
      <w:tr w:rsidR="00CA6C41">
        <w:tc>
          <w:tcPr>
            <w:tcW w:w="726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189.</w:t>
            </w:r>
            <w:r>
              <w:rPr>
                <w:rFonts w:ascii="Times New Roman" w:eastAsia="Times New Roman" w:hAnsi="Times New Roman" w:cs="Times New Roman"/>
                <w:sz w:val="28"/>
                <w:szCs w:val="28"/>
              </w:rPr>
              <w:t> Особливості визначення бази оподаткування в разі постачання товарів/послуг в окремих випадках</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62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189.</w:t>
            </w:r>
            <w:r>
              <w:rPr>
                <w:rFonts w:ascii="Times New Roman" w:eastAsia="Times New Roman" w:hAnsi="Times New Roman" w:cs="Times New Roman"/>
                <w:sz w:val="28"/>
                <w:szCs w:val="28"/>
              </w:rPr>
              <w:t> Особливості визначення бази оподаткування в разі постачання товарів/послуг в окремих випадках</w:t>
            </w:r>
          </w:p>
          <w:p w:rsidR="00CA6C41" w:rsidRDefault="00CA6C41">
            <w:pPr>
              <w:pBdr>
                <w:top w:val="nil"/>
                <w:left w:val="nil"/>
                <w:bottom w:val="nil"/>
                <w:right w:val="nil"/>
                <w:between w:val="nil"/>
              </w:pBdr>
              <w:spacing w:after="0" w:line="240" w:lineRule="auto"/>
              <w:ind w:left="142"/>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26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189.9. У разі якщо основні виробничі або невиробничі засоби ліквідуються за самостійним рішенням платника податку, така ліквідація для цілей оподаткування розглядається як постачання таких основних виробничих або невиробничих засобів за звичайними цінами, але не нижче балансової вартості на момент ліквідації.</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Норма цього пункту не поширюється на випадки, коли основні виробничі або невиробничі засоби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основних виробничих або невиробничих засобів, що підтверджується відповідно </w:t>
            </w:r>
            <w:r>
              <w:rPr>
                <w:rFonts w:ascii="Times New Roman" w:eastAsia="Times New Roman" w:hAnsi="Times New Roman" w:cs="Times New Roman"/>
                <w:b/>
                <w:sz w:val="28"/>
                <w:szCs w:val="28"/>
              </w:rPr>
              <w:lastRenderedPageBreak/>
              <w:t>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або невиробничих засобів у інший спосіб, внаслідок чого вони не можуть використовуватися за первісним призначенням.</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189.9. У разі якщо основні виробничі або невиробничі засоби, сільськогосподарські рослини, насадження, тварини платника податку ліквідуються за самостійним рішенням платника податку, така ліквідація для цілей оподаткування розглядається як постачання:</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для основних виробничих або невиробничих засобів – за звичайними цінами, але не нижче балансової вартості на момент їх ліквідації;</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для сільськогосподарських рослин, насаджень, тварин – за цінами придбання товарів/послуг, що придбані з податком на додану вартість та використані для виробництва (вирощування) таких сільськогосподарських рослин, насаджень, тварин, та які не були включені до вартості інших товарів/послуг, операції з постачання яких підлягають оподаткуванню.</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Положення абзацу першого-третього цього пункту не застосовується, за умови якщо:</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а) основні виробничі або невиробничі засоби, ліквідуються у зв’язку з їх знищенням або зруйнуванням, </w:t>
            </w:r>
            <w:r>
              <w:rPr>
                <w:rFonts w:ascii="Times New Roman" w:eastAsia="Times New Roman" w:hAnsi="Times New Roman" w:cs="Times New Roman"/>
                <w:b/>
                <w:sz w:val="28"/>
                <w:szCs w:val="28"/>
              </w:rPr>
              <w:lastRenderedPageBreak/>
              <w:t>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внаслідок чого такі активи не можуть використовуватися за первісним призначенням, що підтверджується відповідними документами та платник  податків повідомив контролюючий орган про  наявність таких обставин, в межах податкової звітності за відповідний звітний (податковий) період, в якому виникли такі обставини;</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 сільськогосподарські рослини, насадження ліквідуються у зв’язку з їх знищенням, або загибеллю внаслідок дії обставин непереборної сили, або сільськогосподарські тварини ліквідуються у зв’язку з їх загибеллю, падежем, вимушеним забоєм внаслідок дії обставин непереборної, внаслідок чого такі рослини, насадження, тварини не можуть використовуватися за первісним призначенням, що підтверджується відповідними документами та платник  податків повідомив контролюючий орган про  наявність таких обставин, в межах податкової звітності за відповідний звітний (податковий) період, в якому виникли такі обставини.</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Контролюючий орган має право у порядку передбаченому  пунктом 73.3 статті 73 цього Кодексу </w:t>
            </w:r>
            <w:r>
              <w:rPr>
                <w:rFonts w:ascii="Times New Roman" w:eastAsia="Times New Roman" w:hAnsi="Times New Roman" w:cs="Times New Roman"/>
                <w:b/>
                <w:sz w:val="28"/>
                <w:szCs w:val="28"/>
              </w:rPr>
              <w:lastRenderedPageBreak/>
              <w:t>надіслати платнику податків  запит про надання документів, що підтверджують  наявність  обставин, зазначених у пунктах «а-б» цього підпункту,   не раніше ніж через 30 календарних днів з дати отримання відповідного повідомлення. Платники податків зобов’язані подавати документи, визначені в запиті контролюючого органу у порядку передбаченому  пунктом 73.3 статті 73 цього Кодексу або  надати інформацію про терміни їх надання у разі,  якщо документи, що підтверджують  наявність  обставин, зазначених у пунктах «а-б» цього підпункту, видаються уповноваженою  особою. Якщо платник податків не подав документи видані уповноваженою  особою на запит контролюючого органу протягом 180 календарних днів з дня отримання такого запиту, то платник податку зобов'язаний нарахувати податкові зобов'язання відповідно до  абзацу першого-третього цього пункту. Якщо у подальшому платник податків   надає контролюючому органу документи, видані уповноваженою  особою,  такий платник  податків має право відкоригувати податкові зобов'язання.</w:t>
            </w:r>
          </w:p>
          <w:p w:rsidR="00CA6C41" w:rsidRDefault="00CA6C41">
            <w:pPr>
              <w:pBdr>
                <w:top w:val="nil"/>
                <w:left w:val="nil"/>
                <w:bottom w:val="nil"/>
                <w:right w:val="nil"/>
                <w:between w:val="nil"/>
              </w:pBdr>
              <w:spacing w:before="240" w:after="0" w:line="276" w:lineRule="auto"/>
              <w:ind w:left="142"/>
              <w:jc w:val="both"/>
              <w:rPr>
                <w:rFonts w:ascii="Times New Roman" w:eastAsia="Times New Roman" w:hAnsi="Times New Roman" w:cs="Times New Roman"/>
                <w:b/>
                <w:sz w:val="28"/>
                <w:szCs w:val="28"/>
              </w:rPr>
            </w:pPr>
          </w:p>
        </w:tc>
      </w:tr>
      <w:tr w:rsidR="00CA6C41">
        <w:trPr>
          <w:trHeight w:val="1215"/>
        </w:trPr>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195.1. За нульовою ставкою оподатковуються операції з:</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195.1. За нульовою ставкою оподатковуються операції з:</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195.1.3. постачання таких послуг:</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міжнародні перевезення пасажирів і багажу та вантажів залізничним, автомобільним, морським і річковим та авіаційним транспортом.</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Для цілей цього підпункту перевезення вважається міжнародним, якщо таке перевезення здійснюється за єдиним міжнародним перевізним документом;</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195.1.3. постачання таких послуг:</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а) міжнародні перевезення пасажирів і багажу та вантажів залізничним, автомобільним, морським і річковим та авіаційним транспортом</w:t>
            </w:r>
            <w:r>
              <w:rPr>
                <w:rFonts w:ascii="Times New Roman" w:eastAsia="Times New Roman" w:hAnsi="Times New Roman" w:cs="Times New Roman"/>
                <w:b/>
                <w:sz w:val="28"/>
                <w:szCs w:val="28"/>
              </w:rPr>
              <w:t>, що здійснюються за єдиним міжнародним перевізним документом.</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виключено</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197.</w:t>
            </w:r>
            <w:r>
              <w:rPr>
                <w:rFonts w:ascii="Times New Roman" w:eastAsia="Times New Roman" w:hAnsi="Times New Roman" w:cs="Times New Roman"/>
                <w:sz w:val="28"/>
                <w:szCs w:val="28"/>
              </w:rPr>
              <w:t xml:space="preserve"> Операції, звільнені від оподаткування</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197.</w:t>
            </w:r>
            <w:r>
              <w:rPr>
                <w:rFonts w:ascii="Times New Roman" w:eastAsia="Times New Roman" w:hAnsi="Times New Roman" w:cs="Times New Roman"/>
                <w:sz w:val="28"/>
                <w:szCs w:val="28"/>
              </w:rPr>
              <w:t xml:space="preserve"> Операції, звільнені від оподаткування</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197.6. Звільняються від оподаткування операції з постачання товарів (крім підакцизних товарів) та послуг (крім послуг, що надаються під час проведення лотерей і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особи без передачі права власності на такі товари), що безпосередньо виготовляються підприємствами та організаціями, які засновані громадськими об'єднаннями осіб з інвалідністю, де </w:t>
            </w:r>
            <w:r>
              <w:rPr>
                <w:rFonts w:ascii="Times New Roman" w:eastAsia="Times New Roman" w:hAnsi="Times New Roman" w:cs="Times New Roman"/>
                <w:sz w:val="28"/>
                <w:szCs w:val="28"/>
              </w:rPr>
              <w:lastRenderedPageBreak/>
              <w:t>кількість осіб з інвалідністю, які мають у таких організаціях 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осіб з інвалідністю становить протягом звітного періоду не менш як 25 відсотків суми загальних витрат з оплати праці, що належать до складу витрат згідно з правилами оподаткування податком на прибуток підприємств.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Зазначені підприємства та організації громадських об’єднань осіб з інвалідністю мають право застосовувати зазначену пільгу за наявності</w:t>
            </w:r>
            <w:r>
              <w:rPr>
                <w:rFonts w:ascii="Times New Roman" w:eastAsia="Times New Roman" w:hAnsi="Times New Roman" w:cs="Times New Roman"/>
                <w:b/>
                <w:sz w:val="28"/>
                <w:szCs w:val="28"/>
              </w:rPr>
              <w:t xml:space="preserve"> реєстрації у відповідному контролюючому органі, яка здійснюється на підставі відповідної заяви платника податку про бажання отримати таку пільгу і </w:t>
            </w:r>
            <w:r>
              <w:rPr>
                <w:rFonts w:ascii="Times New Roman" w:eastAsia="Times New Roman" w:hAnsi="Times New Roman" w:cs="Times New Roman"/>
                <w:sz w:val="28"/>
                <w:szCs w:val="28"/>
              </w:rPr>
              <w:t>рішення уповноваженого органу відповідно до Закону України «Про основи соціальної захищеності осіб з інвалідністю в Україні».</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197.6. Звільняються від оподаткування операції з постачання товарів (крім підакцизних товарів) та послуг (крім послуг, що надаються під час проведення лотерей і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особи без передачі права власності на такі товари), що безпосередньо виготовляються підприємствами та організаціями, які засновані громадськими об'єднаннями осіб з інвалідністю, де кількість осіб з інвалідністю, які мають у таких організаціях </w:t>
            </w:r>
            <w:r>
              <w:rPr>
                <w:rFonts w:ascii="Times New Roman" w:eastAsia="Times New Roman" w:hAnsi="Times New Roman" w:cs="Times New Roman"/>
                <w:sz w:val="28"/>
                <w:szCs w:val="28"/>
              </w:rPr>
              <w:lastRenderedPageBreak/>
              <w:t>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осіб з інвалідністю становить протягом звітного періоду не менш як 25 відсотків суми загальних витрат з оплати праці, що належать до складу витрат згідно з правилами оподаткування податком на прибуток підприємств.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Зазначені підприємства та організації громадських об’єднань осіб з інвалідністю мають право застосовувати зазначену пільгу за наявності</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рішення уповноваженого органу</w:t>
            </w:r>
            <w:r>
              <w:rPr>
                <w:rFonts w:ascii="Times New Roman" w:eastAsia="Times New Roman" w:hAnsi="Times New Roman" w:cs="Times New Roman"/>
                <w:b/>
                <w:sz w:val="28"/>
                <w:szCs w:val="28"/>
              </w:rPr>
              <w:t xml:space="preserve"> про надання дозволу на застосування такої пільги </w:t>
            </w:r>
            <w:r>
              <w:rPr>
                <w:rFonts w:ascii="Times New Roman" w:eastAsia="Times New Roman" w:hAnsi="Times New Roman" w:cs="Times New Roman"/>
                <w:sz w:val="28"/>
                <w:szCs w:val="28"/>
              </w:rPr>
              <w:t>відповідно до Закону України «Про основи соціальної захищеності осіб з інвалідністю в Україні».</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197.1.29. безоплатної передачі у державну або комунальну власність відповідних територіальних громад трамвайних вагонів (товарна </w:t>
            </w:r>
            <w:r>
              <w:rPr>
                <w:rFonts w:ascii="Times New Roman" w:eastAsia="Times New Roman" w:hAnsi="Times New Roman" w:cs="Times New Roman"/>
                <w:b/>
                <w:sz w:val="28"/>
                <w:szCs w:val="28"/>
              </w:rPr>
              <w:t xml:space="preserve">позиція </w:t>
            </w:r>
            <w:r>
              <w:rPr>
                <w:rFonts w:ascii="Times New Roman" w:eastAsia="Times New Roman" w:hAnsi="Times New Roman" w:cs="Times New Roman"/>
                <w:sz w:val="28"/>
                <w:szCs w:val="28"/>
              </w:rPr>
              <w:t xml:space="preserve">згідно з УКТ ЗЕД 8603 10 00 10), тролейбусів (товарна </w:t>
            </w:r>
            <w:r>
              <w:rPr>
                <w:rFonts w:ascii="Times New Roman" w:eastAsia="Times New Roman" w:hAnsi="Times New Roman" w:cs="Times New Roman"/>
                <w:b/>
                <w:sz w:val="28"/>
                <w:szCs w:val="28"/>
              </w:rPr>
              <w:t xml:space="preserve">позиція </w:t>
            </w:r>
            <w:r>
              <w:rPr>
                <w:rFonts w:ascii="Times New Roman" w:eastAsia="Times New Roman" w:hAnsi="Times New Roman" w:cs="Times New Roman"/>
                <w:sz w:val="28"/>
                <w:szCs w:val="28"/>
              </w:rPr>
              <w:t>згідно з УК</w:t>
            </w:r>
            <w:r>
              <w:rPr>
                <w:rFonts w:ascii="Times New Roman" w:eastAsia="Times New Roman" w:hAnsi="Times New Roman" w:cs="Times New Roman"/>
                <w:b/>
                <w:sz w:val="28"/>
                <w:szCs w:val="28"/>
              </w:rPr>
              <w:t xml:space="preserve">Т </w:t>
            </w:r>
            <w:r>
              <w:rPr>
                <w:rFonts w:ascii="Times New Roman" w:eastAsia="Times New Roman" w:hAnsi="Times New Roman" w:cs="Times New Roman"/>
                <w:b/>
                <w:sz w:val="28"/>
                <w:szCs w:val="28"/>
              </w:rPr>
              <w:lastRenderedPageBreak/>
              <w:t>ЗЕД 8702 90 90 10</w:t>
            </w:r>
            <w:r>
              <w:rPr>
                <w:rFonts w:ascii="Times New Roman" w:eastAsia="Times New Roman" w:hAnsi="Times New Roman" w:cs="Times New Roman"/>
                <w:sz w:val="28"/>
                <w:szCs w:val="28"/>
              </w:rPr>
              <w:t>), автобусів (товарна позиція</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згідно з УКТ ЗЕД 8702) для перевезення громадян на маршрутах (лініях) відповідно до вимог життєзабезпечення населених пунктів. У разі нецільового використання зазначених товарів платник податку зобов'язаний збільшити податкові зобов'язання за наслідками податкового періоду, на який припадає таке порушення, на суму податку на додану вартість, що мала бути сплачена в момент імпорту (постачання) таких товарів, а також сплатити пеню відповідно до закону;</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197.1.29. безоплатної передачі у державну або комунальну власність відповідних територіальних громад трамвайних вагонів (товарна </w:t>
            </w:r>
            <w:r>
              <w:rPr>
                <w:rFonts w:ascii="Times New Roman" w:eastAsia="Times New Roman" w:hAnsi="Times New Roman" w:cs="Times New Roman"/>
                <w:b/>
                <w:sz w:val="28"/>
                <w:szCs w:val="28"/>
              </w:rPr>
              <w:t xml:space="preserve">підкатегорія </w:t>
            </w:r>
            <w:r>
              <w:rPr>
                <w:rFonts w:ascii="Times New Roman" w:eastAsia="Times New Roman" w:hAnsi="Times New Roman" w:cs="Times New Roman"/>
                <w:sz w:val="28"/>
                <w:szCs w:val="28"/>
              </w:rPr>
              <w:t xml:space="preserve">згідно з УКТ ЗЕД 8603 10 00 10), тролейбусів (товарна </w:t>
            </w:r>
            <w:r>
              <w:rPr>
                <w:rFonts w:ascii="Times New Roman" w:eastAsia="Times New Roman" w:hAnsi="Times New Roman" w:cs="Times New Roman"/>
                <w:b/>
                <w:sz w:val="28"/>
                <w:szCs w:val="28"/>
              </w:rPr>
              <w:t xml:space="preserve">підкатегорія </w:t>
            </w:r>
            <w:r>
              <w:rPr>
                <w:rFonts w:ascii="Times New Roman" w:eastAsia="Times New Roman" w:hAnsi="Times New Roman" w:cs="Times New Roman"/>
                <w:sz w:val="28"/>
                <w:szCs w:val="28"/>
              </w:rPr>
              <w:t>згідно з УКТ ЗЕД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lastRenderedPageBreak/>
              <w:t xml:space="preserve">8702 40 00 10), </w:t>
            </w:r>
            <w:r>
              <w:rPr>
                <w:rFonts w:ascii="Times New Roman" w:eastAsia="Times New Roman" w:hAnsi="Times New Roman" w:cs="Times New Roman"/>
                <w:sz w:val="28"/>
                <w:szCs w:val="28"/>
              </w:rPr>
              <w:t>автобусів (товарна позиція згідно з УКТ ЗЕД 8702) для перевезення громадян на маршрутах (лініях) відповідно до вимог життєзабезпечення населених пунктів. У разі нецільового використання зазначених товарів платник податку зобов'язаний збільшити податкові зобов'язання за наслідками податкового періоду, на який припадає таке порушення, на суму податку на додану вартість, що мала бути сплачена в момент імпорту (постачання) таких товарів, а також сплатити пеню відповідно до закону;</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197.18. Звільняються від оподаткування операції з ввезення на митну територію України племінних чистопородних тварин, племінних (генетичних) ресурсів за кодами згідно з УКТ ЗЕД </w:t>
            </w:r>
            <w:r>
              <w:rPr>
                <w:rFonts w:ascii="Times New Roman" w:eastAsia="Times New Roman" w:hAnsi="Times New Roman" w:cs="Times New Roman"/>
                <w:b/>
                <w:sz w:val="28"/>
                <w:szCs w:val="28"/>
              </w:rPr>
              <w:t>0101 10 10 00, 0102 10 10 00, 0102 10 30 00</w:t>
            </w:r>
            <w:r>
              <w:rPr>
                <w:rFonts w:ascii="Times New Roman" w:eastAsia="Times New Roman" w:hAnsi="Times New Roman" w:cs="Times New Roman"/>
                <w:sz w:val="28"/>
                <w:szCs w:val="28"/>
              </w:rPr>
              <w:t>, 0103 10 00 00, 0104 10 10 00, 0511 10 00 00, 0511 99 85 10, що здійснюються сільськогосподарськими товаровиробниками. Операції з подальшої поставки зазначених племінних чистопородних тварин або племінних (генетичних) ресурсів оподатковуються у загальному порядку, встановленому цим Кодексом.</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197.18. Звільняються від оподаткування операції з ввезення на митну територію України племінних чистопородних тварин, племінних (генетичних) ресурсів за кодами згідно з УКТ ЗЕД </w:t>
            </w:r>
            <w:r>
              <w:rPr>
                <w:rFonts w:ascii="Times New Roman" w:eastAsia="Times New Roman" w:hAnsi="Times New Roman" w:cs="Times New Roman"/>
                <w:b/>
                <w:sz w:val="28"/>
                <w:szCs w:val="28"/>
              </w:rPr>
              <w:t>0101 21 00 00, 0102 21 10 00, 0102 21 30 00</w:t>
            </w:r>
            <w:r>
              <w:rPr>
                <w:rFonts w:ascii="Times New Roman" w:eastAsia="Times New Roman" w:hAnsi="Times New Roman" w:cs="Times New Roman"/>
                <w:sz w:val="28"/>
                <w:szCs w:val="28"/>
              </w:rPr>
              <w:t>, 0103 10 00 00, 0104 10 10 00, 0511 10 00 00, 0511 99 85 10, що здійснюються сільськогосподарськими товаровиробниками. Операції з подальшої поставки зазначених племінних чистопородних тварин або племінних (генетичних) ресурсів оподатковуються у загальному порядку, встановленому цим Кодексом.</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200.4. При від’ємному значенні суми, розрахованої згідно з пунктом 200.1 цієї статті, така сума:</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 враховується у зменшення суми податкового боргу з податку, що виник за попередні звітні (податкові) періоди (у тому числі розстроченого або відстроченого відповідно до цього Кодексу) в частині, що не перевищує суму, обчислену відповідно до пункту 200-1.3 статті 200-1 цього Кодексу на момент отримання контролюючим органом податкової декларації, а в разі відсутності податкового боргу -</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б) або підлягає бюджетному відшкодуванню за заявою платника у сумі податку, фактично сплаченій отримувачем товарів/послуг у попередніх та звітному податкових періодах постачальникам таких товарів/послуг або до Державного бюджету України, в частині, що не перевищує суму, обчислену відповідно до пункту 200-1.3 статті 200-1 цього Кодексу на момент отримання контролюючим органом податкової декларації, на поточний рахунок платника податку та/або у рахунок сплати грошових зобов’язань або погашення податкового боргу такого платника податку </w:t>
            </w:r>
            <w:r>
              <w:rPr>
                <w:rFonts w:ascii="Times New Roman" w:eastAsia="Times New Roman" w:hAnsi="Times New Roman" w:cs="Times New Roman"/>
                <w:b/>
                <w:sz w:val="28"/>
                <w:szCs w:val="28"/>
              </w:rPr>
              <w:t>з інших платежів, що сплачуються до державного бюджету;</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та/або зараховується до складу податкового кредиту наступного звітного (податкового) періоду.</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200.4. При від’ємному значенні суми, розрахованої згідно з пунктом 200.1 цієї статті, така сума:</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 враховується у зменшення суми податкового боргу з податку, що виник за попередні звітні (податкові) періоди (у тому числі розстроченого або відстроченого відповідно до цього Кодексу) в частині, що не перевищує суму, обчислену відповідно до пункту 200-1.3 статті 200-1 цього Кодексу на момент отримання контролюючим органом податкової декларації, а в разі відсутності податкового боргу -</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б) або підлягає бюджетному відшкодуванню за заявою платника у сумі податку, фактично сплаченій отримувачем товарів/послуг у попередніх та звітному податкових періодах постачальникам таких товарів/послуг або до Державного бюджету України, в частині, що не перевищує суму, обчислену відповідно до пункту 200-1.3 статті 200-1 цього Кодексу на момент отримання контролюючим органом податкової декларації, на поточний рахунок платника податку та/або у рахунок сплати грошових зобов’язань або погашення податкового боргу такого платника податку </w:t>
            </w:r>
            <w:r>
              <w:rPr>
                <w:rFonts w:ascii="Times New Roman" w:eastAsia="Times New Roman" w:hAnsi="Times New Roman" w:cs="Times New Roman"/>
                <w:b/>
                <w:sz w:val="28"/>
                <w:szCs w:val="28"/>
              </w:rPr>
              <w:t>з інших загальнодержавних податків, визначених у статті 9 цього Кодексу;</w:t>
            </w:r>
          </w:p>
          <w:p w:rsidR="00CA6C41" w:rsidRDefault="00FC4AC1">
            <w:pPr>
              <w:pBdr>
                <w:top w:val="nil"/>
                <w:left w:val="nil"/>
                <w:bottom w:val="nil"/>
                <w:right w:val="nil"/>
                <w:between w:val="nil"/>
              </w:pBdr>
              <w:spacing w:before="240" w:after="0" w:line="276"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та/або зараховується до складу податкового кредиту наступного звітного (податкового) періоду.</w:t>
            </w:r>
          </w:p>
        </w:tc>
      </w:tr>
      <w:tr w:rsidR="00CA6C41">
        <w:tc>
          <w:tcPr>
            <w:tcW w:w="7260" w:type="dxa"/>
            <w:shd w:val="clear" w:color="auto" w:fill="auto"/>
            <w:tcMar>
              <w:top w:w="100" w:type="dxa"/>
              <w:left w:w="100" w:type="dxa"/>
              <w:bottom w:w="100" w:type="dxa"/>
              <w:right w:w="100" w:type="dxa"/>
            </w:tcMar>
          </w:tcPr>
          <w:p w:rsidR="00CA6C41" w:rsidRDefault="00FC4AC1">
            <w:pPr>
              <w:pStyle w:val="3"/>
              <w:spacing w:before="280" w:after="0" w:line="276" w:lineRule="auto"/>
              <w:ind w:left="142"/>
              <w:jc w:val="both"/>
              <w:rPr>
                <w:b w:val="0"/>
                <w:sz w:val="28"/>
                <w:szCs w:val="28"/>
              </w:rPr>
            </w:pPr>
            <w:r>
              <w:rPr>
                <w:sz w:val="28"/>
                <w:szCs w:val="28"/>
              </w:rPr>
              <w:lastRenderedPageBreak/>
              <w:t>Стаття 200 1</w:t>
            </w:r>
            <w:r>
              <w:rPr>
                <w:b w:val="0"/>
                <w:sz w:val="28"/>
                <w:szCs w:val="28"/>
              </w:rPr>
              <w:t>. Електронне адміністрування податку на додану вартість</w:t>
            </w:r>
          </w:p>
        </w:tc>
        <w:tc>
          <w:tcPr>
            <w:tcW w:w="7620" w:type="dxa"/>
            <w:shd w:val="clear" w:color="auto" w:fill="auto"/>
            <w:tcMar>
              <w:top w:w="100" w:type="dxa"/>
              <w:left w:w="100" w:type="dxa"/>
              <w:bottom w:w="100" w:type="dxa"/>
              <w:right w:w="100" w:type="dxa"/>
            </w:tcMar>
          </w:tcPr>
          <w:p w:rsidR="00CA6C41" w:rsidRDefault="00FC4AC1">
            <w:pPr>
              <w:pStyle w:val="3"/>
              <w:spacing w:before="280" w:after="0" w:line="276" w:lineRule="auto"/>
              <w:ind w:left="142"/>
              <w:jc w:val="both"/>
              <w:rPr>
                <w:b w:val="0"/>
                <w:sz w:val="28"/>
                <w:szCs w:val="28"/>
              </w:rPr>
            </w:pPr>
            <w:r>
              <w:rPr>
                <w:sz w:val="28"/>
                <w:szCs w:val="28"/>
              </w:rPr>
              <w:t>Стаття 200 1.</w:t>
            </w:r>
            <w:r>
              <w:rPr>
                <w:b w:val="0"/>
                <w:sz w:val="28"/>
                <w:szCs w:val="28"/>
              </w:rPr>
              <w:t xml:space="preserve"> Електронне адміністрування податку на додану вартість</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200</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.4. На рахунок у системі електронного адміністрування податку на додану вартість платника зараховуються кошти:</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з поточного рахунку такого платника в сумах, необхідних для збільшення розміру суми, що обчислюється відповідно до пункту 200</w:t>
            </w:r>
            <w:r>
              <w:rPr>
                <w:rFonts w:ascii="Times New Roman" w:eastAsia="Times New Roman" w:hAnsi="Times New Roman" w:cs="Times New Roman"/>
                <w:sz w:val="28"/>
                <w:szCs w:val="28"/>
                <w:vertAlign w:val="superscript"/>
              </w:rPr>
              <w:t xml:space="preserve"> 1</w:t>
            </w:r>
            <w:r>
              <w:rPr>
                <w:rFonts w:ascii="Times New Roman" w:eastAsia="Times New Roman" w:hAnsi="Times New Roman" w:cs="Times New Roman"/>
                <w:sz w:val="28"/>
                <w:szCs w:val="28"/>
              </w:rPr>
              <w:t>.3 статті 200</w:t>
            </w:r>
            <w:r>
              <w:rPr>
                <w:rFonts w:ascii="Times New Roman" w:eastAsia="Times New Roman" w:hAnsi="Times New Roman" w:cs="Times New Roman"/>
                <w:sz w:val="28"/>
                <w:szCs w:val="28"/>
                <w:vertAlign w:val="superscript"/>
              </w:rPr>
              <w:t xml:space="preserve"> 1</w:t>
            </w:r>
            <w:r>
              <w:rPr>
                <w:rFonts w:ascii="Times New Roman" w:eastAsia="Times New Roman" w:hAnsi="Times New Roman" w:cs="Times New Roman"/>
                <w:sz w:val="28"/>
                <w:szCs w:val="28"/>
              </w:rPr>
              <w:t xml:space="preserve"> цього Кодексу;</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з поточного рахунку такого платника в сумах, недостатніх для сплати до бюджету узгоджених податкових зобов'язань з цього податку;</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з рахунків платників, відкритих у відповідних органах казначейства для проведення розрахунків з погашення заборгованості з різниці в тарифах на теплову енергію, опалення та постачання гарячої води, послуги з централізованого водопостачання, водовідведення, що вироблялися, транспортувалися та постачалися населенню та/або іншим підприємствам централізованого питного водопостачання та водовідведення, які надають населенню послуги з централізованого водопостачання та водовідведення, яка виникла у зв'язку з невідповідністю фактичної вартості теплової енергії та послуг з централізованого водопостачання, водовідведення, опалення та постачання гарячої води тарифам, що затверджувалися та/або погоджувалися органами </w:t>
            </w:r>
            <w:r>
              <w:rPr>
                <w:rFonts w:ascii="Times New Roman" w:eastAsia="Times New Roman" w:hAnsi="Times New Roman" w:cs="Times New Roman"/>
                <w:sz w:val="28"/>
                <w:szCs w:val="28"/>
              </w:rPr>
              <w:lastRenderedPageBreak/>
              <w:t xml:space="preserve">державної влади чи місцевого самоврядування, </w:t>
            </w:r>
            <w:r>
              <w:rPr>
                <w:rFonts w:ascii="Times New Roman" w:eastAsia="Times New Roman" w:hAnsi="Times New Roman" w:cs="Times New Roman"/>
                <w:b/>
                <w:sz w:val="28"/>
                <w:szCs w:val="28"/>
              </w:rPr>
              <w:t>а</w:t>
            </w:r>
            <w:r>
              <w:rPr>
                <w:rFonts w:ascii="Times New Roman" w:eastAsia="Times New Roman" w:hAnsi="Times New Roman" w:cs="Times New Roman"/>
                <w:sz w:val="28"/>
                <w:szCs w:val="28"/>
              </w:rPr>
              <w:t xml:space="preserve"> рахунок субвенції з державного бюджету місцевим бюджетам з подальшим спрямуванням коштів відповідно до Закону України про Державний бюджет України;</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з бюджету в сумах надміру сплачених грошових зобов'язань з податку на додану вартість, повернутих платнику податків у порядку, встановленому пунктом 43.4</w:t>
            </w:r>
            <w:r>
              <w:rPr>
                <w:rFonts w:ascii="Times New Roman" w:eastAsia="Times New Roman" w:hAnsi="Times New Roman" w:cs="Times New Roman"/>
                <w:sz w:val="28"/>
                <w:szCs w:val="28"/>
                <w:vertAlign w:val="superscript"/>
              </w:rPr>
              <w:t xml:space="preserve"> 1 </w:t>
            </w:r>
            <w:r>
              <w:rPr>
                <w:rFonts w:ascii="Times New Roman" w:eastAsia="Times New Roman" w:hAnsi="Times New Roman" w:cs="Times New Roman"/>
                <w:sz w:val="28"/>
                <w:szCs w:val="28"/>
              </w:rPr>
              <w:t>статті 43 цього Кодексу.</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200</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.4. На рахунок у системі електронного адміністрування податку на додану вартість платника зараховуються кошти:</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з поточного рахунку такого платника в сумах, необхідних для збільшення розміру суми, що обчислюється відповідно до пункту 200</w:t>
            </w:r>
            <w:r>
              <w:rPr>
                <w:rFonts w:ascii="Times New Roman" w:eastAsia="Times New Roman" w:hAnsi="Times New Roman" w:cs="Times New Roman"/>
                <w:sz w:val="28"/>
                <w:szCs w:val="28"/>
                <w:vertAlign w:val="superscript"/>
              </w:rPr>
              <w:t xml:space="preserve"> 1</w:t>
            </w:r>
            <w:r>
              <w:rPr>
                <w:rFonts w:ascii="Times New Roman" w:eastAsia="Times New Roman" w:hAnsi="Times New Roman" w:cs="Times New Roman"/>
                <w:sz w:val="28"/>
                <w:szCs w:val="28"/>
              </w:rPr>
              <w:t>.3 статті 200</w:t>
            </w:r>
            <w:r>
              <w:rPr>
                <w:rFonts w:ascii="Times New Roman" w:eastAsia="Times New Roman" w:hAnsi="Times New Roman" w:cs="Times New Roman"/>
                <w:sz w:val="28"/>
                <w:szCs w:val="28"/>
                <w:vertAlign w:val="superscript"/>
              </w:rPr>
              <w:t xml:space="preserve"> 1</w:t>
            </w:r>
            <w:r>
              <w:rPr>
                <w:rFonts w:ascii="Times New Roman" w:eastAsia="Times New Roman" w:hAnsi="Times New Roman" w:cs="Times New Roman"/>
                <w:sz w:val="28"/>
                <w:szCs w:val="28"/>
              </w:rPr>
              <w:t xml:space="preserve"> цього Кодексу;</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з поточного рахунку такого платника в сумах, недостатніх для сплати до бюджету узгоджених податкових зобов'язань з цього податку;</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з рахунків платників, відкритих у відповідних органах казначейства для проведення розрахунків з погашення заборгованості з різниці в тарифах на теплову енергію, опалення та постачання гарячої води, послуги з централізованого водопостачання, водовідведення, що вироблялися, транспортувалися та постачалися населенню та/або іншим підприємствам централізованого питного водопостачання та водовідведення, які надають населенню послуги з централізованого водопостачання та водовідведення, яка виникла у зв'язку з невідповідністю фактичної вартості теплової енергії та послуг з централізованого водопостачання, водовідведення, опалення та постачання гарячої води тарифам, що затверджувалися та/або погоджувалися органами державної влади чи місцевого самоврядування, </w:t>
            </w:r>
            <w:r>
              <w:rPr>
                <w:rFonts w:ascii="Times New Roman" w:eastAsia="Times New Roman" w:hAnsi="Times New Roman" w:cs="Times New Roman"/>
                <w:b/>
                <w:sz w:val="28"/>
                <w:szCs w:val="28"/>
              </w:rPr>
              <w:t>за</w:t>
            </w:r>
            <w:r>
              <w:rPr>
                <w:rFonts w:ascii="Times New Roman" w:eastAsia="Times New Roman" w:hAnsi="Times New Roman" w:cs="Times New Roman"/>
                <w:sz w:val="28"/>
                <w:szCs w:val="28"/>
              </w:rPr>
              <w:t xml:space="preserve"> рахунок субвенції з державного бюджету </w:t>
            </w:r>
            <w:r>
              <w:rPr>
                <w:rFonts w:ascii="Times New Roman" w:eastAsia="Times New Roman" w:hAnsi="Times New Roman" w:cs="Times New Roman"/>
                <w:sz w:val="28"/>
                <w:szCs w:val="28"/>
              </w:rPr>
              <w:lastRenderedPageBreak/>
              <w:t>місцевим бюджетам з подальшим спрямуванням коштів відповідно до Закону України про Державний бюджет України;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з бюджету в сумах надміру сплачених грошових зобов'язань з податку на додану вартість, повернутих платнику податків у порядку, встановленому пунктом 43.4</w:t>
            </w:r>
            <w:r>
              <w:rPr>
                <w:rFonts w:ascii="Times New Roman" w:eastAsia="Times New Roman" w:hAnsi="Times New Roman" w:cs="Times New Roman"/>
                <w:sz w:val="28"/>
                <w:szCs w:val="28"/>
                <w:vertAlign w:val="superscript"/>
              </w:rPr>
              <w:t xml:space="preserve"> 1 </w:t>
            </w:r>
            <w:r>
              <w:rPr>
                <w:rFonts w:ascii="Times New Roman" w:eastAsia="Times New Roman" w:hAnsi="Times New Roman" w:cs="Times New Roman"/>
                <w:sz w:val="28"/>
                <w:szCs w:val="28"/>
              </w:rPr>
              <w:t>статті 43 цього Кодексу.</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201. </w:t>
            </w:r>
            <w:r>
              <w:rPr>
                <w:rFonts w:ascii="Times New Roman" w:eastAsia="Times New Roman" w:hAnsi="Times New Roman" w:cs="Times New Roman"/>
                <w:sz w:val="28"/>
                <w:szCs w:val="28"/>
              </w:rPr>
              <w:t>Податкова накладна</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firstLine="3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201. </w:t>
            </w:r>
            <w:r>
              <w:rPr>
                <w:rFonts w:ascii="Times New Roman" w:eastAsia="Times New Roman" w:hAnsi="Times New Roman" w:cs="Times New Roman"/>
                <w:sz w:val="28"/>
                <w:szCs w:val="28"/>
              </w:rPr>
              <w:t>Податкова накладна</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201.7</w:t>
            </w:r>
            <w:r>
              <w:rPr>
                <w:rFonts w:ascii="Times New Roman" w:eastAsia="Times New Roman" w:hAnsi="Times New Roman" w:cs="Times New Roman"/>
                <w:sz w:val="28"/>
                <w:szCs w:val="28"/>
              </w:rPr>
              <w:t>. Податкова накладна складається на кожне повне або часткове постачання товарів/послуг, а також на суму коштів, що надійшли на поточний рахунок як попередня оплата (аванс).</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разі якщо частка товарів/послуг, послуг не містить відокремленої вартості, перелік (номенклатура) частково поставлених товарів/послуг зазначається в додатку до податкової накладної у порядку, встановленому центральним органом виконавчої влади, що забезпечує формування та реалізує державну фінансову політику, та враховується при визначенні загальних податкових зобов'язань.</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20</w:t>
            </w:r>
            <w:r>
              <w:rPr>
                <w:rFonts w:ascii="Times New Roman" w:eastAsia="Times New Roman" w:hAnsi="Times New Roman" w:cs="Times New Roman"/>
                <w:sz w:val="28"/>
                <w:szCs w:val="28"/>
              </w:rPr>
              <w:t>1.7. Податкова накладна складається на кожне повне або часткове постачання товарів/послуг, а також на суму коштів, що надійшли на поточний рахунок як попередня оплата (аванс).</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виключено</w:t>
            </w:r>
          </w:p>
        </w:tc>
      </w:tr>
      <w:tr w:rsidR="00CA6C41">
        <w:tc>
          <w:tcPr>
            <w:tcW w:w="7260" w:type="dxa"/>
            <w:shd w:val="clear" w:color="auto" w:fill="auto"/>
            <w:tcMar>
              <w:top w:w="100" w:type="dxa"/>
              <w:left w:w="100" w:type="dxa"/>
              <w:bottom w:w="100" w:type="dxa"/>
              <w:right w:w="100" w:type="dxa"/>
            </w:tcMar>
          </w:tcPr>
          <w:p w:rsidR="00CA6C41" w:rsidRDefault="00FC4AC1">
            <w:pPr>
              <w:pStyle w:val="3"/>
              <w:spacing w:before="280" w:after="0" w:line="276" w:lineRule="auto"/>
              <w:jc w:val="both"/>
              <w:rPr>
                <w:sz w:val="28"/>
                <w:szCs w:val="28"/>
              </w:rPr>
            </w:pPr>
            <w:r>
              <w:rPr>
                <w:sz w:val="28"/>
                <w:szCs w:val="28"/>
              </w:rPr>
              <w:lastRenderedPageBreak/>
              <w:t>Стаття 203. Порядок надання податкової декларації та строки розрахунків з бюджетом</w:t>
            </w:r>
          </w:p>
          <w:p w:rsidR="00CA6C41" w:rsidRDefault="00CA6C41">
            <w:pPr>
              <w:pBdr>
                <w:top w:val="nil"/>
                <w:left w:val="nil"/>
                <w:bottom w:val="nil"/>
                <w:right w:val="nil"/>
                <w:between w:val="nil"/>
              </w:pBdr>
              <w:spacing w:after="0" w:line="276" w:lineRule="auto"/>
              <w:jc w:val="both"/>
              <w:rPr>
                <w:sz w:val="28"/>
                <w:szCs w:val="28"/>
              </w:rPr>
            </w:pPr>
          </w:p>
        </w:tc>
        <w:tc>
          <w:tcPr>
            <w:tcW w:w="7620" w:type="dxa"/>
            <w:shd w:val="clear" w:color="auto" w:fill="auto"/>
            <w:tcMar>
              <w:top w:w="100" w:type="dxa"/>
              <w:left w:w="100" w:type="dxa"/>
              <w:bottom w:w="100" w:type="dxa"/>
              <w:right w:w="100" w:type="dxa"/>
            </w:tcMar>
          </w:tcPr>
          <w:p w:rsidR="00CA6C41" w:rsidRDefault="00FC4AC1">
            <w:pPr>
              <w:pStyle w:val="3"/>
              <w:spacing w:before="280" w:after="0" w:line="276" w:lineRule="auto"/>
              <w:jc w:val="both"/>
              <w:rPr>
                <w:sz w:val="28"/>
                <w:szCs w:val="28"/>
              </w:rPr>
            </w:pPr>
            <w:r>
              <w:rPr>
                <w:sz w:val="28"/>
                <w:szCs w:val="28"/>
              </w:rPr>
              <w:t>Стаття 203. Порядок надання податкової декларації та строки розрахунків з бюджетом</w:t>
            </w:r>
          </w:p>
        </w:tc>
      </w:tr>
      <w:tr w:rsidR="00CA6C41">
        <w:tc>
          <w:tcPr>
            <w:tcW w:w="726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20</w:t>
            </w:r>
            <w:r>
              <w:rPr>
                <w:rFonts w:ascii="Times New Roman" w:eastAsia="Times New Roman" w:hAnsi="Times New Roman" w:cs="Times New Roman"/>
                <w:sz w:val="28"/>
                <w:szCs w:val="28"/>
              </w:rPr>
              <w:t>3.1. Податкова декларація подається за базовий звітний (податковий) період, що дорівнює календарному місяцю, протягом 20 календарних днів, що настають за останнім календарним днем звітного (податкового) місяця.</w:t>
            </w:r>
          </w:p>
          <w:p w:rsidR="00CA6C41" w:rsidRDefault="00FC4AC1">
            <w:pPr>
              <w:pBdr>
                <w:top w:val="nil"/>
                <w:left w:val="nil"/>
                <w:bottom w:val="nil"/>
                <w:right w:val="nil"/>
                <w:between w:val="nil"/>
              </w:pBdr>
              <w:spacing w:before="240" w:after="0" w:line="276" w:lineRule="auto"/>
              <w:ind w:firstLin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before="240" w:after="0" w:line="276" w:lineRule="auto"/>
              <w:ind w:firstLin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p w:rsidR="00CA6C41" w:rsidRDefault="00FC4AC1">
            <w:pPr>
              <w:pBdr>
                <w:top w:val="nil"/>
                <w:left w:val="nil"/>
                <w:bottom w:val="nil"/>
                <w:right w:val="nil"/>
                <w:between w:val="nil"/>
              </w:pBdr>
              <w:spacing w:before="240" w:after="0" w:line="276" w:lineRule="auto"/>
              <w:ind w:firstLin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762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203.1. Податкова декларація подається за базовий звітний (податковий) період, що дорівнює календарному місяцю, протягом 20 календарних днів, що настають за останнім календарним днем звітного (податкового) місяця.</w:t>
            </w:r>
          </w:p>
          <w:p w:rsidR="00CA6C41" w:rsidRDefault="00FC4AC1">
            <w:pPr>
              <w:pBdr>
                <w:top w:val="nil"/>
                <w:left w:val="nil"/>
                <w:bottom w:val="nil"/>
                <w:right w:val="nil"/>
                <w:between w:val="nil"/>
              </w:pBdr>
              <w:spacing w:before="12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разі анулювання реєстрації платника податку згідно із статтею 184 цього Кодексу(у тому числі до закінчення звітного (податкового) періоду) податкова декларація за останній звітний період подається протягом періоду починаючи з дати такого анулювання до закінчення терміну, визначеного абзацом першим цього пункту.</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r>
    </w:tbl>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rPr>
      </w:pPr>
    </w:p>
    <w:tbl>
      <w:tblPr>
        <w:tblStyle w:val="afffff4"/>
        <w:tblW w:w="1489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50"/>
        <w:gridCol w:w="7545"/>
      </w:tblGrid>
      <w:tr w:rsidR="00CA6C41">
        <w:tc>
          <w:tcPr>
            <w:tcW w:w="73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VI. АКЦИЗНИЙ ПОДАТОК</w:t>
            </w:r>
          </w:p>
        </w:tc>
        <w:tc>
          <w:tcPr>
            <w:tcW w:w="754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VI. АКЦИЗНИЙ ПОДАТОК</w:t>
            </w:r>
          </w:p>
          <w:p w:rsidR="00CA6C41" w:rsidRDefault="00CA6C41">
            <w:pPr>
              <w:pBdr>
                <w:top w:val="nil"/>
                <w:left w:val="nil"/>
                <w:bottom w:val="nil"/>
                <w:right w:val="nil"/>
                <w:between w:val="nil"/>
              </w:pBdr>
              <w:spacing w:after="0" w:line="240" w:lineRule="auto"/>
              <w:ind w:firstLine="306"/>
              <w:rPr>
                <w:rFonts w:ascii="Times New Roman" w:eastAsia="Times New Roman" w:hAnsi="Times New Roman" w:cs="Times New Roman"/>
                <w:b/>
                <w:sz w:val="28"/>
                <w:szCs w:val="28"/>
              </w:rPr>
            </w:pPr>
          </w:p>
        </w:tc>
      </w:tr>
      <w:tr w:rsidR="00CA6C41">
        <w:tc>
          <w:tcPr>
            <w:tcW w:w="735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213.3. Операції з підакцизними товарами, які звільняються від оподаткування:</w:t>
            </w:r>
          </w:p>
        </w:tc>
        <w:tc>
          <w:tcPr>
            <w:tcW w:w="754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213.3. Операції з підакцизними товарами, які звільняються від оподаткування:</w:t>
            </w:r>
          </w:p>
        </w:tc>
      </w:tr>
      <w:tr w:rsidR="00CA6C41">
        <w:tc>
          <w:tcPr>
            <w:tcW w:w="735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before="80" w:after="80" w:line="240"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213.3.13. ввезення на митну територію України неферментованої (непереробленої) тютюнової сировини тютюново-ферментаційними заводами, </w:t>
            </w:r>
            <w:r>
              <w:rPr>
                <w:rFonts w:ascii="Times New Roman" w:eastAsia="Times New Roman" w:hAnsi="Times New Roman" w:cs="Times New Roman"/>
                <w:b/>
                <w:sz w:val="28"/>
                <w:szCs w:val="28"/>
              </w:rPr>
              <w:t xml:space="preserve">які здійснюють </w:t>
            </w:r>
            <w:r>
              <w:rPr>
                <w:rFonts w:ascii="Times New Roman" w:eastAsia="Times New Roman" w:hAnsi="Times New Roman" w:cs="Times New Roman"/>
                <w:b/>
                <w:sz w:val="28"/>
                <w:szCs w:val="28"/>
              </w:rPr>
              <w:lastRenderedPageBreak/>
              <w:t>реалізацію ферментованої (переробленої) тютюнової сировини</w:t>
            </w:r>
            <w:r>
              <w:rPr>
                <w:rFonts w:ascii="Times New Roman" w:eastAsia="Times New Roman" w:hAnsi="Times New Roman" w:cs="Times New Roman"/>
                <w:sz w:val="28"/>
                <w:szCs w:val="28"/>
              </w:rPr>
              <w:t xml:space="preserve"> виробникам тютюнових виробів або її експорт; реалізація тютюнової сировини тютюново-ферментаційним заводам особами, які виробляють тютюнову сировину на митній території України; реалізація ферментованої (переробленої) тютюнової сировини тютюново-ферментаційними заводами виробникам тютюнових виробів.</w:t>
            </w:r>
          </w:p>
        </w:tc>
        <w:tc>
          <w:tcPr>
            <w:tcW w:w="754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CA6C41" w:rsidRDefault="00FC4AC1">
            <w:pPr>
              <w:pBdr>
                <w:top w:val="nil"/>
                <w:left w:val="nil"/>
                <w:bottom w:val="nil"/>
                <w:right w:val="nil"/>
                <w:between w:val="nil"/>
              </w:pBdr>
              <w:spacing w:before="80" w:after="80" w:line="240" w:lineRule="auto"/>
              <w:ind w:lef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213.3.13. ввезення на митну територію України неферментованої (непереробленої) тютюнової сировини тютюново-ферментаційними заводами </w:t>
            </w:r>
            <w:r>
              <w:rPr>
                <w:rFonts w:ascii="Times New Roman" w:eastAsia="Times New Roman" w:hAnsi="Times New Roman" w:cs="Times New Roman"/>
                <w:b/>
                <w:sz w:val="28"/>
                <w:szCs w:val="28"/>
              </w:rPr>
              <w:t xml:space="preserve">за умови </w:t>
            </w:r>
            <w:r>
              <w:rPr>
                <w:rFonts w:ascii="Times New Roman" w:eastAsia="Times New Roman" w:hAnsi="Times New Roman" w:cs="Times New Roman"/>
                <w:b/>
                <w:sz w:val="28"/>
                <w:szCs w:val="28"/>
              </w:rPr>
              <w:lastRenderedPageBreak/>
              <w:t>подальшого виготовлення з такої сировини ферментованої (переробленої) тютюнової сировини та її реалізації</w:t>
            </w:r>
            <w:r>
              <w:rPr>
                <w:rFonts w:ascii="Times New Roman" w:eastAsia="Times New Roman" w:hAnsi="Times New Roman" w:cs="Times New Roman"/>
                <w:sz w:val="28"/>
                <w:szCs w:val="28"/>
              </w:rPr>
              <w:t xml:space="preserve"> виробникам тютюнових виробів або її експорту; реалізація тютюнової сировини тютюново-ферментаційним заводам особами, які виробляють тютюнову сировину на митній території України; реалізація ферментованої (переробленої) тютюнової сировини тютюново-ферментаційними заводами виробникам тютюнових виробів.</w:t>
            </w:r>
          </w:p>
        </w:tc>
      </w:tr>
      <w:tr w:rsidR="00CA6C41">
        <w:tc>
          <w:tcPr>
            <w:tcW w:w="735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left="14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Норма відсутня</w:t>
            </w:r>
          </w:p>
        </w:tc>
        <w:tc>
          <w:tcPr>
            <w:tcW w:w="754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left="142" w:firstLine="28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Тютюново-ферментаційні заводи у строк, передбачений цим Кодексом для подання податкової декларації за місячний податковий період, подають до контролюючих органів за основним місцем обліку звіт про обсяги імпорту неферментованої (непереробленої) тютюнової сировини, обсяги придбаної тютюнової сировини в осіб, які виробляють тютюнову сировину на митній території України, обсяги виробництва, реалізації виробникам тютюнових виробів та експорту ферментованої (переробленої) тютюнової сировини за формою, затвердженою центральним органом виконавчої влади, що забезпечує формування та реалізує державну фінансову політику. Такий звіт прирівнюється до податкової декларації для цілей застосування норм цього Кодексу щодо проведення перевірок та притягнення до відповідальності за вчинення податкових правопорушень.</w:t>
            </w:r>
          </w:p>
        </w:tc>
      </w:tr>
      <w:tr w:rsidR="00CA6C41">
        <w:tc>
          <w:tcPr>
            <w:tcW w:w="73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213.3.5. реалізації та/або передачі в межах одного підприємства підакцизних товарів (продукції), вироблених на митній території України, що використовуються як </w:t>
            </w:r>
            <w:r>
              <w:rPr>
                <w:rFonts w:ascii="Times New Roman" w:eastAsia="Times New Roman" w:hAnsi="Times New Roman" w:cs="Times New Roman"/>
                <w:sz w:val="28"/>
                <w:szCs w:val="28"/>
              </w:rPr>
              <w:lastRenderedPageBreak/>
              <w:t xml:space="preserve">сировина для виробництва підакцизних товарів (продукції) та бензолу (за кодом 2902 20 00 00 згідно з УКТ ЗЕД). Ця норма не поширюється на операції з реалізації та/або передачі в межах одного підприємства нафтопродуктів (крім товарів (продукції) за кодами </w:t>
            </w:r>
            <w:r>
              <w:rPr>
                <w:rFonts w:ascii="Times New Roman" w:eastAsia="Times New Roman" w:hAnsi="Times New Roman" w:cs="Times New Roman"/>
                <w:b/>
                <w:sz w:val="28"/>
                <w:szCs w:val="28"/>
              </w:rPr>
              <w:t>2707 10 90 00, 2707 50 90 00</w:t>
            </w:r>
            <w:r>
              <w:rPr>
                <w:rFonts w:ascii="Times New Roman" w:eastAsia="Times New Roman" w:hAnsi="Times New Roman" w:cs="Times New Roman"/>
                <w:sz w:val="28"/>
                <w:szCs w:val="28"/>
              </w:rPr>
              <w:t>, 2710 12 90 00 та 2711 19 00 00 згідно з УКТ ЗЕД)</w:t>
            </w:r>
          </w:p>
        </w:tc>
        <w:tc>
          <w:tcPr>
            <w:tcW w:w="7545" w:type="dxa"/>
            <w:shd w:val="clear" w:color="auto" w:fill="auto"/>
            <w:tcMar>
              <w:top w:w="0" w:type="dxa"/>
              <w:left w:w="108" w:type="dxa"/>
              <w:bottom w:w="0" w:type="dxa"/>
              <w:right w:w="108" w:type="dxa"/>
            </w:tcMar>
          </w:tcPr>
          <w:p w:rsidR="00CA6C41" w:rsidRDefault="00FC4AC1">
            <w:pP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213.3.5. реалізації та/або передачі в межах одного підприємства підакцизних товарів (продукції), вироблених на митній території України, що використовуються як сировина </w:t>
            </w:r>
            <w:r>
              <w:rPr>
                <w:rFonts w:ascii="Times New Roman" w:eastAsia="Times New Roman" w:hAnsi="Times New Roman" w:cs="Times New Roman"/>
                <w:sz w:val="28"/>
                <w:szCs w:val="28"/>
              </w:rPr>
              <w:lastRenderedPageBreak/>
              <w:t xml:space="preserve">для виробництва підакцизних товарів (продукції) та бензолу (за кодом 2902 20 00 00 згідно з УКТ ЗЕД). Ця норма не поширюється на операції з реалізації та/або передачі в межах одного підприємства нафтопродуктів (крім товарів (продукції) за кодами </w:t>
            </w:r>
            <w:r>
              <w:rPr>
                <w:rFonts w:ascii="Times New Roman" w:eastAsia="Times New Roman" w:hAnsi="Times New Roman" w:cs="Times New Roman"/>
                <w:b/>
                <w:sz w:val="28"/>
                <w:szCs w:val="28"/>
              </w:rPr>
              <w:t>2707 10 00 00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2707 50 00 90</w:t>
            </w:r>
            <w:r>
              <w:rPr>
                <w:rFonts w:ascii="Times New Roman" w:eastAsia="Times New Roman" w:hAnsi="Times New Roman" w:cs="Times New Roman"/>
                <w:sz w:val="28"/>
                <w:szCs w:val="28"/>
              </w:rPr>
              <w:t>, 2710 12 90 00 та 2711 19 00 00 згідно з УКТ ЗЕД)</w:t>
            </w:r>
          </w:p>
          <w:p w:rsidR="00CA6C41" w:rsidRDefault="00CA6C41">
            <w:pPr>
              <w:pBdr>
                <w:top w:val="nil"/>
                <w:left w:val="nil"/>
                <w:bottom w:val="nil"/>
                <w:right w:val="nil"/>
                <w:between w:val="nil"/>
              </w:pBdr>
              <w:spacing w:after="0" w:line="240" w:lineRule="auto"/>
              <w:ind w:firstLine="306"/>
              <w:rPr>
                <w:rFonts w:ascii="Times New Roman" w:eastAsia="Times New Roman" w:hAnsi="Times New Roman" w:cs="Times New Roman"/>
                <w:sz w:val="28"/>
                <w:szCs w:val="28"/>
              </w:rPr>
            </w:pPr>
          </w:p>
        </w:tc>
      </w:tr>
      <w:tr w:rsidR="00CA6C41">
        <w:tc>
          <w:tcPr>
            <w:tcW w:w="7350" w:type="dxa"/>
            <w:shd w:val="clear" w:color="auto" w:fill="auto"/>
            <w:tcMar>
              <w:top w:w="0" w:type="dxa"/>
              <w:left w:w="108" w:type="dxa"/>
              <w:bottom w:w="0" w:type="dxa"/>
              <w:right w:w="108" w:type="dxa"/>
            </w:tcMar>
          </w:tcPr>
          <w:p w:rsidR="00CA6C41" w:rsidRDefault="00FC4AC1">
            <w:pP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215. Підакцизні товари та ставки податку</w:t>
            </w:r>
          </w:p>
        </w:tc>
        <w:tc>
          <w:tcPr>
            <w:tcW w:w="7545" w:type="dxa"/>
            <w:shd w:val="clear" w:color="auto" w:fill="auto"/>
            <w:tcMar>
              <w:top w:w="0" w:type="dxa"/>
              <w:left w:w="108" w:type="dxa"/>
              <w:bottom w:w="0" w:type="dxa"/>
              <w:right w:w="108" w:type="dxa"/>
            </w:tcMar>
          </w:tcPr>
          <w:p w:rsidR="00CA6C41" w:rsidRDefault="00FC4AC1">
            <w:pP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215. Підакцизні товари та ставки податку</w:t>
            </w:r>
          </w:p>
        </w:tc>
      </w:tr>
      <w:tr w:rsidR="00CA6C41">
        <w:tc>
          <w:tcPr>
            <w:tcW w:w="7350" w:type="dxa"/>
            <w:shd w:val="clear" w:color="auto" w:fill="auto"/>
            <w:tcMar>
              <w:top w:w="0" w:type="dxa"/>
              <w:left w:w="108" w:type="dxa"/>
              <w:bottom w:w="0" w:type="dxa"/>
              <w:right w:w="108" w:type="dxa"/>
            </w:tcMar>
          </w:tcPr>
          <w:p w:rsidR="00CA6C41" w:rsidRDefault="00FC4AC1">
            <w:pP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215.2.3. ставки акцизного податку на бензин моторний за кодами згідно з УКТ ЗЕД </w:t>
            </w:r>
            <w:r>
              <w:rPr>
                <w:rFonts w:ascii="Times New Roman" w:eastAsia="Times New Roman" w:hAnsi="Times New Roman" w:cs="Times New Roman"/>
                <w:b/>
                <w:sz w:val="28"/>
                <w:szCs w:val="28"/>
              </w:rPr>
              <w:t>2710 11 51 00, 2710 11 59 00,</w:t>
            </w:r>
            <w:r>
              <w:rPr>
                <w:rFonts w:ascii="Times New Roman" w:eastAsia="Times New Roman" w:hAnsi="Times New Roman" w:cs="Times New Roman"/>
                <w:sz w:val="28"/>
                <w:szCs w:val="28"/>
              </w:rPr>
              <w:t xml:space="preserve"> що містить тетраетилсвинець, збільшуються в 1,5 раза.</w:t>
            </w:r>
          </w:p>
        </w:tc>
        <w:tc>
          <w:tcPr>
            <w:tcW w:w="7545" w:type="dxa"/>
            <w:shd w:val="clear" w:color="auto" w:fill="auto"/>
            <w:tcMar>
              <w:top w:w="0" w:type="dxa"/>
              <w:left w:w="108" w:type="dxa"/>
              <w:bottom w:w="0" w:type="dxa"/>
              <w:right w:w="108" w:type="dxa"/>
            </w:tcMar>
          </w:tcPr>
          <w:p w:rsidR="00CA6C41" w:rsidRDefault="00FC4AC1">
            <w:pP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215.2.3.</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ставки акцизного податку на бензин моторний за кодами згідно з УКТ ЗЕД</w:t>
            </w:r>
            <w:r>
              <w:rPr>
                <w:rFonts w:ascii="Times New Roman" w:eastAsia="Times New Roman" w:hAnsi="Times New Roman" w:cs="Times New Roman"/>
                <w:b/>
                <w:sz w:val="28"/>
                <w:szCs w:val="28"/>
              </w:rPr>
              <w:t xml:space="preserve"> 2710 12 51 10, 2710 12 51 20, 2710 12 51 90, 2710 12 59 10, 2710 12 59 20, 2710 12 59 90 </w:t>
            </w:r>
            <w:r>
              <w:rPr>
                <w:rFonts w:ascii="Times New Roman" w:eastAsia="Times New Roman" w:hAnsi="Times New Roman" w:cs="Times New Roman"/>
                <w:sz w:val="28"/>
                <w:szCs w:val="28"/>
              </w:rPr>
              <w:t>що містить тетраетилсвинець, збільшуються в 1,5 раза.</w:t>
            </w:r>
          </w:p>
          <w:p w:rsidR="00CA6C41" w:rsidRDefault="00CA6C41">
            <w:pPr>
              <w:spacing w:after="0" w:line="240" w:lineRule="auto"/>
              <w:ind w:firstLine="320"/>
              <w:jc w:val="both"/>
              <w:rPr>
                <w:rFonts w:ascii="Times New Roman" w:eastAsia="Times New Roman" w:hAnsi="Times New Roman" w:cs="Times New Roman"/>
                <w:sz w:val="28"/>
                <w:szCs w:val="28"/>
              </w:rPr>
            </w:pPr>
          </w:p>
        </w:tc>
      </w:tr>
      <w:tr w:rsidR="00CA6C41">
        <w:tc>
          <w:tcPr>
            <w:tcW w:w="7350" w:type="dxa"/>
            <w:shd w:val="clear" w:color="auto" w:fill="auto"/>
            <w:tcMar>
              <w:top w:w="0" w:type="dxa"/>
              <w:left w:w="108" w:type="dxa"/>
              <w:bottom w:w="0" w:type="dxa"/>
              <w:right w:w="108" w:type="dxa"/>
            </w:tcMar>
          </w:tcPr>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215.3. Податок справляється з таких товарів та обчислюється за такими ставками:</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215.3.1. спирт етиловий та інші спиртові дистиляти, алкогольні напої, пиво:</w:t>
            </w:r>
          </w:p>
        </w:tc>
        <w:tc>
          <w:tcPr>
            <w:tcW w:w="7545" w:type="dxa"/>
            <w:shd w:val="clear" w:color="auto" w:fill="auto"/>
            <w:tcMar>
              <w:top w:w="0" w:type="dxa"/>
              <w:left w:w="108" w:type="dxa"/>
              <w:bottom w:w="0" w:type="dxa"/>
              <w:right w:w="108" w:type="dxa"/>
            </w:tcMar>
          </w:tcPr>
          <w:p w:rsidR="00CA6C41" w:rsidRDefault="00CA6C41">
            <w:pPr>
              <w:pBdr>
                <w:top w:val="nil"/>
                <w:left w:val="nil"/>
                <w:bottom w:val="nil"/>
                <w:right w:val="nil"/>
                <w:between w:val="nil"/>
              </w:pBdr>
              <w:spacing w:after="0" w:line="240" w:lineRule="auto"/>
              <w:ind w:firstLine="32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215.3. Податок справляється з таких товарів та обчислюється за такими ставками:</w:t>
            </w:r>
          </w:p>
          <w:p w:rsidR="00CA6C41" w:rsidRDefault="00FC4AC1">
            <w:pPr>
              <w:pBdr>
                <w:top w:val="nil"/>
                <w:left w:val="nil"/>
                <w:bottom w:val="nil"/>
                <w:right w:val="nil"/>
                <w:between w:val="nil"/>
              </w:pBd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215.3.1. спирт етиловий та інші спиртові дистиляти, алкогольні напої, пиво:</w:t>
            </w:r>
          </w:p>
        </w:tc>
      </w:tr>
      <w:tr w:rsidR="00CA6C41">
        <w:tc>
          <w:tcPr>
            <w:tcW w:w="7350" w:type="dxa"/>
            <w:shd w:val="clear" w:color="auto" w:fill="auto"/>
            <w:tcMar>
              <w:top w:w="0" w:type="dxa"/>
              <w:left w:w="108" w:type="dxa"/>
              <w:bottom w:w="0" w:type="dxa"/>
              <w:right w:w="108"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bl>
            <w:tblPr>
              <w:tblStyle w:val="afffff5"/>
              <w:tblW w:w="75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5"/>
              <w:gridCol w:w="2952"/>
              <w:gridCol w:w="1641"/>
              <w:gridCol w:w="1072"/>
            </w:tblGrid>
            <w:tr w:rsidR="00CA6C41">
              <w:trPr>
                <w:jc w:val="center"/>
              </w:trPr>
              <w:tc>
                <w:tcPr>
                  <w:tcW w:w="1895"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Код товару (продукції) згідно з УКТЗЕД</w:t>
                  </w:r>
                </w:p>
              </w:tc>
              <w:tc>
                <w:tcPr>
                  <w:tcW w:w="2952"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Опис товару (продукції) згідно з УКТЗЕД</w:t>
                  </w:r>
                </w:p>
              </w:tc>
              <w:tc>
                <w:tcPr>
                  <w:tcW w:w="1641"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Одиниця виміру</w:t>
                  </w:r>
                </w:p>
              </w:tc>
              <w:tc>
                <w:tcPr>
                  <w:tcW w:w="1072"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Ставки податку</w:t>
                  </w:r>
                </w:p>
              </w:tc>
            </w:tr>
            <w:tr w:rsidR="00CA6C41">
              <w:trPr>
                <w:jc w:val="center"/>
              </w:trPr>
              <w:tc>
                <w:tcPr>
                  <w:tcW w:w="1895"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2203 00</w:t>
                  </w:r>
                </w:p>
              </w:tc>
              <w:tc>
                <w:tcPr>
                  <w:tcW w:w="295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Пиво із солоду (солодове)</w:t>
                  </w:r>
                </w:p>
              </w:tc>
              <w:tc>
                <w:tcPr>
                  <w:tcW w:w="164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гривень за 1 літр</w:t>
                  </w:r>
                </w:p>
              </w:tc>
              <w:tc>
                <w:tcPr>
                  <w:tcW w:w="107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2,78</w:t>
                  </w:r>
                </w:p>
              </w:tc>
            </w:tr>
            <w:tr w:rsidR="00CA6C41">
              <w:trPr>
                <w:jc w:val="center"/>
              </w:trPr>
              <w:tc>
                <w:tcPr>
                  <w:tcW w:w="1895"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2204 </w:t>
                  </w:r>
                  <w:r>
                    <w:rPr>
                      <w:rFonts w:ascii="Times New Roman" w:eastAsia="Times New Roman" w:hAnsi="Times New Roman" w:cs="Times New Roman"/>
                      <w:sz w:val="28"/>
                      <w:szCs w:val="28"/>
                    </w:rPr>
                    <w:br/>
                    <w:t xml:space="preserve">(крім 2204 10, 2204 21 06 00, 2204 21 07 00, </w:t>
                  </w:r>
                  <w:r>
                    <w:rPr>
                      <w:rFonts w:ascii="Times New Roman" w:eastAsia="Times New Roman" w:hAnsi="Times New Roman" w:cs="Times New Roman"/>
                      <w:sz w:val="28"/>
                      <w:szCs w:val="28"/>
                    </w:rPr>
                    <w:lastRenderedPageBreak/>
                    <w:t xml:space="preserve">2204 21 08 00, 2204 21 09 00, </w:t>
                  </w:r>
                  <w:r>
                    <w:rPr>
                      <w:rFonts w:ascii="Times New Roman" w:eastAsia="Times New Roman" w:hAnsi="Times New Roman" w:cs="Times New Roman"/>
                      <w:b/>
                      <w:sz w:val="28"/>
                      <w:szCs w:val="28"/>
                    </w:rPr>
                    <w:t>2204 29 10 00)</w:t>
                  </w:r>
                  <w:r>
                    <w:rPr>
                      <w:rFonts w:ascii="Times New Roman" w:eastAsia="Times New Roman" w:hAnsi="Times New Roman" w:cs="Times New Roman"/>
                      <w:sz w:val="28"/>
                      <w:szCs w:val="28"/>
                    </w:rPr>
                    <w:t>, 2205 10 10 00, 2205 90 10 00, 2206 00 59 00, 2206 00 89 00</w:t>
                  </w:r>
                </w:p>
              </w:tc>
              <w:tc>
                <w:tcPr>
                  <w:tcW w:w="295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Звичайні (неігристі) вина, сусло виноградне, зброджені напої, фактична міцність </w:t>
                  </w:r>
                  <w:r>
                    <w:rPr>
                      <w:rFonts w:ascii="Times New Roman" w:eastAsia="Times New Roman" w:hAnsi="Times New Roman" w:cs="Times New Roman"/>
                      <w:sz w:val="28"/>
                      <w:szCs w:val="28"/>
                    </w:rPr>
                    <w:lastRenderedPageBreak/>
                    <w:t>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c>
              <w:tc>
                <w:tcPr>
                  <w:tcW w:w="164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гривень за 1 літр</w:t>
                  </w:r>
                </w:p>
              </w:tc>
              <w:tc>
                <w:tcPr>
                  <w:tcW w:w="107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0,01</w:t>
                  </w:r>
                </w:p>
              </w:tc>
            </w:tr>
            <w:tr w:rsidR="00CA6C41">
              <w:trPr>
                <w:jc w:val="center"/>
              </w:trPr>
              <w:tc>
                <w:tcPr>
                  <w:tcW w:w="1895"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2204 10, 2204 21 06 00, 2204 21 07 00, 2204 21 08 00, 2204 21 09 00, </w:t>
                  </w:r>
                  <w:r>
                    <w:rPr>
                      <w:rFonts w:ascii="Times New Roman" w:eastAsia="Times New Roman" w:hAnsi="Times New Roman" w:cs="Times New Roman"/>
                      <w:b/>
                      <w:sz w:val="28"/>
                      <w:szCs w:val="28"/>
                    </w:rPr>
                    <w:t>2204 29 10 00</w:t>
                  </w:r>
                  <w:r>
                    <w:rPr>
                      <w:rFonts w:ascii="Times New Roman" w:eastAsia="Times New Roman" w:hAnsi="Times New Roman" w:cs="Times New Roman"/>
                      <w:sz w:val="28"/>
                      <w:szCs w:val="28"/>
                    </w:rPr>
                    <w:t>, 2205 10 10 00, 2205 90 10 00, 2206 00 39 00</w:t>
                  </w:r>
                </w:p>
              </w:tc>
              <w:tc>
                <w:tcPr>
                  <w:tcW w:w="295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w:t>
                  </w:r>
                  <w:r>
                    <w:rPr>
                      <w:rFonts w:ascii="Times New Roman" w:eastAsia="Times New Roman" w:hAnsi="Times New Roman" w:cs="Times New Roman"/>
                      <w:sz w:val="28"/>
                      <w:szCs w:val="28"/>
                    </w:rPr>
                    <w:lastRenderedPageBreak/>
                    <w:t>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 </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С</w:t>
                  </w: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c>
              <w:tc>
                <w:tcPr>
                  <w:tcW w:w="164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 -</w:t>
                  </w:r>
                </w:p>
              </w:tc>
              <w:tc>
                <w:tcPr>
                  <w:tcW w:w="107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11,65</w:t>
                  </w:r>
                </w:p>
              </w:tc>
            </w:tr>
            <w:tr w:rsidR="00CA6C41">
              <w:trPr>
                <w:jc w:val="center"/>
              </w:trPr>
              <w:tc>
                <w:tcPr>
                  <w:tcW w:w="1895"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2204, 2205, 2206 (вина та інші </w:t>
                  </w:r>
                  <w:r>
                    <w:rPr>
                      <w:rFonts w:ascii="Times New Roman" w:eastAsia="Times New Roman" w:hAnsi="Times New Roman" w:cs="Times New Roman"/>
                      <w:sz w:val="28"/>
                      <w:szCs w:val="28"/>
                    </w:rPr>
                    <w:lastRenderedPageBreak/>
                    <w:t>зброджені напої без додання етилового спирту в іншому місці не зазначені; вина та інші зброджені напої з доданням етилового спирту)</w:t>
                  </w: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c>
              <w:tc>
                <w:tcPr>
                  <w:tcW w:w="295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Вина та інші зброджені напої (у тому числі суміші із </w:t>
                  </w:r>
                  <w:r>
                    <w:rPr>
                      <w:rFonts w:ascii="Times New Roman" w:eastAsia="Times New Roman" w:hAnsi="Times New Roman" w:cs="Times New Roman"/>
                      <w:sz w:val="28"/>
                      <w:szCs w:val="28"/>
                    </w:rPr>
                    <w:lastRenderedPageBreak/>
                    <w:t>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64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гривень за 1 літр</w:t>
                  </w:r>
                </w:p>
              </w:tc>
              <w:tc>
                <w:tcPr>
                  <w:tcW w:w="107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8,02</w:t>
                  </w:r>
                </w:p>
              </w:tc>
            </w:tr>
            <w:tr w:rsidR="00CA6C41">
              <w:trPr>
                <w:jc w:val="center"/>
              </w:trPr>
              <w:tc>
                <w:tcPr>
                  <w:tcW w:w="1895"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2204, 2205, 2206 (алкогольні напої з доданням або без додання етилового спирту в іншому місці не зазначені)</w:t>
                  </w: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c>
              <w:tc>
                <w:tcPr>
                  <w:tcW w:w="295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164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гривень за 1 літр 100-відсоткового спирту</w:t>
                  </w:r>
                </w:p>
              </w:tc>
              <w:tc>
                <w:tcPr>
                  <w:tcW w:w="107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126,96</w:t>
                  </w:r>
                </w:p>
              </w:tc>
            </w:tr>
            <w:tr w:rsidR="00CA6C41">
              <w:trPr>
                <w:jc w:val="center"/>
              </w:trPr>
              <w:tc>
                <w:tcPr>
                  <w:tcW w:w="1895"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2206 00 31 00, 2206 00 </w:t>
                  </w:r>
                  <w:r>
                    <w:rPr>
                      <w:rFonts w:ascii="Times New Roman" w:eastAsia="Times New Roman" w:hAnsi="Times New Roman" w:cs="Times New Roman"/>
                      <w:sz w:val="28"/>
                      <w:szCs w:val="28"/>
                    </w:rPr>
                    <w:lastRenderedPageBreak/>
                    <w:t>51 00, 2206 00 81 00</w:t>
                  </w:r>
                </w:p>
              </w:tc>
              <w:tc>
                <w:tcPr>
                  <w:tcW w:w="295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Сидр і перрі (без додання спирту)</w:t>
                  </w:r>
                </w:p>
              </w:tc>
              <w:tc>
                <w:tcPr>
                  <w:tcW w:w="164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гривень за 1 літр</w:t>
                  </w:r>
                </w:p>
              </w:tc>
              <w:tc>
                <w:tcPr>
                  <w:tcW w:w="107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1,06</w:t>
                  </w:r>
                </w:p>
              </w:tc>
            </w:tr>
            <w:tr w:rsidR="00CA6C41">
              <w:trPr>
                <w:jc w:val="center"/>
              </w:trPr>
              <w:tc>
                <w:tcPr>
                  <w:tcW w:w="1895"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2207</w:t>
                  </w:r>
                </w:p>
              </w:tc>
              <w:tc>
                <w:tcPr>
                  <w:tcW w:w="295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p w:rsidR="00CA6C41" w:rsidRDefault="00CA6C4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p>
              </w:tc>
              <w:tc>
                <w:tcPr>
                  <w:tcW w:w="164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гривень за 1 літр 100-відсоткового спирту</w:t>
                  </w:r>
                </w:p>
              </w:tc>
              <w:tc>
                <w:tcPr>
                  <w:tcW w:w="107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126,96</w:t>
                  </w:r>
                </w:p>
              </w:tc>
            </w:tr>
            <w:tr w:rsidR="00CA6C41">
              <w:trPr>
                <w:jc w:val="center"/>
              </w:trPr>
              <w:tc>
                <w:tcPr>
                  <w:tcW w:w="1895"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2208</w:t>
                  </w:r>
                </w:p>
              </w:tc>
              <w:tc>
                <w:tcPr>
                  <w:tcW w:w="295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p w:rsidR="00CA6C41" w:rsidRDefault="00CA6C4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p>
              </w:tc>
              <w:tc>
                <w:tcPr>
                  <w:tcW w:w="164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 -</w:t>
                  </w:r>
                </w:p>
              </w:tc>
              <w:tc>
                <w:tcPr>
                  <w:tcW w:w="107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126,96</w:t>
                  </w:r>
                </w:p>
              </w:tc>
            </w:tr>
            <w:tr w:rsidR="00CA6C41">
              <w:trPr>
                <w:jc w:val="center"/>
              </w:trPr>
              <w:tc>
                <w:tcPr>
                  <w:tcW w:w="1895"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2103 90 30 00, 2106 90</w:t>
                  </w:r>
                </w:p>
              </w:tc>
              <w:tc>
                <w:tcPr>
                  <w:tcW w:w="295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Тільки продукти з вмістом спирту етилового 8,5 відсотка об’ємних одиниць та більше</w:t>
                  </w:r>
                </w:p>
              </w:tc>
              <w:tc>
                <w:tcPr>
                  <w:tcW w:w="164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 -</w:t>
                  </w:r>
                </w:p>
              </w:tc>
              <w:tc>
                <w:tcPr>
                  <w:tcW w:w="107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169,27</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7545" w:type="dxa"/>
            <w:shd w:val="clear" w:color="auto" w:fill="auto"/>
            <w:tcMar>
              <w:top w:w="0" w:type="dxa"/>
              <w:left w:w="108" w:type="dxa"/>
              <w:bottom w:w="0" w:type="dxa"/>
              <w:right w:w="108"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bl>
            <w:tblPr>
              <w:tblStyle w:val="afffff6"/>
              <w:tblW w:w="685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8"/>
              <w:gridCol w:w="2530"/>
              <w:gridCol w:w="1599"/>
              <w:gridCol w:w="1062"/>
            </w:tblGrid>
            <w:tr w:rsidR="00CA6C41">
              <w:trPr>
                <w:jc w:val="center"/>
              </w:trPr>
              <w:tc>
                <w:tcPr>
                  <w:tcW w:w="1668"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Код товару (продукції) згідно з УКТЗЕД</w:t>
                  </w:r>
                </w:p>
              </w:tc>
              <w:tc>
                <w:tcPr>
                  <w:tcW w:w="2530"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Опис товару (продукції) згідно з УКТЗЕД</w:t>
                  </w:r>
                </w:p>
              </w:tc>
              <w:tc>
                <w:tcPr>
                  <w:tcW w:w="1599"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Одиниця виміру</w:t>
                  </w:r>
                </w:p>
              </w:tc>
              <w:tc>
                <w:tcPr>
                  <w:tcW w:w="1062"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Ставки податку</w:t>
                  </w:r>
                </w:p>
              </w:tc>
            </w:tr>
            <w:tr w:rsidR="00CA6C41">
              <w:trPr>
                <w:jc w:val="center"/>
              </w:trPr>
              <w:tc>
                <w:tcPr>
                  <w:tcW w:w="166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2203 00</w:t>
                  </w:r>
                </w:p>
              </w:tc>
              <w:tc>
                <w:tcPr>
                  <w:tcW w:w="2530"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Пиво із солоду (солодове)</w:t>
                  </w:r>
                </w:p>
              </w:tc>
              <w:tc>
                <w:tcPr>
                  <w:tcW w:w="1599"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гривень за 1 літр</w:t>
                  </w:r>
                </w:p>
              </w:tc>
              <w:tc>
                <w:tcPr>
                  <w:tcW w:w="106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3,1</w:t>
                  </w:r>
                </w:p>
              </w:tc>
            </w:tr>
            <w:tr w:rsidR="00CA6C41">
              <w:trPr>
                <w:jc w:val="center"/>
              </w:trPr>
              <w:tc>
                <w:tcPr>
                  <w:tcW w:w="166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2204 </w:t>
                  </w:r>
                  <w:r>
                    <w:rPr>
                      <w:rFonts w:ascii="Times New Roman" w:eastAsia="Times New Roman" w:hAnsi="Times New Roman" w:cs="Times New Roman"/>
                      <w:sz w:val="28"/>
                      <w:szCs w:val="28"/>
                    </w:rPr>
                    <w:br/>
                    <w:t xml:space="preserve">(крім 2204 10, 2204 21 06 00, 2204 21 07 00, </w:t>
                  </w:r>
                  <w:r>
                    <w:rPr>
                      <w:rFonts w:ascii="Times New Roman" w:eastAsia="Times New Roman" w:hAnsi="Times New Roman" w:cs="Times New Roman"/>
                      <w:sz w:val="28"/>
                      <w:szCs w:val="28"/>
                    </w:rPr>
                    <w:lastRenderedPageBreak/>
                    <w:t>2204 21 08 00, 2204 21 09 00,</w:t>
                  </w:r>
                  <w:r>
                    <w:rPr>
                      <w:rFonts w:ascii="Times New Roman" w:eastAsia="Times New Roman" w:hAnsi="Times New Roman" w:cs="Times New Roman"/>
                      <w:b/>
                      <w:sz w:val="28"/>
                      <w:szCs w:val="28"/>
                    </w:rPr>
                    <w:t xml:space="preserve"> 2204 22 10 00,</w:t>
                  </w:r>
                </w:p>
                <w:p w:rsidR="00CA6C41" w:rsidRDefault="00CA6C41">
                  <w:pPr>
                    <w:pBdr>
                      <w:top w:val="nil"/>
                      <w:left w:val="nil"/>
                      <w:bottom w:val="nil"/>
                      <w:right w:val="nil"/>
                      <w:between w:val="nil"/>
                    </w:pBdr>
                    <w:spacing w:before="280" w:after="280" w:line="240" w:lineRule="auto"/>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2204 29 10 00)</w:t>
                  </w:r>
                  <w:r>
                    <w:rPr>
                      <w:rFonts w:ascii="Times New Roman" w:eastAsia="Times New Roman" w:hAnsi="Times New Roman" w:cs="Times New Roman"/>
                      <w:sz w:val="28"/>
                      <w:szCs w:val="28"/>
                    </w:rPr>
                    <w:t>, 2205 10 10 00, 2205 90 10 00, 2206 00 59 00, 2206 00 89 00</w:t>
                  </w:r>
                </w:p>
              </w:tc>
              <w:tc>
                <w:tcPr>
                  <w:tcW w:w="2530"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Звичайні (неігристі) вина, сусло виноградне, зброджені напої, фактична міцність </w:t>
                  </w:r>
                  <w:r>
                    <w:rPr>
                      <w:rFonts w:ascii="Times New Roman" w:eastAsia="Times New Roman" w:hAnsi="Times New Roman" w:cs="Times New Roman"/>
                      <w:sz w:val="28"/>
                      <w:szCs w:val="28"/>
                    </w:rPr>
                    <w:lastRenderedPageBreak/>
                    <w:t>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599"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tc>
              <w:tc>
                <w:tcPr>
                  <w:tcW w:w="106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0,01</w:t>
                  </w:r>
                </w:p>
              </w:tc>
            </w:tr>
            <w:tr w:rsidR="00CA6C41">
              <w:trPr>
                <w:jc w:val="center"/>
              </w:trPr>
              <w:tc>
                <w:tcPr>
                  <w:tcW w:w="166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2204 10, 2204 21 06 00, 2204 21 07 00, 2204 21 08 00, 2204 21 09 00, </w:t>
                  </w:r>
                  <w:r>
                    <w:rPr>
                      <w:rFonts w:ascii="Times New Roman" w:eastAsia="Times New Roman" w:hAnsi="Times New Roman" w:cs="Times New Roman"/>
                      <w:b/>
                      <w:sz w:val="28"/>
                      <w:szCs w:val="28"/>
                    </w:rPr>
                    <w:t>2204 22 10 00</w:t>
                  </w:r>
                </w:p>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2204 29 10 00, </w:t>
                  </w:r>
                  <w:r>
                    <w:rPr>
                      <w:rFonts w:ascii="Times New Roman" w:eastAsia="Times New Roman" w:hAnsi="Times New Roman" w:cs="Times New Roman"/>
                      <w:sz w:val="28"/>
                      <w:szCs w:val="28"/>
                    </w:rPr>
                    <w:t>2205 10 10 00, 2205 90 10 00, 2206 00 39 00</w:t>
                  </w:r>
                </w:p>
              </w:tc>
              <w:tc>
                <w:tcPr>
                  <w:tcW w:w="2530"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w:t>
                  </w:r>
                  <w:r>
                    <w:rPr>
                      <w:rFonts w:ascii="Times New Roman" w:eastAsia="Times New Roman" w:hAnsi="Times New Roman" w:cs="Times New Roman"/>
                      <w:sz w:val="28"/>
                      <w:szCs w:val="28"/>
                    </w:rPr>
                    <w:lastRenderedPageBreak/>
                    <w:t>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 </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С</w:t>
                  </w:r>
                </w:p>
              </w:tc>
              <w:tc>
                <w:tcPr>
                  <w:tcW w:w="1599"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гривень за 1 літр</w:t>
                  </w:r>
                </w:p>
              </w:tc>
              <w:tc>
                <w:tcPr>
                  <w:tcW w:w="106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w:t>
                  </w:r>
                </w:p>
              </w:tc>
            </w:tr>
            <w:tr w:rsidR="00CA6C41">
              <w:trPr>
                <w:jc w:val="center"/>
              </w:trPr>
              <w:tc>
                <w:tcPr>
                  <w:tcW w:w="166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2204, 2205, 2206 (вина та інші </w:t>
                  </w:r>
                  <w:r>
                    <w:rPr>
                      <w:rFonts w:ascii="Times New Roman" w:eastAsia="Times New Roman" w:hAnsi="Times New Roman" w:cs="Times New Roman"/>
                      <w:sz w:val="28"/>
                      <w:szCs w:val="28"/>
                    </w:rPr>
                    <w:lastRenderedPageBreak/>
                    <w:t>зброджені напої без додання етилового спирту в іншому місці не зазначені; вина та інші зброджені напої з доданням етилового спирту)</w:t>
                  </w:r>
                </w:p>
              </w:tc>
              <w:tc>
                <w:tcPr>
                  <w:tcW w:w="2530"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Вина та інші зброджені напої (у тому числі суміші </w:t>
                  </w:r>
                  <w:r>
                    <w:rPr>
                      <w:rFonts w:ascii="Times New Roman" w:eastAsia="Times New Roman" w:hAnsi="Times New Roman" w:cs="Times New Roman"/>
                      <w:sz w:val="28"/>
                      <w:szCs w:val="28"/>
                    </w:rPr>
                    <w:lastRenderedPageBreak/>
                    <w:t>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599"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tc>
              <w:tc>
                <w:tcPr>
                  <w:tcW w:w="106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8,95</w:t>
                  </w:r>
                </w:p>
              </w:tc>
            </w:tr>
            <w:tr w:rsidR="00CA6C41">
              <w:trPr>
                <w:jc w:val="center"/>
              </w:trPr>
              <w:tc>
                <w:tcPr>
                  <w:tcW w:w="166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2204, 2205, 2206 (алкогольні напої з доданням або без додання етилового спирту в іншому місці не зазначені)</w:t>
                  </w:r>
                </w:p>
              </w:tc>
              <w:tc>
                <w:tcPr>
                  <w:tcW w:w="2530"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1599"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гривень за 1 літр 100-відсоткового спирту</w:t>
                  </w:r>
                </w:p>
              </w:tc>
              <w:tc>
                <w:tcPr>
                  <w:tcW w:w="106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141,69</w:t>
                  </w:r>
                </w:p>
              </w:tc>
            </w:tr>
            <w:tr w:rsidR="00CA6C41">
              <w:trPr>
                <w:jc w:val="center"/>
              </w:trPr>
              <w:tc>
                <w:tcPr>
                  <w:tcW w:w="166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2206 00 31 00, 2206 00 </w:t>
                  </w:r>
                  <w:r>
                    <w:rPr>
                      <w:rFonts w:ascii="Times New Roman" w:eastAsia="Times New Roman" w:hAnsi="Times New Roman" w:cs="Times New Roman"/>
                      <w:sz w:val="28"/>
                      <w:szCs w:val="28"/>
                    </w:rPr>
                    <w:lastRenderedPageBreak/>
                    <w:t>51 00, 2206 00 81 00</w:t>
                  </w:r>
                </w:p>
              </w:tc>
              <w:tc>
                <w:tcPr>
                  <w:tcW w:w="2530"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Сидр і перрі (без додання спирту)</w:t>
                  </w:r>
                </w:p>
              </w:tc>
              <w:tc>
                <w:tcPr>
                  <w:tcW w:w="1599"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гривень за 1 літр</w:t>
                  </w:r>
                </w:p>
              </w:tc>
              <w:tc>
                <w:tcPr>
                  <w:tcW w:w="106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1,18</w:t>
                  </w:r>
                </w:p>
              </w:tc>
            </w:tr>
            <w:tr w:rsidR="00CA6C41">
              <w:trPr>
                <w:jc w:val="center"/>
              </w:trPr>
              <w:tc>
                <w:tcPr>
                  <w:tcW w:w="166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2207</w:t>
                  </w:r>
                </w:p>
              </w:tc>
              <w:tc>
                <w:tcPr>
                  <w:tcW w:w="2530"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599"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гривень за 1 літр 100-відсоткового спирту</w:t>
                  </w:r>
                </w:p>
              </w:tc>
              <w:tc>
                <w:tcPr>
                  <w:tcW w:w="106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141,69</w:t>
                  </w:r>
                </w:p>
              </w:tc>
            </w:tr>
            <w:tr w:rsidR="00CA6C41">
              <w:trPr>
                <w:jc w:val="center"/>
              </w:trPr>
              <w:tc>
                <w:tcPr>
                  <w:tcW w:w="166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2208</w:t>
                  </w:r>
                </w:p>
              </w:tc>
              <w:tc>
                <w:tcPr>
                  <w:tcW w:w="2530"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w:t>
                  </w:r>
                  <w:r>
                    <w:rPr>
                      <w:rFonts w:ascii="Times New Roman" w:eastAsia="Times New Roman" w:hAnsi="Times New Roman" w:cs="Times New Roman"/>
                      <w:sz w:val="28"/>
                      <w:szCs w:val="28"/>
                    </w:rPr>
                    <w:lastRenderedPageBreak/>
                    <w:t>та інші напої, що містять спирт</w:t>
                  </w:r>
                </w:p>
                <w:p w:rsidR="00CA6C41" w:rsidRDefault="00CA6C4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p>
              </w:tc>
              <w:tc>
                <w:tcPr>
                  <w:tcW w:w="1599"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 -</w:t>
                  </w:r>
                </w:p>
              </w:tc>
              <w:tc>
                <w:tcPr>
                  <w:tcW w:w="106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141,69</w:t>
                  </w:r>
                </w:p>
              </w:tc>
            </w:tr>
            <w:tr w:rsidR="00CA6C41">
              <w:trPr>
                <w:jc w:val="center"/>
              </w:trPr>
              <w:tc>
                <w:tcPr>
                  <w:tcW w:w="166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2103 90 30 00, 2106 90</w:t>
                  </w:r>
                </w:p>
              </w:tc>
              <w:tc>
                <w:tcPr>
                  <w:tcW w:w="2530"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Тільки продукти із вмістом спирту етилового 8,5 відсотка об’ємних одиниць та більше</w:t>
                  </w:r>
                </w:p>
              </w:tc>
              <w:tc>
                <w:tcPr>
                  <w:tcW w:w="1599"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 -</w:t>
                  </w:r>
                </w:p>
              </w:tc>
              <w:tc>
                <w:tcPr>
                  <w:tcW w:w="106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188,91</w:t>
                  </w:r>
                </w:p>
              </w:tc>
            </w:tr>
          </w:tbl>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rPr>
            </w:pPr>
          </w:p>
        </w:tc>
      </w:tr>
      <w:tr w:rsidR="00CA6C41">
        <w:tc>
          <w:tcPr>
            <w:tcW w:w="7350" w:type="dxa"/>
            <w:shd w:val="clear" w:color="auto" w:fill="auto"/>
            <w:tcMar>
              <w:top w:w="0" w:type="dxa"/>
              <w:left w:w="108" w:type="dxa"/>
              <w:bottom w:w="0" w:type="dxa"/>
              <w:right w:w="108" w:type="dxa"/>
            </w:tcMar>
          </w:tcPr>
          <w:p w:rsidR="00CA6C41" w:rsidRDefault="00CA6C41">
            <w:pPr>
              <w:spacing w:after="0" w:line="240" w:lineRule="auto"/>
              <w:ind w:firstLine="320"/>
              <w:jc w:val="both"/>
              <w:rPr>
                <w:rFonts w:ascii="Times New Roman" w:eastAsia="Times New Roman" w:hAnsi="Times New Roman" w:cs="Times New Roman"/>
                <w:sz w:val="28"/>
                <w:szCs w:val="28"/>
              </w:rPr>
            </w:pPr>
          </w:p>
        </w:tc>
        <w:tc>
          <w:tcPr>
            <w:tcW w:w="7545" w:type="dxa"/>
            <w:shd w:val="clear" w:color="auto" w:fill="auto"/>
            <w:tcMar>
              <w:top w:w="0" w:type="dxa"/>
              <w:left w:w="108" w:type="dxa"/>
              <w:bottom w:w="0" w:type="dxa"/>
              <w:right w:w="108" w:type="dxa"/>
            </w:tcMar>
          </w:tcPr>
          <w:p w:rsidR="00CA6C41" w:rsidRDefault="00CA6C41">
            <w:pPr>
              <w:spacing w:after="0" w:line="240" w:lineRule="auto"/>
              <w:ind w:firstLine="320"/>
              <w:jc w:val="both"/>
              <w:rPr>
                <w:rFonts w:ascii="Times New Roman" w:eastAsia="Times New Roman" w:hAnsi="Times New Roman" w:cs="Times New Roman"/>
                <w:sz w:val="28"/>
                <w:szCs w:val="28"/>
              </w:rPr>
            </w:pPr>
          </w:p>
        </w:tc>
      </w:tr>
      <w:tr w:rsidR="00CA6C41">
        <w:tc>
          <w:tcPr>
            <w:tcW w:w="7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240" w:after="0" w:line="276" w:lineRule="auto"/>
              <w:ind w:firstLine="30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215.3.2. тютюнові вироби, тютюн та промислові замінники тютюну:</w:t>
            </w:r>
          </w:p>
        </w:tc>
        <w:tc>
          <w:tcPr>
            <w:tcW w:w="75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240" w:after="0" w:line="276" w:lineRule="auto"/>
              <w:ind w:firstLine="30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215.3.2. тютюнові вироби, тютюн та промислові замінники тютюну:</w:t>
            </w:r>
          </w:p>
        </w:tc>
      </w:tr>
      <w:tr w:rsidR="00CA6C41">
        <w:tc>
          <w:tcPr>
            <w:tcW w:w="7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0" w:line="276"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w:t>
            </w:r>
          </w:p>
          <w:tbl>
            <w:tblPr>
              <w:tblStyle w:val="afffff7"/>
              <w:tblW w:w="70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25"/>
              <w:gridCol w:w="1980"/>
              <w:gridCol w:w="1200"/>
              <w:gridCol w:w="1815"/>
            </w:tblGrid>
            <w:tr w:rsidR="00CA6C41">
              <w:trPr>
                <w:trHeight w:val="1410"/>
              </w:trPr>
              <w:tc>
                <w:tcPr>
                  <w:tcW w:w="2025"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120" w:line="276"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Код товару (продукції) згідно</w:t>
                  </w:r>
                </w:p>
                <w:p w:rsidR="00CA6C41" w:rsidRDefault="00FC4AC1">
                  <w:pPr>
                    <w:spacing w:before="120" w:line="276" w:lineRule="auto"/>
                    <w:jc w:val="center"/>
                    <w:rPr>
                      <w:rFonts w:ascii="Times New Roman" w:eastAsia="Times New Roman" w:hAnsi="Times New Roman" w:cs="Times New Roman"/>
                      <w:color w:val="333333"/>
                      <w:sz w:val="24"/>
                      <w:szCs w:val="24"/>
                      <w:u w:val="single"/>
                    </w:rPr>
                  </w:pPr>
                  <w:r>
                    <w:rPr>
                      <w:rFonts w:ascii="Times New Roman" w:eastAsia="Times New Roman" w:hAnsi="Times New Roman" w:cs="Times New Roman"/>
                      <w:color w:val="333333"/>
                      <w:sz w:val="24"/>
                      <w:szCs w:val="24"/>
                    </w:rPr>
                    <w:t xml:space="preserve">з </w:t>
                  </w:r>
                  <w:hyperlink r:id="rId71" w:anchor="n579">
                    <w:r>
                      <w:rPr>
                        <w:rFonts w:ascii="Times New Roman" w:eastAsia="Times New Roman" w:hAnsi="Times New Roman" w:cs="Times New Roman"/>
                        <w:color w:val="333333"/>
                        <w:sz w:val="24"/>
                        <w:szCs w:val="24"/>
                        <w:u w:val="single"/>
                      </w:rPr>
                      <w:t>УКТ ЗЕД</w:t>
                    </w:r>
                  </w:hyperlink>
                </w:p>
              </w:tc>
              <w:tc>
                <w:tcPr>
                  <w:tcW w:w="1980"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120" w:line="276" w:lineRule="auto"/>
                    <w:jc w:val="center"/>
                    <w:rPr>
                      <w:rFonts w:ascii="Times New Roman" w:eastAsia="Times New Roman" w:hAnsi="Times New Roman" w:cs="Times New Roman"/>
                      <w:color w:val="333333"/>
                      <w:sz w:val="24"/>
                      <w:szCs w:val="24"/>
                      <w:u w:val="single"/>
                    </w:rPr>
                  </w:pPr>
                  <w:r>
                    <w:rPr>
                      <w:rFonts w:ascii="Times New Roman" w:eastAsia="Times New Roman" w:hAnsi="Times New Roman" w:cs="Times New Roman"/>
                      <w:color w:val="333333"/>
                      <w:sz w:val="24"/>
                      <w:szCs w:val="24"/>
                    </w:rPr>
                    <w:t xml:space="preserve">Опис товару (продукції) згідно з </w:t>
                  </w:r>
                  <w:hyperlink r:id="rId72" w:anchor="n579">
                    <w:r>
                      <w:rPr>
                        <w:rFonts w:ascii="Times New Roman" w:eastAsia="Times New Roman" w:hAnsi="Times New Roman" w:cs="Times New Roman"/>
                        <w:color w:val="333333"/>
                        <w:sz w:val="24"/>
                        <w:szCs w:val="24"/>
                        <w:u w:val="single"/>
                      </w:rPr>
                      <w:t>УКТ ЗЕД</w:t>
                    </w:r>
                  </w:hyperlink>
                </w:p>
                <w:p w:rsidR="00CD6706" w:rsidRDefault="00CD6706">
                  <w:pPr>
                    <w:spacing w:before="120" w:line="276" w:lineRule="auto"/>
                    <w:jc w:val="center"/>
                    <w:rPr>
                      <w:rFonts w:ascii="Times New Roman" w:eastAsia="Times New Roman" w:hAnsi="Times New Roman" w:cs="Times New Roman"/>
                      <w:color w:val="333333"/>
                      <w:sz w:val="24"/>
                      <w:szCs w:val="24"/>
                      <w:u w:val="single"/>
                    </w:rPr>
                  </w:pPr>
                </w:p>
              </w:tc>
              <w:tc>
                <w:tcPr>
                  <w:tcW w:w="1200"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120" w:line="276"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Одиниця виміру</w:t>
                  </w:r>
                </w:p>
              </w:tc>
              <w:tc>
                <w:tcPr>
                  <w:tcW w:w="1815"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120" w:line="276"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Ставка податку</w:t>
                  </w:r>
                </w:p>
              </w:tc>
            </w:tr>
            <w:tr w:rsidR="00CA6C41">
              <w:trPr>
                <w:trHeight w:val="10159"/>
              </w:trPr>
              <w:tc>
                <w:tcPr>
                  <w:tcW w:w="2025" w:type="dxa"/>
                  <w:tcBorders>
                    <w:top w:val="nil"/>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CA6C41" w:rsidRDefault="00FC4AC1">
                  <w:pPr>
                    <w:spacing w:before="120" w:line="276"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2401</w:t>
                  </w: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tc>
              <w:tc>
                <w:tcPr>
                  <w:tcW w:w="1980"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tcPr>
                <w:p w:rsidR="00CA6C41" w:rsidRDefault="00FC4AC1">
                  <w:pPr>
                    <w:spacing w:before="120" w:line="276"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Тютюнова сировина</w:t>
                  </w:r>
                </w:p>
                <w:p w:rsidR="00CA6C41" w:rsidRDefault="00FC4AC1">
                  <w:pPr>
                    <w:spacing w:before="120" w:line="276"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Тютюнові відходи</w:t>
                  </w:r>
                </w:p>
              </w:tc>
              <w:tc>
                <w:tcPr>
                  <w:tcW w:w="1200"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tcPr>
                <w:p w:rsidR="00CA6C41" w:rsidRDefault="00FC4AC1">
                  <w:pPr>
                    <w:spacing w:before="120" w:line="276"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гривень за 1 кілограм (нетто)*</w:t>
                  </w:r>
                </w:p>
              </w:tc>
              <w:tc>
                <w:tcPr>
                  <w:tcW w:w="1815"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tcPr>
                <w:p w:rsidR="00CA6C41" w:rsidRDefault="00FC4AC1">
                  <w:pPr>
                    <w:spacing w:before="120" w:line="276"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2836,08</w:t>
                  </w: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120" w:line="276" w:lineRule="auto"/>
                    <w:jc w:val="center"/>
                    <w:rPr>
                      <w:rFonts w:ascii="Times New Roman" w:eastAsia="Times New Roman" w:hAnsi="Times New Roman" w:cs="Times New Roman"/>
                      <w:color w:val="333333"/>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tc>
            </w:tr>
            <w:tr w:rsidR="00CA6C41">
              <w:trPr>
                <w:trHeight w:val="7455"/>
              </w:trPr>
              <w:tc>
                <w:tcPr>
                  <w:tcW w:w="2025" w:type="dxa"/>
                  <w:tcBorders>
                    <w:top w:val="nil"/>
                    <w:left w:val="single" w:sz="8" w:space="0" w:color="000000"/>
                    <w:bottom w:val="single" w:sz="8" w:space="0" w:color="000000"/>
                    <w:right w:val="single" w:sz="8" w:space="0" w:color="000000"/>
                  </w:tcBorders>
                  <w:shd w:val="clear" w:color="auto" w:fill="FFFFFF"/>
                  <w:tcMar>
                    <w:top w:w="20" w:type="dxa"/>
                    <w:left w:w="20" w:type="dxa"/>
                    <w:bottom w:w="20" w:type="dxa"/>
                    <w:right w:w="20" w:type="dxa"/>
                  </w:tcMar>
                </w:tcPr>
                <w:p w:rsidR="00CA6C41" w:rsidRDefault="00FC4AC1">
                  <w:pPr>
                    <w:spacing w:before="160" w:after="240" w:line="276"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w:t>
                  </w:r>
                </w:p>
                <w:p w:rsidR="00CA6C41" w:rsidRDefault="00FC4AC1">
                  <w:pPr>
                    <w:spacing w:before="160" w:after="240" w:line="276"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2403 (крім 2403 99 90 10 - тютюновмісні вироби для електричного нагрівання (ТВЕН) за допомогою підігрівача з електронним управлінням)</w:t>
                  </w: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tc>
              <w:tc>
                <w:tcPr>
                  <w:tcW w:w="1980"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tcPr>
                <w:p w:rsidR="00CA6C41" w:rsidRDefault="00FC4AC1">
                  <w:pPr>
                    <w:spacing w:before="160" w:after="240" w:line="276"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Тютюн та замінники тютюну, інші, промислового виробництва; тютюн "гомогенізований" або "відновлений"; тютюнові екстракти та есенції</w:t>
                  </w:r>
                </w:p>
              </w:tc>
              <w:tc>
                <w:tcPr>
                  <w:tcW w:w="1200"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tcPr>
                <w:p w:rsidR="00CA6C41" w:rsidRDefault="00FC4AC1">
                  <w:pPr>
                    <w:spacing w:before="160" w:after="240" w:line="276"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гривень за 1 кілограм (нетто)*</w:t>
                  </w:r>
                </w:p>
              </w:tc>
              <w:tc>
                <w:tcPr>
                  <w:tcW w:w="1815"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tcPr>
                <w:p w:rsidR="00CA6C41" w:rsidRDefault="00FC4AC1">
                  <w:pPr>
                    <w:spacing w:before="160" w:after="240" w:line="276"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2836,08</w:t>
                  </w:r>
                </w:p>
                <w:p w:rsidR="00CA6C41" w:rsidRDefault="00CA6C41">
                  <w:pPr>
                    <w:spacing w:before="240" w:after="240" w:line="276" w:lineRule="auto"/>
                    <w:jc w:val="both"/>
                    <w:rPr>
                      <w:rFonts w:ascii="Times New Roman" w:eastAsia="Times New Roman" w:hAnsi="Times New Roman" w:cs="Times New Roman"/>
                      <w:sz w:val="24"/>
                      <w:szCs w:val="24"/>
                    </w:rPr>
                  </w:pPr>
                </w:p>
                <w:p w:rsidR="00CA6C41" w:rsidRDefault="00CA6C41">
                  <w:pPr>
                    <w:spacing w:before="240" w:after="240" w:line="276" w:lineRule="auto"/>
                    <w:jc w:val="both"/>
                    <w:rPr>
                      <w:rFonts w:ascii="Times New Roman" w:eastAsia="Times New Roman" w:hAnsi="Times New Roman" w:cs="Times New Roman"/>
                      <w:sz w:val="24"/>
                      <w:szCs w:val="24"/>
                    </w:rPr>
                  </w:pPr>
                </w:p>
              </w:tc>
            </w:tr>
          </w:tbl>
          <w:p w:rsidR="00CA6C41" w:rsidRDefault="00CA6C41">
            <w:pPr>
              <w:spacing w:after="0" w:line="240" w:lineRule="auto"/>
              <w:ind w:firstLine="320"/>
              <w:jc w:val="both"/>
              <w:rPr>
                <w:rFonts w:ascii="Times New Roman" w:eastAsia="Times New Roman" w:hAnsi="Times New Roman" w:cs="Times New Roman"/>
                <w:sz w:val="28"/>
                <w:szCs w:val="28"/>
              </w:rPr>
            </w:pPr>
          </w:p>
        </w:tc>
        <w:tc>
          <w:tcPr>
            <w:tcW w:w="75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0" w:line="276"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lastRenderedPageBreak/>
              <w:t>«</w:t>
            </w:r>
          </w:p>
          <w:tbl>
            <w:tblPr>
              <w:tblStyle w:val="afffff8"/>
              <w:tblW w:w="69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10"/>
              <w:gridCol w:w="1785"/>
              <w:gridCol w:w="2250"/>
              <w:gridCol w:w="1545"/>
            </w:tblGrid>
            <w:tr w:rsidR="00CA6C41">
              <w:trPr>
                <w:trHeight w:val="1905"/>
              </w:trPr>
              <w:tc>
                <w:tcPr>
                  <w:tcW w:w="1410"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Код товару (продукції) згідно</w:t>
                  </w:r>
                </w:p>
                <w:p w:rsidR="00CA6C41" w:rsidRDefault="00FC4AC1">
                  <w:pPr>
                    <w:spacing w:before="240" w:after="240" w:line="276" w:lineRule="auto"/>
                    <w:ind w:left="140" w:right="140"/>
                    <w:jc w:val="center"/>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333333"/>
                      <w:sz w:val="24"/>
                      <w:szCs w:val="24"/>
                    </w:rPr>
                    <w:t>з</w:t>
                  </w:r>
                  <w:hyperlink r:id="rId73" w:anchor="n579">
                    <w:r>
                      <w:rPr>
                        <w:rFonts w:ascii="Times New Roman" w:eastAsia="Times New Roman" w:hAnsi="Times New Roman" w:cs="Times New Roman"/>
                        <w:color w:val="333333"/>
                        <w:sz w:val="24"/>
                        <w:szCs w:val="24"/>
                        <w:u w:val="single"/>
                      </w:rPr>
                      <w:t xml:space="preserve"> </w:t>
                    </w:r>
                  </w:hyperlink>
                  <w:hyperlink r:id="rId74" w:anchor="n579">
                    <w:r>
                      <w:rPr>
                        <w:rFonts w:ascii="Times New Roman" w:eastAsia="Times New Roman" w:hAnsi="Times New Roman" w:cs="Times New Roman"/>
                        <w:color w:val="1155CC"/>
                        <w:sz w:val="24"/>
                        <w:szCs w:val="24"/>
                        <w:u w:val="single"/>
                      </w:rPr>
                      <w:t>УКТ ЗЕД</w:t>
                    </w:r>
                  </w:hyperlink>
                </w:p>
              </w:tc>
              <w:tc>
                <w:tcPr>
                  <w:tcW w:w="1785"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333333"/>
                      <w:sz w:val="24"/>
                      <w:szCs w:val="24"/>
                    </w:rPr>
                    <w:t>Опис товару (продукції) згідно з</w:t>
                  </w:r>
                  <w:hyperlink r:id="rId75" w:anchor="n579">
                    <w:r>
                      <w:rPr>
                        <w:rFonts w:ascii="Times New Roman" w:eastAsia="Times New Roman" w:hAnsi="Times New Roman" w:cs="Times New Roman"/>
                        <w:color w:val="333333"/>
                        <w:sz w:val="24"/>
                        <w:szCs w:val="24"/>
                        <w:u w:val="single"/>
                      </w:rPr>
                      <w:t xml:space="preserve"> </w:t>
                    </w:r>
                  </w:hyperlink>
                  <w:hyperlink r:id="rId76" w:anchor="n579">
                    <w:r>
                      <w:rPr>
                        <w:rFonts w:ascii="Times New Roman" w:eastAsia="Times New Roman" w:hAnsi="Times New Roman" w:cs="Times New Roman"/>
                        <w:color w:val="1155CC"/>
                        <w:sz w:val="24"/>
                        <w:szCs w:val="24"/>
                        <w:u w:val="single"/>
                      </w:rPr>
                      <w:t>УКТ ЗЕД</w:t>
                    </w:r>
                  </w:hyperlink>
                </w:p>
              </w:tc>
              <w:tc>
                <w:tcPr>
                  <w:tcW w:w="2250"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Одиниця виміру</w:t>
                  </w:r>
                </w:p>
              </w:tc>
              <w:tc>
                <w:tcPr>
                  <w:tcW w:w="1545"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Ставка податку</w:t>
                  </w:r>
                </w:p>
              </w:tc>
            </w:tr>
            <w:tr w:rsidR="00CA6C41">
              <w:trPr>
                <w:trHeight w:val="2895"/>
              </w:trPr>
              <w:tc>
                <w:tcPr>
                  <w:tcW w:w="1410" w:type="dxa"/>
                  <w:tcBorders>
                    <w:top w:val="nil"/>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2401</w:t>
                  </w:r>
                </w:p>
                <w:p w:rsidR="00CA6C41" w:rsidRDefault="00FC4AC1">
                  <w:pPr>
                    <w:spacing w:before="240" w:after="240" w:line="276" w:lineRule="auto"/>
                    <w:ind w:left="140" w:right="14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 </w:t>
                  </w:r>
                </w:p>
                <w:p w:rsidR="00CA6C41" w:rsidRDefault="00FC4AC1">
                  <w:pPr>
                    <w:spacing w:before="240" w:after="240" w:line="276" w:lineRule="auto"/>
                    <w:ind w:left="140" w:right="14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 </w:t>
                  </w:r>
                </w:p>
                <w:p w:rsidR="00CA6C41" w:rsidRDefault="00FC4AC1">
                  <w:pPr>
                    <w:spacing w:before="240" w:after="240" w:line="276" w:lineRule="auto"/>
                    <w:ind w:left="140" w:right="14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 </w:t>
                  </w:r>
                </w:p>
                <w:p w:rsidR="00CA6C41" w:rsidRDefault="00FC4AC1">
                  <w:pPr>
                    <w:spacing w:before="240" w:after="240" w:line="276" w:lineRule="auto"/>
                    <w:ind w:left="140" w:right="140"/>
                    <w:jc w:val="center"/>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 </w:t>
                  </w:r>
                </w:p>
              </w:tc>
              <w:tc>
                <w:tcPr>
                  <w:tcW w:w="178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Тютюнова сировина,</w:t>
                  </w:r>
                </w:p>
                <w:p w:rsidR="00CA6C41" w:rsidRDefault="00FC4AC1">
                  <w:pPr>
                    <w:spacing w:before="240" w:after="240" w:line="276" w:lineRule="auto"/>
                    <w:ind w:left="140" w:right="140"/>
                    <w:jc w:val="center"/>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(крім тютюнових відходів (код згідно з УКТ ЗЕД 2401 30 00 00)</w:t>
                  </w:r>
                </w:p>
              </w:tc>
              <w:tc>
                <w:tcPr>
                  <w:tcW w:w="2250"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гривень за 1 кілограм (нетто)*</w:t>
                  </w:r>
                </w:p>
                <w:p w:rsidR="00CA6C41" w:rsidRDefault="00FC4AC1">
                  <w:pPr>
                    <w:spacing w:before="240" w:after="240" w:line="276" w:lineRule="auto"/>
                    <w:ind w:left="140" w:right="14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p>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p>
              </w:tc>
              <w:tc>
                <w:tcPr>
                  <w:tcW w:w="154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2836,08</w:t>
                  </w:r>
                </w:p>
                <w:p w:rsidR="00CA6C41" w:rsidRDefault="00FC4AC1">
                  <w:pPr>
                    <w:spacing w:before="240" w:after="240" w:line="276" w:lineRule="auto"/>
                    <w:ind w:left="140" w:right="14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p>
                <w:p w:rsidR="00CA6C41" w:rsidRDefault="00FC4AC1">
                  <w:pPr>
                    <w:spacing w:before="240" w:after="240" w:line="276" w:lineRule="auto"/>
                    <w:ind w:left="140" w:right="14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p>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p>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p>
              </w:tc>
            </w:tr>
            <w:tr w:rsidR="00CA6C41">
              <w:trPr>
                <w:trHeight w:val="8700"/>
              </w:trPr>
              <w:tc>
                <w:tcPr>
                  <w:tcW w:w="1410" w:type="dxa"/>
                  <w:tcBorders>
                    <w:top w:val="nil"/>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lastRenderedPageBreak/>
                    <w:t>2401 30 00 00</w:t>
                  </w:r>
                </w:p>
              </w:tc>
              <w:tc>
                <w:tcPr>
                  <w:tcW w:w="178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Тютюнові відходи</w:t>
                  </w:r>
                </w:p>
                <w:p w:rsidR="00CA6C41" w:rsidRDefault="00FC4AC1">
                  <w:pPr>
                    <w:spacing w:before="240" w:after="240" w:line="276" w:lineRule="auto"/>
                    <w:ind w:left="140" w:right="14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(крім відходів тютюну, призначених для продажу як тютюн для куріння або жувальний тютюн, нюхальний тютюн або тютюновий порошок, або такі, що пройшли обробку з метою використання як тютюну для куріння, жувального тютюну, нюхального тютюну або тютюнового порошку або </w:t>
                  </w:r>
                  <w:r>
                    <w:rPr>
                      <w:rFonts w:ascii="Times New Roman" w:eastAsia="Times New Roman" w:hAnsi="Times New Roman" w:cs="Times New Roman"/>
                      <w:b/>
                      <w:color w:val="333333"/>
                      <w:sz w:val="24"/>
                      <w:szCs w:val="24"/>
                    </w:rPr>
                    <w:lastRenderedPageBreak/>
                    <w:t>такі, що  використовуються  у виробництві тютюнових виробів (товарна позиція 2403 згідно УКТ ЗЕД)</w:t>
                  </w:r>
                </w:p>
              </w:tc>
              <w:tc>
                <w:tcPr>
                  <w:tcW w:w="2250"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lastRenderedPageBreak/>
                    <w:t>гривень за 1 кілограм (нетто)*</w:t>
                  </w:r>
                </w:p>
              </w:tc>
              <w:tc>
                <w:tcPr>
                  <w:tcW w:w="154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5,00</w:t>
                  </w:r>
                </w:p>
              </w:tc>
            </w:tr>
            <w:tr w:rsidR="00CA6C41">
              <w:trPr>
                <w:trHeight w:val="10395"/>
              </w:trPr>
              <w:tc>
                <w:tcPr>
                  <w:tcW w:w="1410" w:type="dxa"/>
                  <w:tcBorders>
                    <w:top w:val="nil"/>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w:t>
                  </w:r>
                </w:p>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2403 (крім 2403 99 90 10 - тютюновмісні вироби для електричного нагрівання (ТВЕН) за допомогою підігрівача з електронним управлінням)</w:t>
                  </w:r>
                </w:p>
              </w:tc>
              <w:tc>
                <w:tcPr>
                  <w:tcW w:w="178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Тютюн та замінники тютюну, інші, промислового виробництва; тютюн "гомогенізований" або "відновлений"; тютюнові екстракти та есенції</w:t>
                  </w:r>
                </w:p>
                <w:p w:rsidR="00CA6C41" w:rsidRDefault="00FC4AC1">
                  <w:pPr>
                    <w:spacing w:before="240" w:after="240" w:line="276" w:lineRule="auto"/>
                    <w:ind w:left="140" w:right="140"/>
                    <w:jc w:val="center"/>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(у тому числі відходи тютюну, призначені для продажу як тютюн для куріння або жувальний тютюн, нюхальний тютюн або тютюновий порошок, або такі, що пройшли обробку з </w:t>
                  </w:r>
                  <w:r>
                    <w:rPr>
                      <w:rFonts w:ascii="Times New Roman" w:eastAsia="Times New Roman" w:hAnsi="Times New Roman" w:cs="Times New Roman"/>
                      <w:b/>
                      <w:color w:val="333333"/>
                      <w:sz w:val="24"/>
                      <w:szCs w:val="24"/>
                    </w:rPr>
                    <w:lastRenderedPageBreak/>
                    <w:t>метою використання як тютюну для куріння, жувального тютюну, нюхального тютюну або тютюнового порошку або такі, що  використовуються  у виробництві тютюнових виробів)</w:t>
                  </w:r>
                </w:p>
              </w:tc>
              <w:tc>
                <w:tcPr>
                  <w:tcW w:w="2250"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гривень за 1 кілограм (нетто)*</w:t>
                  </w:r>
                </w:p>
              </w:tc>
              <w:tc>
                <w:tcPr>
                  <w:tcW w:w="154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ind w:left="140" w:right="140"/>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2836,08</w:t>
                  </w:r>
                </w:p>
              </w:tc>
            </w:tr>
          </w:tbl>
          <w:p w:rsidR="00CA6C41" w:rsidRDefault="00FC4AC1">
            <w:pPr>
              <w:spacing w:before="120" w:line="276"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 xml:space="preserve"> </w:t>
            </w:r>
          </w:p>
        </w:tc>
      </w:tr>
      <w:tr w:rsidR="00CA6C41">
        <w:tc>
          <w:tcPr>
            <w:tcW w:w="7350" w:type="dxa"/>
            <w:shd w:val="clear" w:color="auto" w:fill="auto"/>
            <w:tcMar>
              <w:top w:w="0" w:type="dxa"/>
              <w:left w:w="108" w:type="dxa"/>
              <w:bottom w:w="0" w:type="dxa"/>
              <w:right w:w="108" w:type="dxa"/>
            </w:tcMar>
          </w:tcPr>
          <w:p w:rsidR="00CA6C41" w:rsidRDefault="00FC4AC1">
            <w:pP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215.3.4. пальне:</w:t>
            </w:r>
          </w:p>
          <w:p w:rsidR="00CA6C41" w:rsidRDefault="00CA6C41">
            <w:pPr>
              <w:spacing w:after="0" w:line="240" w:lineRule="auto"/>
              <w:ind w:firstLine="320"/>
              <w:jc w:val="both"/>
              <w:rPr>
                <w:rFonts w:ascii="Times New Roman" w:eastAsia="Times New Roman" w:hAnsi="Times New Roman" w:cs="Times New Roman"/>
                <w:b/>
                <w:sz w:val="28"/>
                <w:szCs w:val="28"/>
              </w:rPr>
            </w:pPr>
          </w:p>
          <w:tbl>
            <w:tblPr>
              <w:tblStyle w:val="afffff9"/>
              <w:tblW w:w="757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05"/>
              <w:gridCol w:w="3785"/>
              <w:gridCol w:w="1099"/>
              <w:gridCol w:w="1390"/>
            </w:tblGrid>
            <w:tr w:rsidR="00CA6C41">
              <w:trPr>
                <w:trHeight w:val="1280"/>
              </w:trPr>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2707 50 10 00</w:t>
                  </w:r>
                </w:p>
                <w:p w:rsidR="00CA6C41" w:rsidRDefault="00FC4AC1">
                  <w:pPr>
                    <w:spacing w:before="120" w:after="120" w:line="240" w:lineRule="auto"/>
                    <w:ind w:right="-3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2707 50 90 00</w:t>
                  </w:r>
                </w:p>
              </w:tc>
              <w:tc>
                <w:tcPr>
                  <w:tcW w:w="37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суміші ароматичних вуглеводнів, з яких 65 відсотків об’ємних одиниць або більше (включаючи втрати) переганяється при температурі до 250° C за методом, визначеним згідно з ASTM D 86</w:t>
                  </w:r>
                </w:p>
              </w:tc>
              <w:tc>
                <w:tcPr>
                  <w:tcW w:w="109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євро за 1000 літрів</w:t>
                  </w:r>
                </w:p>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13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ind w:left="-28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213,50</w:t>
                  </w:r>
                </w:p>
              </w:tc>
            </w:tr>
          </w:tbl>
          <w:p w:rsidR="00CA6C41" w:rsidRDefault="00FC4AC1">
            <w:pPr>
              <w:spacing w:after="0" w:line="240" w:lineRule="auto"/>
              <w:ind w:firstLine="3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bl>
            <w:tblPr>
              <w:tblStyle w:val="afffffa"/>
              <w:tblW w:w="70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60"/>
              <w:gridCol w:w="3855"/>
              <w:gridCol w:w="1050"/>
              <w:gridCol w:w="870"/>
            </w:tblGrid>
            <w:tr w:rsidR="00CA6C41">
              <w:trPr>
                <w:trHeight w:val="710"/>
              </w:trPr>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2710 12 21 00</w:t>
                  </w:r>
                </w:p>
              </w:tc>
              <w:tc>
                <w:tcPr>
                  <w:tcW w:w="38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уайт-спірит</w:t>
                  </w:r>
                </w:p>
              </w:tc>
              <w:tc>
                <w:tcPr>
                  <w:tcW w:w="10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 -</w:t>
                  </w:r>
                </w:p>
              </w:tc>
              <w:tc>
                <w:tcPr>
                  <w:tcW w:w="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213,50</w:t>
                  </w:r>
                </w:p>
              </w:tc>
            </w:tr>
          </w:tbl>
          <w:p w:rsidR="00CA6C41" w:rsidRDefault="00CA6C41">
            <w:pPr>
              <w:spacing w:after="0" w:line="240" w:lineRule="auto"/>
              <w:ind w:firstLine="320"/>
              <w:jc w:val="both"/>
              <w:rPr>
                <w:rFonts w:ascii="Times New Roman" w:eastAsia="Times New Roman" w:hAnsi="Times New Roman" w:cs="Times New Roman"/>
                <w:b/>
                <w:sz w:val="28"/>
                <w:szCs w:val="28"/>
              </w:rPr>
            </w:pPr>
          </w:p>
          <w:p w:rsidR="00CA6C41" w:rsidRDefault="00CA6C41">
            <w:pPr>
              <w:spacing w:after="0" w:line="240" w:lineRule="auto"/>
              <w:ind w:firstLine="320"/>
              <w:jc w:val="both"/>
              <w:rPr>
                <w:rFonts w:ascii="Times New Roman" w:eastAsia="Times New Roman" w:hAnsi="Times New Roman" w:cs="Times New Roman"/>
                <w:b/>
                <w:sz w:val="28"/>
                <w:szCs w:val="28"/>
              </w:rPr>
            </w:pPr>
          </w:p>
          <w:p w:rsidR="00CA6C41" w:rsidRDefault="00FC4AC1">
            <w:pPr>
              <w:spacing w:after="0" w:line="240" w:lineRule="auto"/>
              <w:ind w:firstLine="3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bl>
            <w:tblPr>
              <w:tblStyle w:val="afffffb"/>
              <w:tblW w:w="75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40"/>
              <w:gridCol w:w="2741"/>
              <w:gridCol w:w="1099"/>
              <w:gridCol w:w="1795"/>
            </w:tblGrid>
            <w:tr w:rsidR="00CA6C41">
              <w:trPr>
                <w:trHeight w:val="935"/>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2707 10 10 00</w:t>
                  </w:r>
                </w:p>
                <w:p w:rsidR="00CA6C41" w:rsidRDefault="00FC4AC1">
                  <w:pPr>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2707 10 90 00</w:t>
                  </w:r>
                </w:p>
              </w:tc>
              <w:tc>
                <w:tcPr>
                  <w:tcW w:w="274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Бензол</w:t>
                  </w:r>
                </w:p>
              </w:tc>
              <w:tc>
                <w:tcPr>
                  <w:tcW w:w="109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 -</w:t>
                  </w:r>
                </w:p>
              </w:tc>
              <w:tc>
                <w:tcPr>
                  <w:tcW w:w="17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195</w:t>
                  </w:r>
                </w:p>
              </w:tc>
            </w:tr>
            <w:tr w:rsidR="00CA6C41">
              <w:trPr>
                <w:trHeight w:val="935"/>
              </w:trPr>
              <w:tc>
                <w:tcPr>
                  <w:tcW w:w="19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2707 20 10 00</w:t>
                  </w:r>
                </w:p>
                <w:p w:rsidR="00CA6C41" w:rsidRDefault="00FC4AC1">
                  <w:pPr>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2707 20 90 00</w:t>
                  </w:r>
                </w:p>
              </w:tc>
              <w:tc>
                <w:tcPr>
                  <w:tcW w:w="2741"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Толуол</w:t>
                  </w:r>
                </w:p>
                <w:p w:rsidR="00CA6C41" w:rsidRDefault="00FC4AC1">
                  <w:pPr>
                    <w:spacing w:before="240" w:after="24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1099"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 -</w:t>
                  </w:r>
                </w:p>
              </w:tc>
              <w:tc>
                <w:tcPr>
                  <w:tcW w:w="179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195</w:t>
                  </w:r>
                </w:p>
              </w:tc>
            </w:tr>
            <w:tr w:rsidR="00CA6C41">
              <w:trPr>
                <w:trHeight w:val="935"/>
              </w:trPr>
              <w:tc>
                <w:tcPr>
                  <w:tcW w:w="19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2707 30 10 00</w:t>
                  </w:r>
                </w:p>
                <w:p w:rsidR="00CA6C41" w:rsidRDefault="00FC4AC1">
                  <w:pPr>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2707 30 90 00</w:t>
                  </w:r>
                </w:p>
              </w:tc>
              <w:tc>
                <w:tcPr>
                  <w:tcW w:w="2741"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Ксилол</w:t>
                  </w:r>
                </w:p>
              </w:tc>
              <w:tc>
                <w:tcPr>
                  <w:tcW w:w="1099"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 -</w:t>
                  </w:r>
                </w:p>
              </w:tc>
              <w:tc>
                <w:tcPr>
                  <w:tcW w:w="179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195</w:t>
                  </w:r>
                </w:p>
              </w:tc>
            </w:tr>
          </w:tbl>
          <w:p w:rsidR="00CA6C41" w:rsidRDefault="00CA6C41">
            <w:pPr>
              <w:spacing w:after="0" w:line="240" w:lineRule="auto"/>
              <w:ind w:firstLine="320"/>
              <w:jc w:val="both"/>
              <w:rPr>
                <w:rFonts w:ascii="Times New Roman" w:eastAsia="Times New Roman" w:hAnsi="Times New Roman" w:cs="Times New Roman"/>
                <w:b/>
                <w:sz w:val="28"/>
                <w:szCs w:val="28"/>
              </w:rPr>
            </w:pPr>
          </w:p>
          <w:p w:rsidR="00CA6C41" w:rsidRDefault="00CA6C41">
            <w:pPr>
              <w:spacing w:after="0" w:line="240" w:lineRule="auto"/>
              <w:ind w:firstLine="320"/>
              <w:jc w:val="both"/>
              <w:rPr>
                <w:rFonts w:ascii="Times New Roman" w:eastAsia="Times New Roman" w:hAnsi="Times New Roman" w:cs="Times New Roman"/>
                <w:b/>
                <w:sz w:val="28"/>
                <w:szCs w:val="28"/>
              </w:rPr>
            </w:pPr>
          </w:p>
          <w:p w:rsidR="00CA6C41" w:rsidRDefault="00CA6C41">
            <w:pPr>
              <w:spacing w:after="0" w:line="240" w:lineRule="auto"/>
              <w:ind w:firstLine="320"/>
              <w:jc w:val="both"/>
              <w:rPr>
                <w:rFonts w:ascii="Times New Roman" w:eastAsia="Times New Roman" w:hAnsi="Times New Roman" w:cs="Times New Roman"/>
                <w:b/>
                <w:sz w:val="28"/>
                <w:szCs w:val="28"/>
              </w:rPr>
            </w:pPr>
          </w:p>
          <w:p w:rsidR="00CA6C41" w:rsidRDefault="00FC4AC1">
            <w:pPr>
              <w:spacing w:after="0" w:line="240" w:lineRule="auto"/>
              <w:ind w:firstLine="3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bl>
            <w:tblPr>
              <w:tblStyle w:val="afffffc"/>
              <w:tblW w:w="758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26"/>
              <w:gridCol w:w="3215"/>
              <w:gridCol w:w="814"/>
              <w:gridCol w:w="2231"/>
            </w:tblGrid>
            <w:tr w:rsidR="00CA6C41">
              <w:trPr>
                <w:trHeight w:val="635"/>
              </w:trPr>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3824 90 97 10</w:t>
                  </w:r>
                </w:p>
              </w:tc>
              <w:tc>
                <w:tcPr>
                  <w:tcW w:w="32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Паливо моторне альтернативне</w:t>
                  </w:r>
                </w:p>
              </w:tc>
              <w:tc>
                <w:tcPr>
                  <w:tcW w:w="81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 -</w:t>
                  </w:r>
                </w:p>
              </w:tc>
              <w:tc>
                <w:tcPr>
                  <w:tcW w:w="223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162</w:t>
                  </w:r>
                </w:p>
              </w:tc>
            </w:tr>
          </w:tbl>
          <w:p w:rsidR="00CA6C41" w:rsidRDefault="00CA6C41">
            <w:pPr>
              <w:spacing w:after="0" w:line="240" w:lineRule="auto"/>
              <w:ind w:firstLine="32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tc>
        <w:tc>
          <w:tcPr>
            <w:tcW w:w="7545" w:type="dxa"/>
            <w:shd w:val="clear" w:color="auto" w:fill="auto"/>
            <w:tcMar>
              <w:top w:w="0" w:type="dxa"/>
              <w:left w:w="108" w:type="dxa"/>
              <w:bottom w:w="0" w:type="dxa"/>
              <w:right w:w="108" w:type="dxa"/>
            </w:tcMar>
          </w:tcPr>
          <w:p w:rsidR="00CA6C41" w:rsidRDefault="00FC4AC1">
            <w:pP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215.3.4. пальне:</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tbl>
            <w:tblPr>
              <w:tblStyle w:val="afffffd"/>
              <w:tblW w:w="68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39"/>
              <w:gridCol w:w="3942"/>
              <w:gridCol w:w="1092"/>
              <w:gridCol w:w="612"/>
            </w:tblGrid>
            <w:tr w:rsidR="00CA6C41">
              <w:trPr>
                <w:trHeight w:val="1280"/>
              </w:trPr>
              <w:tc>
                <w:tcPr>
                  <w:tcW w:w="12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2707 50 00 10</w:t>
                  </w:r>
                </w:p>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2707 50 00 90</w:t>
                  </w:r>
                </w:p>
              </w:tc>
              <w:tc>
                <w:tcPr>
                  <w:tcW w:w="394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w:t>
                  </w:r>
                  <w:r>
                    <w:rPr>
                      <w:rFonts w:ascii="Times New Roman" w:eastAsia="Times New Roman" w:hAnsi="Times New Roman" w:cs="Times New Roman"/>
                      <w:sz w:val="28"/>
                      <w:szCs w:val="28"/>
                    </w:rPr>
                    <w:t>уміші ароматичних вуглеводнів, з яких 65 об.% або більше (включаючи втрати) переганяється при температурі до 250° C за методом ISO 3405 (еквівалентним методу ASTM D 86)</w:t>
                  </w:r>
                </w:p>
              </w:tc>
              <w:tc>
                <w:tcPr>
                  <w:tcW w:w="109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євро за 1000 літрів</w:t>
                  </w:r>
                </w:p>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61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213,50</w:t>
                  </w:r>
                </w:p>
              </w:tc>
            </w:tr>
          </w:tbl>
          <w:p w:rsidR="00CA6C41" w:rsidRDefault="00CA6C41">
            <w:pPr>
              <w:spacing w:after="0" w:line="240" w:lineRule="auto"/>
              <w:ind w:firstLine="320"/>
              <w:jc w:val="both"/>
              <w:rPr>
                <w:rFonts w:ascii="Times New Roman" w:eastAsia="Times New Roman" w:hAnsi="Times New Roman" w:cs="Times New Roman"/>
                <w:b/>
                <w:sz w:val="28"/>
                <w:szCs w:val="28"/>
              </w:rPr>
            </w:pPr>
          </w:p>
          <w:p w:rsidR="00CA6C41" w:rsidRDefault="00FC4AC1">
            <w:pPr>
              <w:spacing w:after="0" w:line="240" w:lineRule="auto"/>
              <w:ind w:firstLine="3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bl>
            <w:tblPr>
              <w:tblStyle w:val="afffffe"/>
              <w:tblW w:w="688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36"/>
              <w:gridCol w:w="3736"/>
              <w:gridCol w:w="1059"/>
              <w:gridCol w:w="853"/>
            </w:tblGrid>
            <w:tr w:rsidR="00CA6C41">
              <w:trPr>
                <w:trHeight w:val="935"/>
              </w:trPr>
              <w:tc>
                <w:tcPr>
                  <w:tcW w:w="1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2710 12 21 10</w:t>
                  </w:r>
                </w:p>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2710 12 21 90</w:t>
                  </w:r>
                </w:p>
              </w:tc>
              <w:tc>
                <w:tcPr>
                  <w:tcW w:w="373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уайт-спірит</w:t>
                  </w:r>
                </w:p>
              </w:tc>
              <w:tc>
                <w:tcPr>
                  <w:tcW w:w="105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 -</w:t>
                  </w:r>
                </w:p>
              </w:tc>
              <w:tc>
                <w:tcPr>
                  <w:tcW w:w="85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213,50</w:t>
                  </w:r>
                </w:p>
              </w:tc>
            </w:tr>
          </w:tbl>
          <w:p w:rsidR="00CA6C41" w:rsidRDefault="00FC4AC1">
            <w:pPr>
              <w:spacing w:after="0" w:line="240" w:lineRule="auto"/>
              <w:ind w:firstLine="3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bl>
            <w:tblPr>
              <w:tblStyle w:val="affffff"/>
              <w:tblW w:w="68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4"/>
              <w:gridCol w:w="3761"/>
              <w:gridCol w:w="1050"/>
              <w:gridCol w:w="790"/>
            </w:tblGrid>
            <w:tr w:rsidR="00CA6C41">
              <w:trPr>
                <w:trHeight w:val="635"/>
              </w:trPr>
              <w:tc>
                <w:tcPr>
                  <w:tcW w:w="12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2707 10 00 00</w:t>
                  </w:r>
                </w:p>
              </w:tc>
              <w:tc>
                <w:tcPr>
                  <w:tcW w:w="376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Бензол</w:t>
                  </w:r>
                </w:p>
              </w:tc>
              <w:tc>
                <w:tcPr>
                  <w:tcW w:w="10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 -</w:t>
                  </w:r>
                </w:p>
              </w:tc>
              <w:tc>
                <w:tcPr>
                  <w:tcW w:w="7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195</w:t>
                  </w:r>
                </w:p>
              </w:tc>
            </w:tr>
            <w:tr w:rsidR="00CA6C41">
              <w:trPr>
                <w:trHeight w:val="935"/>
              </w:trPr>
              <w:tc>
                <w:tcPr>
                  <w:tcW w:w="128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2707 20 00 10</w:t>
                  </w:r>
                </w:p>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2707 20 00 90</w:t>
                  </w:r>
                </w:p>
              </w:tc>
              <w:tc>
                <w:tcPr>
                  <w:tcW w:w="3761"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Толуол</w:t>
                  </w:r>
                </w:p>
              </w:tc>
              <w:tc>
                <w:tcPr>
                  <w:tcW w:w="1050"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 -</w:t>
                  </w:r>
                </w:p>
              </w:tc>
              <w:tc>
                <w:tcPr>
                  <w:tcW w:w="790"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195</w:t>
                  </w:r>
                </w:p>
              </w:tc>
            </w:tr>
            <w:tr w:rsidR="00CA6C41">
              <w:trPr>
                <w:trHeight w:val="935"/>
              </w:trPr>
              <w:tc>
                <w:tcPr>
                  <w:tcW w:w="128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2707 30 00 10</w:t>
                  </w:r>
                </w:p>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2707 30 00 90</w:t>
                  </w:r>
                </w:p>
              </w:tc>
              <w:tc>
                <w:tcPr>
                  <w:tcW w:w="3761"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Ксилол</w:t>
                  </w:r>
                </w:p>
              </w:tc>
              <w:tc>
                <w:tcPr>
                  <w:tcW w:w="1050"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 -</w:t>
                  </w:r>
                </w:p>
              </w:tc>
              <w:tc>
                <w:tcPr>
                  <w:tcW w:w="790"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195</w:t>
                  </w:r>
                </w:p>
              </w:tc>
            </w:tr>
          </w:tbl>
          <w:p w:rsidR="00CA6C41" w:rsidRDefault="00FC4AC1">
            <w:pPr>
              <w:spacing w:after="0" w:line="240" w:lineRule="auto"/>
              <w:ind w:firstLine="3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bl>
            <w:tblPr>
              <w:tblStyle w:val="affffff0"/>
              <w:tblW w:w="68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4"/>
              <w:gridCol w:w="3761"/>
              <w:gridCol w:w="1050"/>
              <w:gridCol w:w="790"/>
            </w:tblGrid>
            <w:tr w:rsidR="00CA6C41">
              <w:trPr>
                <w:trHeight w:val="635"/>
              </w:trPr>
              <w:tc>
                <w:tcPr>
                  <w:tcW w:w="12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3824 99 96 10</w:t>
                  </w:r>
                </w:p>
              </w:tc>
              <w:tc>
                <w:tcPr>
                  <w:tcW w:w="376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паливо моторне альтернативне</w:t>
                  </w:r>
                </w:p>
              </w:tc>
              <w:tc>
                <w:tcPr>
                  <w:tcW w:w="10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 -</w:t>
                  </w:r>
                </w:p>
              </w:tc>
              <w:tc>
                <w:tcPr>
                  <w:tcW w:w="7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120"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162</w:t>
                  </w:r>
                </w:p>
              </w:tc>
            </w:tr>
          </w:tbl>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tc>
      </w:tr>
      <w:tr w:rsidR="00CA6C41">
        <w:tc>
          <w:tcPr>
            <w:tcW w:w="7350" w:type="dxa"/>
            <w:shd w:val="clear" w:color="auto" w:fill="auto"/>
            <w:tcMar>
              <w:top w:w="0" w:type="dxa"/>
              <w:left w:w="108" w:type="dxa"/>
              <w:bottom w:w="0" w:type="dxa"/>
              <w:right w:w="108" w:type="dxa"/>
            </w:tcMar>
          </w:tcPr>
          <w:p w:rsidR="00CA6C41" w:rsidRDefault="00FC4AC1">
            <w:pP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215.3.5. Моторні транспортні засоби, призначені для перевезення 10 осіб i більше, включаючи водія (крім моторних транспортних засобів, зазначених у </w:t>
            </w:r>
            <w:r>
              <w:rPr>
                <w:rFonts w:ascii="Times New Roman" w:eastAsia="Times New Roman" w:hAnsi="Times New Roman" w:cs="Times New Roman"/>
                <w:b/>
                <w:sz w:val="28"/>
                <w:szCs w:val="28"/>
              </w:rPr>
              <w:t>товарній позиції 8702 90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90</w:t>
            </w:r>
            <w:r>
              <w:rPr>
                <w:rFonts w:ascii="Times New Roman" w:eastAsia="Times New Roman" w:hAnsi="Times New Roman" w:cs="Times New Roman"/>
                <w:sz w:val="28"/>
                <w:szCs w:val="28"/>
              </w:rPr>
              <w:t xml:space="preserve"> згідно з</w:t>
            </w:r>
            <w:r>
              <w:rPr>
                <w:rFonts w:ascii="Times New Roman" w:eastAsia="Times New Roman" w:hAnsi="Times New Roman" w:cs="Times New Roman"/>
                <w:sz w:val="28"/>
                <w:szCs w:val="28"/>
                <w:u w:val="single"/>
              </w:rPr>
              <w:t xml:space="preserve"> </w:t>
            </w:r>
            <w:r>
              <w:rPr>
                <w:rFonts w:ascii="Times New Roman" w:eastAsia="Times New Roman" w:hAnsi="Times New Roman" w:cs="Times New Roman"/>
                <w:sz w:val="28"/>
                <w:szCs w:val="28"/>
              </w:rPr>
              <w:t>УКТ ЗЕД</w:t>
            </w:r>
          </w:p>
          <w:tbl>
            <w:tblPr>
              <w:tblStyle w:val="affffff1"/>
              <w:tblW w:w="75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49"/>
              <w:gridCol w:w="3547"/>
              <w:gridCol w:w="2394"/>
            </w:tblGrid>
            <w:tr w:rsidR="00CA6C41">
              <w:trPr>
                <w:trHeight w:val="2400"/>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rPr>
                    <w:t>Код товару (продукції) згідно з</w:t>
                  </w:r>
                  <w:hyperlink r:id="rId77" w:anchor="n339">
                    <w:r>
                      <w:rPr>
                        <w:rFonts w:ascii="Times New Roman" w:eastAsia="Times New Roman" w:hAnsi="Times New Roman" w:cs="Times New Roman"/>
                        <w:sz w:val="28"/>
                        <w:szCs w:val="28"/>
                      </w:rPr>
                      <w:t xml:space="preserve"> </w:t>
                    </w:r>
                  </w:hyperlink>
                  <w:hyperlink r:id="rId78" w:anchor="n339">
                    <w:r>
                      <w:rPr>
                        <w:rFonts w:ascii="Times New Roman" w:eastAsia="Times New Roman" w:hAnsi="Times New Roman" w:cs="Times New Roman"/>
                        <w:sz w:val="28"/>
                        <w:szCs w:val="28"/>
                        <w:u w:val="single"/>
                      </w:rPr>
                      <w:t>УКТ ЗЕД</w:t>
                    </w:r>
                  </w:hyperlink>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Опис товару (продукції) згідно з УКТ ЗЕД</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у твердій сумі з одиниці реалізованого товару (продукції) (специфічні)</w:t>
                  </w:r>
                </w:p>
              </w:tc>
            </w:tr>
            <w:tr w:rsidR="00CA6C41">
              <w:trPr>
                <w:trHeight w:val="1370"/>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8702</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Моторні транспортні засоби, призначені для перевезення 10 осіб i більше, включаючи водія:</w:t>
                  </w:r>
                </w:p>
                <w:p w:rsidR="00CA6C41" w:rsidRDefault="00CA6C41">
                  <w:pPr>
                    <w:spacing w:before="320" w:after="320" w:line="240" w:lineRule="auto"/>
                    <w:jc w:val="both"/>
                    <w:rPr>
                      <w:rFonts w:ascii="Times New Roman" w:eastAsia="Times New Roman" w:hAnsi="Times New Roman" w:cs="Times New Roman"/>
                      <w:sz w:val="28"/>
                      <w:szCs w:val="28"/>
                    </w:rPr>
                  </w:pP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center"/>
                    <w:rPr>
                      <w:rFonts w:ascii="Times New Roman" w:eastAsia="Times New Roman" w:hAnsi="Times New Roman" w:cs="Times New Roman"/>
                      <w:sz w:val="28"/>
                      <w:szCs w:val="28"/>
                    </w:rPr>
                  </w:pPr>
                </w:p>
              </w:tc>
            </w:tr>
            <w:tr w:rsidR="00CA6C41">
              <w:trPr>
                <w:trHeight w:val="1370"/>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 двигуном внутрішнього згоряння із запалюванням від стиснення (дизелем або напівдизелем):</w:t>
                  </w:r>
                </w:p>
                <w:p w:rsidR="00CA6C41" w:rsidRDefault="00CA6C41">
                  <w:pPr>
                    <w:spacing w:before="320" w:after="320" w:line="240" w:lineRule="auto"/>
                    <w:jc w:val="both"/>
                    <w:rPr>
                      <w:rFonts w:ascii="Times New Roman" w:eastAsia="Times New Roman" w:hAnsi="Times New Roman" w:cs="Times New Roman"/>
                      <w:sz w:val="28"/>
                      <w:szCs w:val="28"/>
                    </w:rPr>
                  </w:pPr>
                </w:p>
                <w:p w:rsidR="00CA6C41" w:rsidRDefault="00CA6C41">
                  <w:pPr>
                    <w:spacing w:before="320" w:after="320" w:line="240" w:lineRule="auto"/>
                    <w:jc w:val="both"/>
                    <w:rPr>
                      <w:rFonts w:ascii="Times New Roman" w:eastAsia="Times New Roman" w:hAnsi="Times New Roman" w:cs="Times New Roman"/>
                      <w:sz w:val="28"/>
                      <w:szCs w:val="28"/>
                    </w:rPr>
                  </w:pP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center"/>
                    <w:rPr>
                      <w:rFonts w:ascii="Times New Roman" w:eastAsia="Times New Roman" w:hAnsi="Times New Roman" w:cs="Times New Roman"/>
                      <w:sz w:val="28"/>
                      <w:szCs w:val="28"/>
                    </w:rPr>
                  </w:pP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both"/>
                    <w:rPr>
                      <w:rFonts w:ascii="Times New Roman" w:eastAsia="Times New Roman" w:hAnsi="Times New Roman" w:cs="Times New Roman"/>
                      <w:sz w:val="28"/>
                      <w:szCs w:val="28"/>
                    </w:rPr>
                  </w:pP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з робочим об’ємом циліндрів двигуна понад 2 500 куб. см:</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center"/>
                    <w:rPr>
                      <w:rFonts w:ascii="Times New Roman" w:eastAsia="Times New Roman" w:hAnsi="Times New Roman" w:cs="Times New Roman"/>
                      <w:sz w:val="28"/>
                      <w:szCs w:val="28"/>
                    </w:rPr>
                  </w:pPr>
                </w:p>
              </w:tc>
            </w:tr>
            <w:tr w:rsidR="00CA6C41">
              <w:trPr>
                <w:trHeight w:val="81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8702 10 11</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нові:</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center"/>
                    <w:rPr>
                      <w:rFonts w:ascii="Times New Roman" w:eastAsia="Times New Roman" w:hAnsi="Times New Roman" w:cs="Times New Roman"/>
                      <w:sz w:val="28"/>
                      <w:szCs w:val="28"/>
                    </w:rPr>
                  </w:pP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8702 10 11 10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з робочим об’ємом циліндрів двигуна не більш як 5 000 куб. см</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tc>
            </w:tr>
            <w:tr w:rsidR="00CA6C41">
              <w:trPr>
                <w:trHeight w:val="1520"/>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8702 10 11 30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з робочим об’ємом циліндрів двигуна понад 5 000 куб. см</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p w:rsidR="00CA6C41" w:rsidRDefault="00CA6C41">
                  <w:pPr>
                    <w:spacing w:before="320" w:after="320" w:line="240" w:lineRule="auto"/>
                    <w:rPr>
                      <w:rFonts w:ascii="Times New Roman" w:eastAsia="Times New Roman" w:hAnsi="Times New Roman" w:cs="Times New Roman"/>
                      <w:sz w:val="28"/>
                      <w:szCs w:val="28"/>
                    </w:rPr>
                  </w:pPr>
                </w:p>
              </w:tc>
            </w:tr>
            <w:tr w:rsidR="00CA6C41">
              <w:trPr>
                <w:trHeight w:val="81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8702 10 19</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що використовувалися:</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center"/>
                    <w:rPr>
                      <w:rFonts w:ascii="Times New Roman" w:eastAsia="Times New Roman" w:hAnsi="Times New Roman" w:cs="Times New Roman"/>
                      <w:sz w:val="28"/>
                      <w:szCs w:val="28"/>
                    </w:rPr>
                  </w:pP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8702 10 19 10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з робочим об’ємом циліндрів двигуна не більш як 5 000 куб. см</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8702 10 19 90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з робочим об’ємом циліндрів двигуна понад 5 000 куб. см</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0,007 євро за 1 куб. см об’єму циліндрів двигуна</w:t>
                  </w: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both"/>
                    <w:rPr>
                      <w:rFonts w:ascii="Times New Roman" w:eastAsia="Times New Roman" w:hAnsi="Times New Roman" w:cs="Times New Roman"/>
                      <w:sz w:val="28"/>
                      <w:szCs w:val="28"/>
                    </w:rPr>
                  </w:pP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з робочим об’ємом циліндрів двигуна не більш як 2 500 куб. см:</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rPr>
                      <w:rFonts w:ascii="Times New Roman" w:eastAsia="Times New Roman" w:hAnsi="Times New Roman" w:cs="Times New Roman"/>
                      <w:sz w:val="28"/>
                      <w:szCs w:val="28"/>
                    </w:rPr>
                  </w:pP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8702 10 91 00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нові</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8702 10 99 00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що використовувалися</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0,007 євро за 1 куб. см об’єму циліндрів двигуна</w:t>
                  </w: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p w:rsidR="00CA6C41" w:rsidRDefault="00CA6C41">
                  <w:pPr>
                    <w:spacing w:before="320" w:after="320" w:line="240" w:lineRule="auto"/>
                    <w:jc w:val="center"/>
                    <w:rPr>
                      <w:rFonts w:ascii="Times New Roman" w:eastAsia="Times New Roman" w:hAnsi="Times New Roman" w:cs="Times New Roman"/>
                      <w:sz w:val="28"/>
                      <w:szCs w:val="28"/>
                    </w:rPr>
                  </w:pPr>
                </w:p>
              </w:tc>
            </w:tr>
            <w:tr w:rsidR="00CA6C41">
              <w:trPr>
                <w:trHeight w:val="81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8702 90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iншi:</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center"/>
                    <w:rPr>
                      <w:rFonts w:ascii="Times New Roman" w:eastAsia="Times New Roman" w:hAnsi="Times New Roman" w:cs="Times New Roman"/>
                      <w:sz w:val="28"/>
                      <w:szCs w:val="28"/>
                    </w:rPr>
                  </w:pP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both"/>
                    <w:rPr>
                      <w:rFonts w:ascii="Times New Roman" w:eastAsia="Times New Roman" w:hAnsi="Times New Roman" w:cs="Times New Roman"/>
                      <w:sz w:val="28"/>
                      <w:szCs w:val="28"/>
                    </w:rPr>
                  </w:pP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з двигуном внутрішнього згоряння з iскровим запалюванням:</w:t>
                  </w:r>
                </w:p>
                <w:p w:rsidR="00CA6C41" w:rsidRDefault="00CA6C41">
                  <w:pPr>
                    <w:spacing w:before="320" w:after="320" w:line="240" w:lineRule="auto"/>
                    <w:jc w:val="both"/>
                    <w:rPr>
                      <w:rFonts w:ascii="Times New Roman" w:eastAsia="Times New Roman" w:hAnsi="Times New Roman" w:cs="Times New Roman"/>
                      <w:sz w:val="28"/>
                      <w:szCs w:val="28"/>
                    </w:rPr>
                  </w:pP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center"/>
                    <w:rPr>
                      <w:rFonts w:ascii="Times New Roman" w:eastAsia="Times New Roman" w:hAnsi="Times New Roman" w:cs="Times New Roman"/>
                      <w:sz w:val="28"/>
                      <w:szCs w:val="28"/>
                    </w:rPr>
                  </w:pP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both"/>
                    <w:rPr>
                      <w:rFonts w:ascii="Times New Roman" w:eastAsia="Times New Roman" w:hAnsi="Times New Roman" w:cs="Times New Roman"/>
                      <w:sz w:val="28"/>
                      <w:szCs w:val="28"/>
                    </w:rPr>
                  </w:pP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з робочим об’ємом цилiндрів двигуна понад 2800 куб. см:</w:t>
                  </w:r>
                </w:p>
                <w:p w:rsidR="00CA6C41" w:rsidRDefault="00CA6C41">
                  <w:pPr>
                    <w:spacing w:before="320" w:after="320" w:line="240" w:lineRule="auto"/>
                    <w:jc w:val="both"/>
                    <w:rPr>
                      <w:rFonts w:ascii="Times New Roman" w:eastAsia="Times New Roman" w:hAnsi="Times New Roman" w:cs="Times New Roman"/>
                      <w:sz w:val="28"/>
                      <w:szCs w:val="28"/>
                    </w:rPr>
                  </w:pP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center"/>
                    <w:rPr>
                      <w:rFonts w:ascii="Times New Roman" w:eastAsia="Times New Roman" w:hAnsi="Times New Roman" w:cs="Times New Roman"/>
                      <w:sz w:val="28"/>
                      <w:szCs w:val="28"/>
                    </w:rPr>
                  </w:pP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8702 90 11 00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новi</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8702 90 19 00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що використовувалися</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0,007 євро за 1 куб. см об’єму циліндрів двигуна</w:t>
                  </w: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both"/>
                    <w:rPr>
                      <w:rFonts w:ascii="Times New Roman" w:eastAsia="Times New Roman" w:hAnsi="Times New Roman" w:cs="Times New Roman"/>
                      <w:sz w:val="28"/>
                      <w:szCs w:val="28"/>
                    </w:rPr>
                  </w:pP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з робочим об’ємом цилiндрів двигуна не бiльш як 2800 куб. см:</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CA6C41">
                  <w:pPr>
                    <w:spacing w:before="320" w:after="320" w:line="240" w:lineRule="auto"/>
                    <w:jc w:val="center"/>
                    <w:rPr>
                      <w:rFonts w:ascii="Times New Roman" w:eastAsia="Times New Roman" w:hAnsi="Times New Roman" w:cs="Times New Roman"/>
                      <w:sz w:val="28"/>
                      <w:szCs w:val="28"/>
                    </w:rPr>
                  </w:pP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8702 90 31 00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новi</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tc>
            </w:tr>
            <w:tr w:rsidR="00CA6C41">
              <w:trPr>
                <w:trHeight w:val="1085"/>
              </w:trPr>
              <w:tc>
                <w:tcPr>
                  <w:tcW w:w="164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8702 90 39 00</w:t>
                  </w:r>
                </w:p>
              </w:tc>
              <w:tc>
                <w:tcPr>
                  <w:tcW w:w="354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що використовувалися</w:t>
                  </w:r>
                </w:p>
              </w:tc>
              <w:tc>
                <w:tcPr>
                  <w:tcW w:w="239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CA6C41" w:rsidRDefault="00FC4AC1">
                  <w:pPr>
                    <w:spacing w:before="320" w:after="3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0,007 євро за 1 куб. см об’єму циліндрів двигуна.</w:t>
                  </w:r>
                </w:p>
              </w:tc>
            </w:tr>
          </w:tbl>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tc>
        <w:tc>
          <w:tcPr>
            <w:tcW w:w="7545" w:type="dxa"/>
            <w:shd w:val="clear" w:color="auto" w:fill="auto"/>
            <w:tcMar>
              <w:top w:w="0" w:type="dxa"/>
              <w:left w:w="108" w:type="dxa"/>
              <w:bottom w:w="0" w:type="dxa"/>
              <w:right w:w="108" w:type="dxa"/>
            </w:tcMar>
          </w:tcPr>
          <w:p w:rsidR="00CA6C41" w:rsidRDefault="00FC4AC1">
            <w:pP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215.3.5. Моторні транспортні засоби, призначені для перевезення 10 осіб і більше, включаючи водія (крім моторних транспортних засобів, зазначених </w:t>
            </w:r>
            <w:r>
              <w:rPr>
                <w:rFonts w:ascii="Times New Roman" w:eastAsia="Times New Roman" w:hAnsi="Times New Roman" w:cs="Times New Roman"/>
                <w:b/>
                <w:sz w:val="28"/>
                <w:szCs w:val="28"/>
              </w:rPr>
              <w:t>у товарних підкатегоріях 8702 40 00 10, 8702 40 00 90, 8702 90 90 00</w:t>
            </w:r>
            <w:r>
              <w:rPr>
                <w:rFonts w:ascii="Times New Roman" w:eastAsia="Times New Roman" w:hAnsi="Times New Roman" w:cs="Times New Roman"/>
                <w:sz w:val="28"/>
                <w:szCs w:val="28"/>
              </w:rPr>
              <w:t xml:space="preserve"> згідно з УКТ ЗЕД):</w:t>
            </w:r>
          </w:p>
          <w:p w:rsidR="00CA6C41" w:rsidRDefault="00CA6C41">
            <w:pPr>
              <w:spacing w:after="0" w:line="240" w:lineRule="auto"/>
              <w:ind w:right="-201" w:firstLine="306"/>
              <w:jc w:val="both"/>
              <w:rPr>
                <w:rFonts w:ascii="Times New Roman" w:eastAsia="Times New Roman" w:hAnsi="Times New Roman" w:cs="Times New Roman"/>
                <w:b/>
                <w:sz w:val="28"/>
                <w:szCs w:val="28"/>
              </w:rPr>
            </w:pPr>
          </w:p>
          <w:p w:rsidR="00CA6C41" w:rsidRDefault="00CA6C41">
            <w:pPr>
              <w:spacing w:after="0" w:line="240" w:lineRule="auto"/>
              <w:ind w:right="-201" w:firstLine="306"/>
              <w:jc w:val="both"/>
              <w:rPr>
                <w:rFonts w:ascii="Times New Roman" w:eastAsia="Times New Roman" w:hAnsi="Times New Roman" w:cs="Times New Roman"/>
                <w:b/>
                <w:sz w:val="28"/>
                <w:szCs w:val="28"/>
              </w:rPr>
            </w:pPr>
          </w:p>
          <w:tbl>
            <w:tblPr>
              <w:tblStyle w:val="affffff2"/>
              <w:tblW w:w="7095" w:type="dxa"/>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2445"/>
              <w:gridCol w:w="2445"/>
            </w:tblGrid>
            <w:tr w:rsidR="00CA6C41">
              <w:tc>
                <w:tcPr>
                  <w:tcW w:w="2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Код товару (продукції) згідно з УКТ ЗЕД</w:t>
                  </w:r>
                </w:p>
              </w:tc>
              <w:tc>
                <w:tcPr>
                  <w:tcW w:w="24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Опис товару (продукції) згідно з УКТ ЗЕД</w:t>
                  </w:r>
                </w:p>
              </w:tc>
              <w:tc>
                <w:tcPr>
                  <w:tcW w:w="24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у твердій сумі з одиниці реалізованого товару (продукції) (специфічні)</w:t>
                  </w:r>
                </w:p>
                <w:p w:rsidR="00CA6C41" w:rsidRDefault="00CA6C41">
                  <w:pPr>
                    <w:widowControl w:val="0"/>
                    <w:spacing w:before="120" w:after="120" w:line="276" w:lineRule="auto"/>
                    <w:jc w:val="center"/>
                    <w:rPr>
                      <w:rFonts w:ascii="Times New Roman" w:eastAsia="Times New Roman" w:hAnsi="Times New Roman" w:cs="Times New Roman"/>
                      <w:sz w:val="28"/>
                      <w:szCs w:val="28"/>
                    </w:rPr>
                  </w:pPr>
                </w:p>
                <w:p w:rsidR="00CA6C41" w:rsidRDefault="00CA6C41">
                  <w:pPr>
                    <w:widowControl w:val="0"/>
                    <w:spacing w:before="120" w:after="120" w:line="276" w:lineRule="auto"/>
                    <w:jc w:val="center"/>
                    <w:rPr>
                      <w:rFonts w:ascii="Times New Roman" w:eastAsia="Times New Roman" w:hAnsi="Times New Roman" w:cs="Times New Roman"/>
                      <w:sz w:val="28"/>
                      <w:szCs w:val="28"/>
                    </w:rPr>
                  </w:pPr>
                </w:p>
                <w:p w:rsidR="00CA6C41" w:rsidRDefault="00CA6C41">
                  <w:pPr>
                    <w:widowControl w:val="0"/>
                    <w:spacing w:before="120" w:after="120" w:line="276" w:lineRule="auto"/>
                    <w:jc w:val="center"/>
                    <w:rPr>
                      <w:rFonts w:ascii="Times New Roman" w:eastAsia="Times New Roman" w:hAnsi="Times New Roman" w:cs="Times New Roman"/>
                      <w:sz w:val="28"/>
                      <w:szCs w:val="28"/>
                    </w:rPr>
                  </w:pPr>
                </w:p>
              </w:tc>
            </w:tr>
            <w:tr w:rsidR="00CA6C41">
              <w:tc>
                <w:tcPr>
                  <w:tcW w:w="22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8702</w:t>
                  </w:r>
                </w:p>
              </w:tc>
              <w:tc>
                <w:tcPr>
                  <w:tcW w:w="24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Моторні транспортні засоби, призначені для перевезення 10 осіб і більше, включаючи водія:</w:t>
                  </w:r>
                </w:p>
              </w:tc>
              <w:tc>
                <w:tcPr>
                  <w:tcW w:w="24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тільки з поршневим двигуном внутрішнього згоряння із запалюванням від стиснення (дизелем або напівдизелем):</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з робочим об’ємом циліндрів двигуна понад 2500 куб. см:</w:t>
                  </w:r>
                </w:p>
                <w:p w:rsidR="00CA6C41" w:rsidRDefault="00CA6C41">
                  <w:pPr>
                    <w:widowControl w:val="0"/>
                    <w:spacing w:before="120" w:after="120" w:line="276" w:lineRule="auto"/>
                    <w:jc w:val="both"/>
                    <w:rPr>
                      <w:rFonts w:ascii="Times New Roman" w:eastAsia="Times New Roman" w:hAnsi="Times New Roman" w:cs="Times New Roman"/>
                      <w:sz w:val="28"/>
                      <w:szCs w:val="28"/>
                    </w:rPr>
                  </w:pPr>
                </w:p>
                <w:p w:rsidR="00CA6C41" w:rsidRDefault="00CA6C41">
                  <w:pPr>
                    <w:widowControl w:val="0"/>
                    <w:spacing w:before="120" w:after="120" w:line="276" w:lineRule="auto"/>
                    <w:jc w:val="both"/>
                    <w:rPr>
                      <w:rFonts w:ascii="Times New Roman" w:eastAsia="Times New Roman" w:hAnsi="Times New Roman" w:cs="Times New Roman"/>
                      <w:sz w:val="28"/>
                      <w:szCs w:val="28"/>
                    </w:rPr>
                  </w:pP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8702 10 11</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 - нові:</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8702 10 11 10</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з робочим об’ємом циліндрів двигуна не більш як 5000 куб. см</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8702 10 11 30</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з робочим об’ємом циліндрів двигуна понад 5000 куб. см</w:t>
                  </w:r>
                </w:p>
                <w:p w:rsidR="00CA6C41" w:rsidRDefault="00CA6C41">
                  <w:pPr>
                    <w:widowControl w:val="0"/>
                    <w:spacing w:before="120" w:after="120" w:line="276" w:lineRule="auto"/>
                    <w:jc w:val="both"/>
                    <w:rPr>
                      <w:rFonts w:ascii="Times New Roman" w:eastAsia="Times New Roman" w:hAnsi="Times New Roman" w:cs="Times New Roman"/>
                      <w:sz w:val="28"/>
                      <w:szCs w:val="28"/>
                    </w:rPr>
                  </w:pP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8702 10 19</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що використовувалися:</w:t>
                  </w:r>
                </w:p>
                <w:p w:rsidR="00CA6C41" w:rsidRDefault="00CA6C41">
                  <w:pPr>
                    <w:widowControl w:val="0"/>
                    <w:spacing w:before="120" w:after="120" w:line="276" w:lineRule="auto"/>
                    <w:jc w:val="both"/>
                    <w:rPr>
                      <w:rFonts w:ascii="Times New Roman" w:eastAsia="Times New Roman" w:hAnsi="Times New Roman" w:cs="Times New Roman"/>
                      <w:sz w:val="28"/>
                      <w:szCs w:val="28"/>
                    </w:rPr>
                  </w:pPr>
                </w:p>
                <w:p w:rsidR="00CA6C41" w:rsidRDefault="00CA6C41">
                  <w:pPr>
                    <w:widowControl w:val="0"/>
                    <w:spacing w:before="120" w:after="120" w:line="276" w:lineRule="auto"/>
                    <w:jc w:val="both"/>
                    <w:rPr>
                      <w:rFonts w:ascii="Times New Roman" w:eastAsia="Times New Roman" w:hAnsi="Times New Roman" w:cs="Times New Roman"/>
                      <w:sz w:val="28"/>
                      <w:szCs w:val="28"/>
                    </w:rPr>
                  </w:pP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8702 10 19 10</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 - з робочим об’ємом циліндрів двигуна не більш </w:t>
                  </w:r>
                  <w:r>
                    <w:rPr>
                      <w:rFonts w:ascii="Times New Roman" w:eastAsia="Times New Roman" w:hAnsi="Times New Roman" w:cs="Times New Roman"/>
                      <w:sz w:val="28"/>
                      <w:szCs w:val="28"/>
                    </w:rPr>
                    <w:lastRenderedPageBreak/>
                    <w:t>як 5000 куб. см</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0,003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8702 10 19 90</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з робочим об’ємом циліндрів двигуна понад 5000 куб. см</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0,007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з робочим об’ємом циліндрів двигуна не більш як 2500 куб. см:</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8702 10 91 00</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нові</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8702 10 99 00</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що використовувалися</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0,007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8702 20</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з поршневим двигуном внутрішнього згоряння із </w:t>
                  </w:r>
                  <w:r>
                    <w:rPr>
                      <w:rFonts w:ascii="Times New Roman" w:eastAsia="Times New Roman" w:hAnsi="Times New Roman" w:cs="Times New Roman"/>
                      <w:b/>
                      <w:sz w:val="28"/>
                      <w:szCs w:val="28"/>
                    </w:rPr>
                    <w:lastRenderedPageBreak/>
                    <w:t>запалюванням від стиснення (дизелем або напівдизелем) та електродвигуном в якості двигунів для пересування:</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8702 20 10</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 з робочим об’ємом циліндрів двигуна понад 2500 куб. см:</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8702 20 10 10</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 - з робочим об’ємом циліндрів двигуна не більш як 5000 куб. см</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нові 0,003 євро за 1 куб. см об’єму циліндрів двигуна</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 використовувалися 0,007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8702 20 10 90</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 - з робочим об’ємом циліндрів двигуна понад 5000 куб. см</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нові 0,003 євро за 1 куб. см об’єму циліндрів двигуна</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 використовувалися 0,007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8702 20 90 00</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 з робочим об’ємом циліндрів двигуна не більше 2500 куб. см</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нові 0,003 євро за 1 куб. см об’єму циліндрів двигуна</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 використовувалися 0,007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8702 30</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з поршневим двигуном внутрішнього </w:t>
                  </w:r>
                  <w:r>
                    <w:rPr>
                      <w:rFonts w:ascii="Times New Roman" w:eastAsia="Times New Roman" w:hAnsi="Times New Roman" w:cs="Times New Roman"/>
                      <w:b/>
                      <w:sz w:val="28"/>
                      <w:szCs w:val="28"/>
                    </w:rPr>
                    <w:lastRenderedPageBreak/>
                    <w:t>згоряння з іскровим запалюванням із зворотно-поступальним рухом поршня та електродвигуном в якості двигунів для пересування:</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8702 30 10 00</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 з робочим об’ємом циліндрів двигуна понад 2800 куб. см</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нові 0,003 євро за 1 куб. см об’єму циліндрів двигуна</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 використовувалися 0,007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8702 30 90 00</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 з робочим об’ємом циліндрів двигуна не більше 2800 куб. </w:t>
                  </w:r>
                  <w:r>
                    <w:rPr>
                      <w:rFonts w:ascii="Times New Roman" w:eastAsia="Times New Roman" w:hAnsi="Times New Roman" w:cs="Times New Roman"/>
                      <w:b/>
                      <w:sz w:val="28"/>
                      <w:szCs w:val="28"/>
                    </w:rPr>
                    <w:lastRenderedPageBreak/>
                    <w:t>см</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нові 0,003 євро за 1 куб. см об’єму циліндрів двигуна</w:t>
                  </w:r>
                </w:p>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що використовувалися 0,007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8702 90</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інші:</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з поршневим двигуном внутрішнього згоряння з іскровим запалюванням:</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з робочим об’ємом циліндрів двигуна понад 2800 куб. см:</w:t>
                  </w:r>
                </w:p>
                <w:p w:rsidR="00CA6C41" w:rsidRDefault="00CA6C41">
                  <w:pPr>
                    <w:widowControl w:val="0"/>
                    <w:spacing w:before="120" w:after="120" w:line="276" w:lineRule="auto"/>
                    <w:jc w:val="both"/>
                    <w:rPr>
                      <w:rFonts w:ascii="Times New Roman" w:eastAsia="Times New Roman" w:hAnsi="Times New Roman" w:cs="Times New Roman"/>
                      <w:sz w:val="28"/>
                      <w:szCs w:val="28"/>
                    </w:rPr>
                  </w:pP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8702 90 11 00</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 - - нові</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p w:rsidR="00CA6C41" w:rsidRDefault="00CA6C41">
                  <w:pPr>
                    <w:widowControl w:val="0"/>
                    <w:spacing w:before="120" w:after="120" w:line="276" w:lineRule="auto"/>
                    <w:jc w:val="both"/>
                    <w:rPr>
                      <w:rFonts w:ascii="Times New Roman" w:eastAsia="Times New Roman" w:hAnsi="Times New Roman" w:cs="Times New Roman"/>
                      <w:sz w:val="28"/>
                      <w:szCs w:val="28"/>
                    </w:rPr>
                  </w:pP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8702 90 19 00</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що використовувалися</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0,007 євро за 1 куб. см об’єму циліндрів двигуна</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з робочим об’ємом циліндрів двигуна не більш як 2800 куб. см:</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8702 90 31 00</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нові</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0,003 євро за 1 куб. см об’єму циліндрів двигуна</w:t>
                  </w:r>
                </w:p>
                <w:p w:rsidR="00CA6C41" w:rsidRDefault="00CA6C41">
                  <w:pPr>
                    <w:widowControl w:val="0"/>
                    <w:spacing w:before="120" w:after="120" w:line="276" w:lineRule="auto"/>
                    <w:jc w:val="both"/>
                    <w:rPr>
                      <w:rFonts w:ascii="Times New Roman" w:eastAsia="Times New Roman" w:hAnsi="Times New Roman" w:cs="Times New Roman"/>
                      <w:sz w:val="28"/>
                      <w:szCs w:val="28"/>
                    </w:rPr>
                  </w:pPr>
                </w:p>
              </w:tc>
            </w:tr>
            <w:tr w:rsidR="00CA6C41">
              <w:tc>
                <w:tcPr>
                  <w:tcW w:w="22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8702 90 39 00</w:t>
                  </w:r>
                </w:p>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 - що використовувалися</w:t>
                  </w:r>
                </w:p>
              </w:tc>
              <w:tc>
                <w:tcPr>
                  <w:tcW w:w="244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widowControl w:val="0"/>
                    <w:spacing w:before="120" w:after="12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0,007 євро за 1 куб. см об’єму циліндрів двигуна.</w:t>
                  </w:r>
                </w:p>
              </w:tc>
            </w:tr>
          </w:tbl>
          <w:p w:rsidR="00CA6C41" w:rsidRDefault="00CA6C41">
            <w:pPr>
              <w:spacing w:after="0" w:line="240" w:lineRule="auto"/>
              <w:ind w:right="-201" w:firstLine="306"/>
              <w:jc w:val="both"/>
              <w:rPr>
                <w:rFonts w:ascii="Times New Roman" w:eastAsia="Times New Roman" w:hAnsi="Times New Roman" w:cs="Times New Roman"/>
                <w:b/>
                <w:sz w:val="28"/>
                <w:szCs w:val="28"/>
              </w:rPr>
            </w:pPr>
          </w:p>
        </w:tc>
      </w:tr>
      <w:tr w:rsidR="00CA6C41">
        <w:tc>
          <w:tcPr>
            <w:tcW w:w="73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Ставки податку для транспортних засобів, що використовувалися понад 8 років і відповідають коду 8702 згідно з УКТ ЗЕД, застосовуються з коефіцієнтом 50.</w:t>
            </w:r>
          </w:p>
        </w:tc>
        <w:tc>
          <w:tcPr>
            <w:tcW w:w="754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Ставки податку для транспортних засобів, що використовувалися понад 8 років і відповідають коду 8702 згідно з УКТ ЗЕД, застосовуються з коефіцієнтом 50.</w:t>
            </w:r>
          </w:p>
        </w:tc>
      </w:tr>
      <w:tr w:rsidR="00CA6C41">
        <w:tc>
          <w:tcPr>
            <w:tcW w:w="7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215.3.5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автомобілі легкові та інші моторні транспортні засоби, призначені головним чином для перевезення людей, що відповідають товарній позиції 8703 згідно з УКТ ЗЕД </w:t>
            </w:r>
            <w:r>
              <w:rPr>
                <w:rFonts w:ascii="Times New Roman" w:eastAsia="Times New Roman" w:hAnsi="Times New Roman" w:cs="Times New Roman"/>
                <w:sz w:val="28"/>
                <w:szCs w:val="28"/>
              </w:rPr>
              <w:lastRenderedPageBreak/>
              <w:t>(крім моторних транспортних засобів, зазначених у товарній позиції 8702 згідно з УКТ ЗЕД), включаючи вантажопасажирські автомобілі-фургони, гоночні автомобілі, у тому числі автомобілі, які в установленому законодавством порядку подаються до органів, що здійснюють державну реєстрацію транспортних засобів, для реєстрації або перереєстрації у зв’язку із зміною моделі транспортного засобу, що до переобладнання під час ввезення відповідала товарній позиції 8704 згідно з УКТ ЗЕД, а після переобладнання відповідає товарній позиції 8703 згідно з УКТ ЗЕД:</w:t>
            </w:r>
          </w:p>
          <w:p w:rsidR="00CA6C41" w:rsidRDefault="00CA6C41">
            <w:pPr>
              <w:spacing w:after="0" w:line="240" w:lineRule="auto"/>
              <w:ind w:left="-180" w:firstLine="320"/>
              <w:jc w:val="both"/>
              <w:rPr>
                <w:rFonts w:ascii="Times New Roman" w:eastAsia="Times New Roman" w:hAnsi="Times New Roman" w:cs="Times New Roman"/>
                <w:sz w:val="28"/>
                <w:szCs w:val="28"/>
              </w:rPr>
            </w:pPr>
          </w:p>
          <w:p w:rsidR="00CA6C41" w:rsidRDefault="00FC4AC1">
            <w:pPr>
              <w:spacing w:after="0" w:line="240" w:lineRule="auto"/>
              <w:ind w:left="-180"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spacing w:after="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для транспортних засобів, зазначених у т</w:t>
            </w:r>
            <w:r>
              <w:rPr>
                <w:rFonts w:ascii="Times New Roman" w:eastAsia="Times New Roman" w:hAnsi="Times New Roman" w:cs="Times New Roman"/>
                <w:b/>
                <w:sz w:val="28"/>
                <w:szCs w:val="28"/>
              </w:rPr>
              <w:t>оварній позиції 8703 90 10 10</w:t>
            </w:r>
            <w:r>
              <w:rPr>
                <w:rFonts w:ascii="Times New Roman" w:eastAsia="Times New Roman" w:hAnsi="Times New Roman" w:cs="Times New Roman"/>
                <w:sz w:val="28"/>
                <w:szCs w:val="28"/>
              </w:rPr>
              <w:t xml:space="preserve"> згідно з УКТ ЗЕД, оснащених виключно електричними двигунами (одним чи кількома), встановлюється у розмірі 1 євро за 1 кіловат-годину ємності електричного акумулятора таких транспортних засобів.</w:t>
            </w:r>
          </w:p>
          <w:p w:rsidR="00CA6C41" w:rsidRDefault="00FC4AC1">
            <w:pPr>
              <w:spacing w:after="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Ставка податку для транспортних засобів, зазначених у товарних підкатегоріях 8703 10 18 00 (для транспортних засобів, що приводяться в рух тільки електричним двигуном, одним або кількома), </w:t>
            </w:r>
            <w:r>
              <w:rPr>
                <w:rFonts w:ascii="Times New Roman" w:eastAsia="Times New Roman" w:hAnsi="Times New Roman" w:cs="Times New Roman"/>
                <w:b/>
                <w:sz w:val="28"/>
                <w:szCs w:val="28"/>
              </w:rPr>
              <w:t>8703 90 10 90, 8703 90 90 00</w:t>
            </w:r>
            <w:r>
              <w:rPr>
                <w:rFonts w:ascii="Times New Roman" w:eastAsia="Times New Roman" w:hAnsi="Times New Roman" w:cs="Times New Roman"/>
                <w:sz w:val="28"/>
                <w:szCs w:val="28"/>
              </w:rPr>
              <w:t xml:space="preserve"> згідно з УКТ ЗЕД, встановлюється у розмірі 100 євро за 1 штуку.</w:t>
            </w:r>
          </w:p>
        </w:tc>
        <w:tc>
          <w:tcPr>
            <w:tcW w:w="7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41"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215.3.5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автомобілі легкові та інші моторні транспортні засоби, призначені головним чином для перевезення людей, що відповідають товарній позиції 8703 згідно з УКТ ЗЕД </w:t>
            </w:r>
            <w:r>
              <w:rPr>
                <w:rFonts w:ascii="Times New Roman" w:eastAsia="Times New Roman" w:hAnsi="Times New Roman" w:cs="Times New Roman"/>
                <w:sz w:val="28"/>
                <w:szCs w:val="28"/>
              </w:rPr>
              <w:lastRenderedPageBreak/>
              <w:t>(крім моторних транспортних засобів, зазначених у товарній позиції 8702 згідно з УКТ ЗЕД), включаючи вантажопасажирські автомобілі-фургони, гоночні автомобілі, у тому числі автомобілі, які в установленому законодавством порядку подаються до органів, що здійснюють державну реєстрацію транспортних засобів, для реєстрації або перереєстрації у зв’язку із зміною моделі транспортного засобу, що до переобладнання під час ввезення відповідала товарній позиції 8704 згідно з УКТ ЗЕД, а після переобладнання відповідає товарній позиції 8703 згідно з УКТ ЗЕД:</w:t>
            </w:r>
          </w:p>
          <w:p w:rsidR="00CA6C41" w:rsidRDefault="00FC4AC1">
            <w:pPr>
              <w:spacing w:after="0" w:line="240" w:lineRule="auto"/>
              <w:ind w:left="141"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spacing w:after="0" w:line="240" w:lineRule="auto"/>
              <w:ind w:left="141"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для транспортних засобів, зазначених у т</w:t>
            </w:r>
            <w:r>
              <w:rPr>
                <w:rFonts w:ascii="Times New Roman" w:eastAsia="Times New Roman" w:hAnsi="Times New Roman" w:cs="Times New Roman"/>
                <w:b/>
                <w:sz w:val="28"/>
                <w:szCs w:val="28"/>
              </w:rPr>
              <w:t>оварних підкатегоріях 8703 80 10 10, 8703 80 90 10</w:t>
            </w:r>
            <w:r>
              <w:rPr>
                <w:rFonts w:ascii="Times New Roman" w:eastAsia="Times New Roman" w:hAnsi="Times New Roman" w:cs="Times New Roman"/>
                <w:sz w:val="28"/>
                <w:szCs w:val="28"/>
              </w:rPr>
              <w:t xml:space="preserve"> згідно з УКТ ЗЕД, оснащених виключно електричними двигунами (одним чи кількома), встановлюється у розмірі 1 євро за 1 кіловат-годину ємності електричного акумулятора таких транспортних засобів.</w:t>
            </w:r>
          </w:p>
          <w:p w:rsidR="00CA6C41" w:rsidRDefault="00FC4AC1">
            <w:pPr>
              <w:spacing w:after="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Ставка податку для транспортних засобів, зазначених у товарних підкатегоріях 8703 10 18 00 (для транспортних засобів, що приводяться в рух тільки електричним двигуном, одним або кількома), </w:t>
            </w:r>
            <w:r>
              <w:rPr>
                <w:rFonts w:ascii="Times New Roman" w:eastAsia="Times New Roman" w:hAnsi="Times New Roman" w:cs="Times New Roman"/>
                <w:b/>
                <w:sz w:val="28"/>
                <w:szCs w:val="28"/>
              </w:rPr>
              <w:t xml:space="preserve">8703 80 10 90, 8703 80 90 90, 8703 90 00 00 </w:t>
            </w:r>
            <w:r>
              <w:rPr>
                <w:rFonts w:ascii="Times New Roman" w:eastAsia="Times New Roman" w:hAnsi="Times New Roman" w:cs="Times New Roman"/>
                <w:sz w:val="28"/>
                <w:szCs w:val="28"/>
              </w:rPr>
              <w:t>згідно з УКТ ЗЕД, встановлюється у розмірі 100 євро за 1 штуку.</w:t>
            </w:r>
          </w:p>
        </w:tc>
      </w:tr>
      <w:tr w:rsidR="00CA6C41">
        <w:tc>
          <w:tcPr>
            <w:tcW w:w="7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80"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215.3.7. мотоцикли (включаючи мопеди) та велосипеди з допоміжним двигуном, з колясками або без них:</w:t>
            </w:r>
          </w:p>
          <w:tbl>
            <w:tblPr>
              <w:tblStyle w:val="affffff3"/>
              <w:tblW w:w="74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50"/>
              <w:gridCol w:w="3615"/>
              <w:gridCol w:w="2220"/>
            </w:tblGrid>
            <w:tr w:rsidR="00CA6C41">
              <w:trPr>
                <w:trHeight w:val="980"/>
              </w:trPr>
              <w:tc>
                <w:tcPr>
                  <w:tcW w:w="16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left="-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p w:rsidR="00CA6C41" w:rsidRDefault="00FC4AC1">
                  <w:pPr>
                    <w:spacing w:after="0" w:line="240" w:lineRule="auto"/>
                    <w:ind w:left="-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Код товару (продукції) згідно з УКТ ЗЕД</w:t>
                  </w:r>
                </w:p>
              </w:tc>
              <w:tc>
                <w:tcPr>
                  <w:tcW w:w="361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left="-180" w:right="-51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after="0" w:line="240" w:lineRule="auto"/>
                    <w:ind w:left="-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Опис товару (продукції) згідно з УКТ ЗЕД</w:t>
                  </w:r>
                </w:p>
              </w:tc>
              <w:tc>
                <w:tcPr>
                  <w:tcW w:w="222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right="-1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after="0" w:line="240" w:lineRule="auto"/>
                    <w:ind w:left="-141" w:right="-1542"/>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у твердій сумі з одиниці реалізованого товару (продукції) (специфічні)</w:t>
                  </w:r>
                </w:p>
                <w:p w:rsidR="00CA6C41" w:rsidRDefault="00CA6C41">
                  <w:pPr>
                    <w:spacing w:after="0" w:line="240" w:lineRule="auto"/>
                    <w:ind w:left="-141" w:right="-1542"/>
                    <w:rPr>
                      <w:rFonts w:ascii="Times New Roman" w:eastAsia="Times New Roman" w:hAnsi="Times New Roman" w:cs="Times New Roman"/>
                      <w:sz w:val="28"/>
                      <w:szCs w:val="28"/>
                    </w:rPr>
                  </w:pPr>
                </w:p>
                <w:p w:rsidR="00CA6C41" w:rsidRDefault="00CA6C41">
                  <w:pPr>
                    <w:spacing w:after="0" w:line="240" w:lineRule="auto"/>
                    <w:ind w:left="-141" w:right="-1542"/>
                    <w:rPr>
                      <w:rFonts w:ascii="Times New Roman" w:eastAsia="Times New Roman" w:hAnsi="Times New Roman" w:cs="Times New Roman"/>
                      <w:sz w:val="28"/>
                      <w:szCs w:val="28"/>
                    </w:rPr>
                  </w:pPr>
                </w:p>
                <w:p w:rsidR="00CA6C41" w:rsidRDefault="00CA6C41">
                  <w:pPr>
                    <w:spacing w:after="0" w:line="240" w:lineRule="auto"/>
                    <w:ind w:left="-141" w:right="-1542"/>
                    <w:rPr>
                      <w:rFonts w:ascii="Times New Roman" w:eastAsia="Times New Roman" w:hAnsi="Times New Roman" w:cs="Times New Roman"/>
                      <w:sz w:val="28"/>
                      <w:szCs w:val="28"/>
                    </w:rPr>
                  </w:pPr>
                </w:p>
              </w:tc>
            </w:tr>
            <w:tr w:rsidR="00CA6C41">
              <w:trPr>
                <w:trHeight w:val="785"/>
              </w:trPr>
              <w:tc>
                <w:tcPr>
                  <w:tcW w:w="16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left="-1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8711 10 00 00</w:t>
                  </w:r>
                </w:p>
              </w:tc>
              <w:tc>
                <w:tcPr>
                  <w:tcW w:w="36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left="14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spacing w:after="0" w:line="240" w:lineRule="auto"/>
                    <w:ind w:left="1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Мотоцикли (включаючи мопеди) та велосипеди з допоміжним двигуном, з колясками або без них, з двигуном внутрішнього згоряння з кривошипно-шатунним механізмом і робочим об’ємом циліндрів двигуна не більш як 50 куб. см</w:t>
                  </w: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spacing w:after="0" w:line="240" w:lineRule="auto"/>
                    <w:ind w:right="-125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0,062 євро за 1 куб. см об’єму циліндр</w:t>
                  </w:r>
                  <w:r>
                    <w:rPr>
                      <w:rFonts w:ascii="Times New Roman" w:eastAsia="Times New Roman" w:hAnsi="Times New Roman" w:cs="Times New Roman"/>
                      <w:b/>
                      <w:sz w:val="28"/>
                      <w:szCs w:val="28"/>
                    </w:rPr>
                    <w:t>ів двигуна</w:t>
                  </w:r>
                </w:p>
              </w:tc>
            </w:tr>
            <w:tr w:rsidR="00CA6C41">
              <w:trPr>
                <w:trHeight w:val="785"/>
              </w:trPr>
              <w:tc>
                <w:tcPr>
                  <w:tcW w:w="16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left="-1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8711 20</w:t>
                  </w:r>
                </w:p>
              </w:tc>
              <w:tc>
                <w:tcPr>
                  <w:tcW w:w="36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left="1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after="0" w:line="240" w:lineRule="auto"/>
                    <w:ind w:left="1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Мотоцикли (включаючи мопеди) та велосипеди з допоміжним двигуном, з колясками або без них, з двигуном внутрішнього </w:t>
                  </w:r>
                  <w:r>
                    <w:rPr>
                      <w:rFonts w:ascii="Times New Roman" w:eastAsia="Times New Roman" w:hAnsi="Times New Roman" w:cs="Times New Roman"/>
                      <w:sz w:val="28"/>
                      <w:szCs w:val="28"/>
                    </w:rPr>
                    <w:lastRenderedPageBreak/>
                    <w:t>згоряння з кривошипно-шатунним механізмом і робочим об’ємом циліндрів двигуна понад 50 куб. см, але не більш як 250 куб. см</w:t>
                  </w: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0,062 євро за 1 куб. см об’єму циліндрів двигуна</w:t>
                  </w:r>
                </w:p>
              </w:tc>
            </w:tr>
            <w:tr w:rsidR="00CA6C41">
              <w:trPr>
                <w:trHeight w:val="785"/>
              </w:trPr>
              <w:tc>
                <w:tcPr>
                  <w:tcW w:w="16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left="-1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8711 30</w:t>
                  </w:r>
                </w:p>
              </w:tc>
              <w:tc>
                <w:tcPr>
                  <w:tcW w:w="36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left="-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after="0" w:line="240" w:lineRule="auto"/>
                    <w:ind w:left="1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Мотоцикли (включаючи мопеди) та велосипеди з допоміжним двигуном, з колясками або без них, з двигуном внутрішнього згоряння з кривошипно-шатунним механізмом і робочим об’ємом циліндрів двигуна понад 250 куб. см, але не більш як 500 куб. см</w:t>
                  </w: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p w:rsidR="00CA6C41" w:rsidRDefault="00CA6C41">
                  <w:pPr>
                    <w:spacing w:after="0" w:line="240" w:lineRule="auto"/>
                    <w:ind w:left="141"/>
                    <w:jc w:val="both"/>
                    <w:rPr>
                      <w:rFonts w:ascii="Times New Roman" w:eastAsia="Times New Roman" w:hAnsi="Times New Roman" w:cs="Times New Roman"/>
                      <w:sz w:val="28"/>
                      <w:szCs w:val="28"/>
                    </w:rPr>
                  </w:pP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0,062 євро за 1 куб. см об’єму циліндрів двигуна</w:t>
                  </w:r>
                </w:p>
              </w:tc>
            </w:tr>
            <w:tr w:rsidR="00CA6C41">
              <w:trPr>
                <w:trHeight w:val="785"/>
              </w:trPr>
              <w:tc>
                <w:tcPr>
                  <w:tcW w:w="16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8711 40 00 00</w:t>
                  </w:r>
                </w:p>
              </w:tc>
              <w:tc>
                <w:tcPr>
                  <w:tcW w:w="36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Мотоцикли (включаючи мопеди) та велосипеди з допоміжним двигуном, з колясками або без них, з двигуном внутрішнього згоряння з кривошипно-шатунним механізмом і робочим об’ємом циліндрів понад 500 куб. см, але не більш як 800 куб. см</w:t>
                  </w: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0,443 євро за 1 куб. см об’єму циліндрів двигуна</w:t>
                  </w:r>
                </w:p>
              </w:tc>
            </w:tr>
            <w:tr w:rsidR="00CA6C41">
              <w:trPr>
                <w:trHeight w:val="785"/>
              </w:trPr>
              <w:tc>
                <w:tcPr>
                  <w:tcW w:w="16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8711 50 00 00</w:t>
                  </w:r>
                </w:p>
              </w:tc>
              <w:tc>
                <w:tcPr>
                  <w:tcW w:w="36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Мотоцикли (включаючи мопеди) та велосипеди з допоміжним двигуном, з колясками або без них, з двигуном внутрішнього згоряння з кривошипно-</w:t>
                  </w:r>
                  <w:r>
                    <w:rPr>
                      <w:rFonts w:ascii="Times New Roman" w:eastAsia="Times New Roman" w:hAnsi="Times New Roman" w:cs="Times New Roman"/>
                      <w:sz w:val="28"/>
                      <w:szCs w:val="28"/>
                    </w:rPr>
                    <w:lastRenderedPageBreak/>
                    <w:t>шатунним механізмом і робочим об’ємом циліндрів понад 800 куб. см</w:t>
                  </w: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0,447 євро за 1 куб. см об’єму циліндрів двигуна</w:t>
                  </w:r>
                </w:p>
              </w:tc>
            </w:tr>
            <w:tr w:rsidR="00CA6C41">
              <w:trPr>
                <w:trHeight w:val="785"/>
              </w:trPr>
              <w:tc>
                <w:tcPr>
                  <w:tcW w:w="16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left="-1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spacing w:after="0" w:line="240" w:lineRule="auto"/>
                    <w:ind w:left="14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8711 90</w:t>
                  </w:r>
                </w:p>
              </w:tc>
              <w:tc>
                <w:tcPr>
                  <w:tcW w:w="36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ind w:left="-1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Мотоцикли (включаючи мопеди) та велосипеди з електричним двигуном, з колясками або без них, тобто крім тих, що з двигуном внутрішнього згоряння з кривошипно-шатунним механізмом; коляски</w:t>
                  </w:r>
                </w:p>
                <w:p w:rsidR="00CA6C41" w:rsidRDefault="00CA6C41">
                  <w:pPr>
                    <w:spacing w:after="0" w:line="240" w:lineRule="auto"/>
                    <w:jc w:val="both"/>
                    <w:rPr>
                      <w:rFonts w:ascii="Times New Roman" w:eastAsia="Times New Roman" w:hAnsi="Times New Roman" w:cs="Times New Roman"/>
                      <w:sz w:val="28"/>
                      <w:szCs w:val="28"/>
                    </w:rPr>
                  </w:pPr>
                </w:p>
                <w:p w:rsidR="00CA6C41" w:rsidRDefault="00CA6C41">
                  <w:pPr>
                    <w:spacing w:after="0" w:line="240" w:lineRule="auto"/>
                    <w:jc w:val="both"/>
                    <w:rPr>
                      <w:rFonts w:ascii="Times New Roman" w:eastAsia="Times New Roman" w:hAnsi="Times New Roman" w:cs="Times New Roman"/>
                      <w:sz w:val="28"/>
                      <w:szCs w:val="28"/>
                    </w:rPr>
                  </w:pP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 євро за 1 штуку</w:t>
                  </w:r>
                </w:p>
              </w:tc>
            </w:tr>
          </w:tbl>
          <w:p w:rsidR="00CA6C41" w:rsidRDefault="00CA6C41">
            <w:pPr>
              <w:spacing w:after="0" w:line="240" w:lineRule="auto"/>
              <w:ind w:left="-180"/>
              <w:jc w:val="both"/>
              <w:rPr>
                <w:rFonts w:ascii="Times New Roman" w:eastAsia="Times New Roman" w:hAnsi="Times New Roman" w:cs="Times New Roman"/>
                <w:b/>
                <w:sz w:val="28"/>
                <w:szCs w:val="28"/>
              </w:rPr>
            </w:pPr>
          </w:p>
        </w:tc>
        <w:tc>
          <w:tcPr>
            <w:tcW w:w="7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80"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215.3.7. мотоцикли (включаючи мопеди) та велосипеди з допоміжним двигуном, з колясками або без них:</w:t>
            </w:r>
          </w:p>
          <w:tbl>
            <w:tblPr>
              <w:tblStyle w:val="affffff4"/>
              <w:tblW w:w="67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95"/>
              <w:gridCol w:w="2730"/>
              <w:gridCol w:w="2295"/>
            </w:tblGrid>
            <w:tr w:rsidR="00CA6C41">
              <w:trPr>
                <w:trHeight w:val="1220"/>
              </w:trPr>
              <w:tc>
                <w:tcPr>
                  <w:tcW w:w="16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left="-180" w:right="-275"/>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Код товару (продукції) згідно з УКТ ЗЕД</w:t>
                  </w:r>
                </w:p>
              </w:tc>
              <w:tc>
                <w:tcPr>
                  <w:tcW w:w="273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left="-180" w:right="-455"/>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Опис товару (продукції) згідно з УКТ ЗЕД</w:t>
                  </w:r>
                </w:p>
              </w:tc>
              <w:tc>
                <w:tcPr>
                  <w:tcW w:w="229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у твердій сумі з одиниці реалізованого товару (продукції) (специфічні)</w:t>
                  </w:r>
                </w:p>
              </w:tc>
            </w:tr>
            <w:tr w:rsidR="00CA6C41">
              <w:trPr>
                <w:trHeight w:val="815"/>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8711 10 00 00</w:t>
                  </w:r>
                </w:p>
              </w:tc>
              <w:tc>
                <w:tcPr>
                  <w:tcW w:w="27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Мотоцикли (включаючи мопеди) та велосипеди з допоміжним двигуном, з колясками або без них, з </w:t>
                  </w:r>
                  <w:r>
                    <w:rPr>
                      <w:rFonts w:ascii="Times New Roman" w:eastAsia="Times New Roman" w:hAnsi="Times New Roman" w:cs="Times New Roman"/>
                      <w:b/>
                      <w:sz w:val="28"/>
                      <w:szCs w:val="28"/>
                    </w:rPr>
                    <w:t xml:space="preserve">поршневим двигуном </w:t>
                  </w:r>
                  <w:r>
                    <w:rPr>
                      <w:rFonts w:ascii="Times New Roman" w:eastAsia="Times New Roman" w:hAnsi="Times New Roman" w:cs="Times New Roman"/>
                      <w:sz w:val="28"/>
                      <w:szCs w:val="28"/>
                    </w:rPr>
                    <w:t>внутрішнього згоряння, з кривошипно-шатунним механізмом і робочим об’ємом циліндрів двигуна не більш як 50 куб. см</w:t>
                  </w:r>
                </w:p>
              </w:tc>
              <w:tc>
                <w:tcPr>
                  <w:tcW w:w="22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0,062 євро за 1 куб. см об’єму циліндрів двигуна</w:t>
                  </w:r>
                </w:p>
              </w:tc>
            </w:tr>
            <w:tr w:rsidR="00CA6C41">
              <w:trPr>
                <w:trHeight w:val="995"/>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8711 20</w:t>
                  </w:r>
                </w:p>
              </w:tc>
              <w:tc>
                <w:tcPr>
                  <w:tcW w:w="27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Мотоцикли (включаючи мопеди) та велосипеди з допоміжним </w:t>
                  </w:r>
                  <w:r>
                    <w:rPr>
                      <w:rFonts w:ascii="Times New Roman" w:eastAsia="Times New Roman" w:hAnsi="Times New Roman" w:cs="Times New Roman"/>
                      <w:sz w:val="28"/>
                      <w:szCs w:val="28"/>
                    </w:rPr>
                    <w:lastRenderedPageBreak/>
                    <w:t xml:space="preserve">двигуном, з колясками або без них, </w:t>
                  </w:r>
                  <w:r>
                    <w:rPr>
                      <w:rFonts w:ascii="Times New Roman" w:eastAsia="Times New Roman" w:hAnsi="Times New Roman" w:cs="Times New Roman"/>
                      <w:b/>
                      <w:sz w:val="28"/>
                      <w:szCs w:val="28"/>
                    </w:rPr>
                    <w:t xml:space="preserve">з поршневим двигуном </w:t>
                  </w:r>
                  <w:r>
                    <w:rPr>
                      <w:rFonts w:ascii="Times New Roman" w:eastAsia="Times New Roman" w:hAnsi="Times New Roman" w:cs="Times New Roman"/>
                      <w:sz w:val="28"/>
                      <w:szCs w:val="28"/>
                    </w:rPr>
                    <w:t>внутрішнього згоряння, з кривошипно-шатунним механізмом і робочим об’ємом циліндрів двигуна понад 50 куб. см, але не більш як 250 куб. см:</w:t>
                  </w:r>
                </w:p>
              </w:tc>
              <w:tc>
                <w:tcPr>
                  <w:tcW w:w="22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0,062 євро за 1 куб. см об’єму </w:t>
                  </w:r>
                  <w:r>
                    <w:rPr>
                      <w:rFonts w:ascii="Times New Roman" w:eastAsia="Times New Roman" w:hAnsi="Times New Roman" w:cs="Times New Roman"/>
                      <w:sz w:val="28"/>
                      <w:szCs w:val="28"/>
                    </w:rPr>
                    <w:lastRenderedPageBreak/>
                    <w:t>циліндрів двигуна</w:t>
                  </w:r>
                </w:p>
              </w:tc>
            </w:tr>
            <w:tr w:rsidR="00CA6C41">
              <w:trPr>
                <w:trHeight w:val="995"/>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8711 30</w:t>
                  </w:r>
                </w:p>
              </w:tc>
              <w:tc>
                <w:tcPr>
                  <w:tcW w:w="27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left="1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Мотоцикли (включаючи мопеди) та велосипеди з допоміжним двигуном, з колясками або без них, </w:t>
                  </w:r>
                  <w:r>
                    <w:rPr>
                      <w:rFonts w:ascii="Times New Roman" w:eastAsia="Times New Roman" w:hAnsi="Times New Roman" w:cs="Times New Roman"/>
                      <w:b/>
                      <w:sz w:val="28"/>
                      <w:szCs w:val="28"/>
                    </w:rPr>
                    <w:t xml:space="preserve">з поршневим двигуном </w:t>
                  </w:r>
                  <w:r>
                    <w:rPr>
                      <w:rFonts w:ascii="Times New Roman" w:eastAsia="Times New Roman" w:hAnsi="Times New Roman" w:cs="Times New Roman"/>
                      <w:sz w:val="28"/>
                      <w:szCs w:val="28"/>
                    </w:rPr>
                    <w:t xml:space="preserve">внутрішнього згоряння, з кривошипно-шатунним механізмом і </w:t>
                  </w:r>
                  <w:r>
                    <w:rPr>
                      <w:rFonts w:ascii="Times New Roman" w:eastAsia="Times New Roman" w:hAnsi="Times New Roman" w:cs="Times New Roman"/>
                      <w:sz w:val="28"/>
                      <w:szCs w:val="28"/>
                    </w:rPr>
                    <w:lastRenderedPageBreak/>
                    <w:t>робочим об’ємом циліндрів двигуна понад 250 куб. см, але не більш як 500 куб. см:</w:t>
                  </w:r>
                </w:p>
              </w:tc>
              <w:tc>
                <w:tcPr>
                  <w:tcW w:w="22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0,062 євро за 1 куб. см об’єму циліндрів двигуна</w:t>
                  </w:r>
                </w:p>
              </w:tc>
            </w:tr>
            <w:tr w:rsidR="00CA6C41">
              <w:trPr>
                <w:trHeight w:val="995"/>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8711 40 00 00</w:t>
                  </w:r>
                </w:p>
              </w:tc>
              <w:tc>
                <w:tcPr>
                  <w:tcW w:w="27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left="1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Мотоцикли (включаючи мопеди) та велосипеди з допоміжним двигуном, з колясками або без них, </w:t>
                  </w:r>
                  <w:r>
                    <w:rPr>
                      <w:rFonts w:ascii="Times New Roman" w:eastAsia="Times New Roman" w:hAnsi="Times New Roman" w:cs="Times New Roman"/>
                      <w:b/>
                      <w:sz w:val="28"/>
                      <w:szCs w:val="28"/>
                    </w:rPr>
                    <w:t xml:space="preserve">з поршневим двигуном </w:t>
                  </w:r>
                  <w:r>
                    <w:rPr>
                      <w:rFonts w:ascii="Times New Roman" w:eastAsia="Times New Roman" w:hAnsi="Times New Roman" w:cs="Times New Roman"/>
                      <w:sz w:val="28"/>
                      <w:szCs w:val="28"/>
                    </w:rPr>
                    <w:t>внутрішнього згоряння, з кривошипно-шатунним механізмом і робочим об’ємом циліндрів двигуна понад 500 куб. см, але не більш як 800 куб. см</w:t>
                  </w:r>
                </w:p>
              </w:tc>
              <w:tc>
                <w:tcPr>
                  <w:tcW w:w="22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0,443 євро за 1 куб. см об’єму циліндрів двигуна</w:t>
                  </w:r>
                </w:p>
              </w:tc>
            </w:tr>
            <w:tr w:rsidR="00CA6C41">
              <w:trPr>
                <w:trHeight w:val="815"/>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left="1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8711 50 00 00</w:t>
                  </w:r>
                </w:p>
              </w:tc>
              <w:tc>
                <w:tcPr>
                  <w:tcW w:w="27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left="1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Мотоцикли (включаючи мопеди) та </w:t>
                  </w:r>
                  <w:r>
                    <w:rPr>
                      <w:rFonts w:ascii="Times New Roman" w:eastAsia="Times New Roman" w:hAnsi="Times New Roman" w:cs="Times New Roman"/>
                      <w:sz w:val="28"/>
                      <w:szCs w:val="28"/>
                    </w:rPr>
                    <w:lastRenderedPageBreak/>
                    <w:t xml:space="preserve">велосипеди з допоміжним двигуном, з колясками або без них, </w:t>
                  </w:r>
                  <w:r>
                    <w:rPr>
                      <w:rFonts w:ascii="Times New Roman" w:eastAsia="Times New Roman" w:hAnsi="Times New Roman" w:cs="Times New Roman"/>
                      <w:b/>
                      <w:sz w:val="28"/>
                      <w:szCs w:val="28"/>
                    </w:rPr>
                    <w:t xml:space="preserve">з поршневим двигуном </w:t>
                  </w:r>
                  <w:r>
                    <w:rPr>
                      <w:rFonts w:ascii="Times New Roman" w:eastAsia="Times New Roman" w:hAnsi="Times New Roman" w:cs="Times New Roman"/>
                      <w:sz w:val="28"/>
                      <w:szCs w:val="28"/>
                    </w:rPr>
                    <w:t>внутрішнього згоряння, з кривошипно-шатунним механізмом і робочим об’ємом циліндрів двигуна понад 800 куб. см</w:t>
                  </w:r>
                </w:p>
              </w:tc>
              <w:tc>
                <w:tcPr>
                  <w:tcW w:w="22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0,447 євро за 1 куб. см об’єму </w:t>
                  </w:r>
                  <w:r>
                    <w:rPr>
                      <w:rFonts w:ascii="Times New Roman" w:eastAsia="Times New Roman" w:hAnsi="Times New Roman" w:cs="Times New Roman"/>
                      <w:sz w:val="28"/>
                      <w:szCs w:val="28"/>
                    </w:rPr>
                    <w:lastRenderedPageBreak/>
                    <w:t>циліндрів двигуна</w:t>
                  </w:r>
                </w:p>
              </w:tc>
            </w:tr>
            <w:tr w:rsidR="00CA6C41">
              <w:trPr>
                <w:trHeight w:val="815"/>
              </w:trPr>
              <w:tc>
                <w:tcPr>
                  <w:tcW w:w="169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left="14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8711 60</w:t>
                  </w:r>
                </w:p>
              </w:tc>
              <w:tc>
                <w:tcPr>
                  <w:tcW w:w="27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Мотоцикли (включаючи мопеди) та велосипеди з електричним двигуном, з колясками або без них, тобто крім тих, що з </w:t>
                  </w:r>
                  <w:r>
                    <w:rPr>
                      <w:rFonts w:ascii="Times New Roman" w:eastAsia="Times New Roman" w:hAnsi="Times New Roman" w:cs="Times New Roman"/>
                      <w:b/>
                      <w:sz w:val="28"/>
                      <w:szCs w:val="28"/>
                    </w:rPr>
                    <w:t xml:space="preserve">поршневим двигуном </w:t>
                  </w:r>
                  <w:r>
                    <w:rPr>
                      <w:rFonts w:ascii="Times New Roman" w:eastAsia="Times New Roman" w:hAnsi="Times New Roman" w:cs="Times New Roman"/>
                      <w:sz w:val="28"/>
                      <w:szCs w:val="28"/>
                    </w:rPr>
                    <w:t>внутрішнього згоряння з кривошипно-шатунним механізмом; коляски</w:t>
                  </w:r>
                </w:p>
              </w:tc>
              <w:tc>
                <w:tcPr>
                  <w:tcW w:w="22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120" w:after="120" w:line="240"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 євро за 1 штуку</w:t>
                  </w:r>
                </w:p>
              </w:tc>
            </w:tr>
          </w:tbl>
          <w:p w:rsidR="00CA6C41" w:rsidRDefault="00CA6C41">
            <w:pPr>
              <w:spacing w:after="0" w:line="240" w:lineRule="auto"/>
              <w:ind w:left="-180"/>
              <w:jc w:val="both"/>
              <w:rPr>
                <w:rFonts w:ascii="Times New Roman" w:eastAsia="Times New Roman" w:hAnsi="Times New Roman" w:cs="Times New Roman"/>
                <w:b/>
                <w:sz w:val="28"/>
                <w:szCs w:val="28"/>
              </w:rPr>
            </w:pPr>
          </w:p>
        </w:tc>
      </w:tr>
      <w:tr w:rsidR="00CA6C41">
        <w:tc>
          <w:tcPr>
            <w:tcW w:w="7350" w:type="dxa"/>
            <w:shd w:val="clear" w:color="auto" w:fill="auto"/>
            <w:tcMar>
              <w:top w:w="0" w:type="dxa"/>
              <w:left w:w="108" w:type="dxa"/>
              <w:bottom w:w="0" w:type="dxa"/>
              <w:right w:w="108" w:type="dxa"/>
            </w:tcMar>
          </w:tcPr>
          <w:p w:rsidR="00CA6C41" w:rsidRDefault="00FC4AC1">
            <w:pP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215.3.8. причепи та напівпричепи для тимчасового проживання у кемпінгах, типу причіпних будиночків:</w:t>
            </w:r>
          </w:p>
          <w:tbl>
            <w:tblPr>
              <w:tblStyle w:val="affffff5"/>
              <w:tblW w:w="75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92"/>
              <w:gridCol w:w="3975"/>
              <w:gridCol w:w="2423"/>
            </w:tblGrid>
            <w:tr w:rsidR="00CA6C41">
              <w:trPr>
                <w:trHeight w:val="1355"/>
              </w:trPr>
              <w:tc>
                <w:tcPr>
                  <w:tcW w:w="11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Код товару (продукції) згідно з УКТ ЗЕД</w:t>
                  </w:r>
                </w:p>
              </w:tc>
              <w:tc>
                <w:tcPr>
                  <w:tcW w:w="39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Опис товару (продукції) згідно з УКТ ЗЕД</w:t>
                  </w:r>
                </w:p>
              </w:tc>
              <w:tc>
                <w:tcPr>
                  <w:tcW w:w="242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у твердій сумі з одиниці реалізованого товару (продукції) (специфічні)</w:t>
                  </w:r>
                </w:p>
              </w:tc>
            </w:tr>
            <w:tr w:rsidR="00CA6C41">
              <w:trPr>
                <w:trHeight w:val="1175"/>
              </w:trPr>
              <w:tc>
                <w:tcPr>
                  <w:tcW w:w="11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8716 10 99 00</w:t>
                  </w:r>
                </w:p>
              </w:tc>
              <w:tc>
                <w:tcPr>
                  <w:tcW w:w="397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причепи та напівпричепи для тимчасового проживання у кемпінгах, типу причіпних будиночків масою понад</w:t>
                  </w:r>
                  <w:r>
                    <w:rPr>
                      <w:rFonts w:ascii="Times New Roman" w:eastAsia="Times New Roman" w:hAnsi="Times New Roman" w:cs="Times New Roman"/>
                      <w:b/>
                      <w:sz w:val="28"/>
                      <w:szCs w:val="28"/>
                    </w:rPr>
                    <w:t xml:space="preserve"> 3500 кг, </w:t>
                  </w:r>
                  <w:r>
                    <w:rPr>
                      <w:rFonts w:ascii="Times New Roman" w:eastAsia="Times New Roman" w:hAnsi="Times New Roman" w:cs="Times New Roman"/>
                      <w:sz w:val="28"/>
                      <w:szCs w:val="28"/>
                    </w:rPr>
                    <w:t>крім тих, що складаються</w:t>
                  </w:r>
                </w:p>
              </w:tc>
              <w:tc>
                <w:tcPr>
                  <w:tcW w:w="2423"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109 євро за 1 штуку</w:t>
                  </w:r>
                </w:p>
              </w:tc>
            </w:tr>
          </w:tbl>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tc>
        <w:tc>
          <w:tcPr>
            <w:tcW w:w="7545" w:type="dxa"/>
            <w:shd w:val="clear" w:color="auto" w:fill="auto"/>
            <w:tcMar>
              <w:top w:w="0" w:type="dxa"/>
              <w:left w:w="108" w:type="dxa"/>
              <w:bottom w:w="0" w:type="dxa"/>
              <w:right w:w="108" w:type="dxa"/>
            </w:tcMar>
          </w:tcPr>
          <w:p w:rsidR="00CA6C41" w:rsidRDefault="00FC4AC1">
            <w:pP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215.3.8. причепи та напівпричепи для тимчасового проживання у кемпінгах, типу причіпних будиночків:</w:t>
            </w:r>
          </w:p>
          <w:tbl>
            <w:tblPr>
              <w:tblStyle w:val="affffff6"/>
              <w:tblW w:w="688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15"/>
              <w:gridCol w:w="3165"/>
              <w:gridCol w:w="2201"/>
            </w:tblGrid>
            <w:tr w:rsidR="00CA6C41">
              <w:trPr>
                <w:trHeight w:val="1355"/>
              </w:trPr>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Код товару (продукції) згідно з УКТ ЗЕД</w:t>
                  </w:r>
                </w:p>
              </w:tc>
              <w:tc>
                <w:tcPr>
                  <w:tcW w:w="31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Опис товару (продукції) згідно з УКТ ЗЕД</w:t>
                  </w:r>
                </w:p>
              </w:tc>
              <w:tc>
                <w:tcPr>
                  <w:tcW w:w="220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у твердій сумі з одиниці реалізованого товару (продукції) (специфічні)</w:t>
                  </w:r>
                </w:p>
              </w:tc>
            </w:tr>
            <w:tr w:rsidR="00CA6C41">
              <w:trPr>
                <w:trHeight w:val="117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8716 10 98 00</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причепи та напівпричепи для тимчасового проживання у кемпінгах, типу причіпних будиночків масою понад </w:t>
                  </w:r>
                  <w:r>
                    <w:rPr>
                      <w:rFonts w:ascii="Times New Roman" w:eastAsia="Times New Roman" w:hAnsi="Times New Roman" w:cs="Times New Roman"/>
                      <w:b/>
                      <w:sz w:val="28"/>
                      <w:szCs w:val="28"/>
                    </w:rPr>
                    <w:t>1600 кг</w:t>
                  </w:r>
                  <w:r>
                    <w:rPr>
                      <w:rFonts w:ascii="Times New Roman" w:eastAsia="Times New Roman" w:hAnsi="Times New Roman" w:cs="Times New Roman"/>
                      <w:sz w:val="28"/>
                      <w:szCs w:val="28"/>
                    </w:rPr>
                    <w:t>, крім тих, що складаються</w:t>
                  </w:r>
                </w:p>
              </w:tc>
              <w:tc>
                <w:tcPr>
                  <w:tcW w:w="2201"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spacing w:before="240" w:after="24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109 євро за 1 штуку</w:t>
                  </w:r>
                </w:p>
              </w:tc>
            </w:tr>
          </w:tbl>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tc>
      </w:tr>
      <w:tr w:rsidR="00CA6C41">
        <w:tc>
          <w:tcPr>
            <w:tcW w:w="73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222. </w:t>
            </w:r>
            <w:r>
              <w:rPr>
                <w:rFonts w:ascii="Times New Roman" w:eastAsia="Times New Roman" w:hAnsi="Times New Roman" w:cs="Times New Roman"/>
                <w:sz w:val="28"/>
                <w:szCs w:val="28"/>
              </w:rPr>
              <w:t>Порядок і строки сплати податку</w:t>
            </w:r>
          </w:p>
        </w:tc>
        <w:tc>
          <w:tcPr>
            <w:tcW w:w="754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222. </w:t>
            </w:r>
            <w:r>
              <w:rPr>
                <w:rFonts w:ascii="Times New Roman" w:eastAsia="Times New Roman" w:hAnsi="Times New Roman" w:cs="Times New Roman"/>
                <w:sz w:val="28"/>
                <w:szCs w:val="28"/>
              </w:rPr>
              <w:t>Порядок і строки сплати податку</w:t>
            </w:r>
          </w:p>
        </w:tc>
      </w:tr>
      <w:tr w:rsidR="00CA6C41">
        <w:tc>
          <w:tcPr>
            <w:tcW w:w="73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222.1.2. Суми податку з алкогольних напоїв, для виробництва яких використовується спирт етиловий </w:t>
            </w:r>
            <w:r>
              <w:rPr>
                <w:rFonts w:ascii="Times New Roman" w:eastAsia="Times New Roman" w:hAnsi="Times New Roman" w:cs="Times New Roman"/>
                <w:sz w:val="28"/>
                <w:szCs w:val="28"/>
              </w:rPr>
              <w:lastRenderedPageBreak/>
              <w:t xml:space="preserve">неденатурований, сплачуються при придбанні марок акцизного податку.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w:t>
            </w:r>
            <w:r>
              <w:rPr>
                <w:rFonts w:ascii="Times New Roman" w:eastAsia="Times New Roman" w:hAnsi="Times New Roman" w:cs="Times New Roman"/>
                <w:b/>
                <w:sz w:val="28"/>
                <w:szCs w:val="28"/>
              </w:rPr>
              <w:t>пункту 126.2 статті 126</w:t>
            </w:r>
            <w:r>
              <w:rPr>
                <w:rFonts w:ascii="Times New Roman" w:eastAsia="Times New Roman" w:hAnsi="Times New Roman" w:cs="Times New Roman"/>
                <w:sz w:val="28"/>
                <w:szCs w:val="28"/>
              </w:rPr>
              <w:t xml:space="preserve"> цього Кодексу.</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tc>
        <w:tc>
          <w:tcPr>
            <w:tcW w:w="754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222.1.2. Суми податку з алкогольних напоїв, для виробництва яких використовується спирт етиловий </w:t>
            </w:r>
            <w:r>
              <w:rPr>
                <w:rFonts w:ascii="Times New Roman" w:eastAsia="Times New Roman" w:hAnsi="Times New Roman" w:cs="Times New Roman"/>
                <w:sz w:val="28"/>
                <w:szCs w:val="28"/>
              </w:rPr>
              <w:lastRenderedPageBreak/>
              <w:t xml:space="preserve">неденатурований, сплачуються при придбанні марок акцизного податку. </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w:t>
            </w:r>
            <w:r>
              <w:rPr>
                <w:rFonts w:ascii="Times New Roman" w:eastAsia="Times New Roman" w:hAnsi="Times New Roman" w:cs="Times New Roman"/>
                <w:b/>
                <w:sz w:val="28"/>
                <w:szCs w:val="28"/>
              </w:rPr>
              <w:t>пункту 124.2 статті 124</w:t>
            </w:r>
            <w:r>
              <w:rPr>
                <w:rFonts w:ascii="Times New Roman" w:eastAsia="Times New Roman" w:hAnsi="Times New Roman" w:cs="Times New Roman"/>
                <w:sz w:val="28"/>
                <w:szCs w:val="28"/>
              </w:rPr>
              <w:t xml:space="preserve"> цього Кодексу.</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tc>
      </w:tr>
      <w:tr w:rsidR="00CA6C41">
        <w:tc>
          <w:tcPr>
            <w:tcW w:w="7350" w:type="dxa"/>
            <w:shd w:val="clear" w:color="auto" w:fill="auto"/>
            <w:tcMar>
              <w:top w:w="100" w:type="dxa"/>
              <w:left w:w="100" w:type="dxa"/>
              <w:bottom w:w="100" w:type="dxa"/>
              <w:right w:w="100" w:type="dxa"/>
            </w:tcMar>
          </w:tcPr>
          <w:p w:rsidR="00CA6C41" w:rsidRDefault="00FC4AC1">
            <w:pPr>
              <w:pStyle w:val="3"/>
              <w:spacing w:before="240" w:after="0"/>
              <w:ind w:firstLine="280"/>
              <w:jc w:val="both"/>
              <w:rPr>
                <w:sz w:val="28"/>
                <w:szCs w:val="28"/>
              </w:rPr>
            </w:pPr>
            <w:r>
              <w:rPr>
                <w:sz w:val="28"/>
                <w:szCs w:val="28"/>
              </w:rPr>
              <w:lastRenderedPageBreak/>
              <w:t>Стаття 226. Виготовлення, зберігання, продаж марок акцизного податку та маркування алкогольних напоїв і тютюнових виробів</w:t>
            </w:r>
          </w:p>
        </w:tc>
        <w:tc>
          <w:tcPr>
            <w:tcW w:w="7545" w:type="dxa"/>
            <w:shd w:val="clear" w:color="auto" w:fill="auto"/>
            <w:tcMar>
              <w:top w:w="100" w:type="dxa"/>
              <w:left w:w="100" w:type="dxa"/>
              <w:bottom w:w="100" w:type="dxa"/>
              <w:right w:w="100" w:type="dxa"/>
            </w:tcMar>
          </w:tcPr>
          <w:p w:rsidR="00CA6C41" w:rsidRDefault="00FC4AC1">
            <w:pPr>
              <w:pStyle w:val="3"/>
              <w:spacing w:before="240" w:after="0"/>
              <w:ind w:firstLine="280"/>
              <w:jc w:val="both"/>
              <w:rPr>
                <w:sz w:val="28"/>
                <w:szCs w:val="28"/>
              </w:rPr>
            </w:pPr>
            <w:r>
              <w:rPr>
                <w:sz w:val="28"/>
                <w:szCs w:val="28"/>
              </w:rPr>
              <w:t>Стаття 226. Виготовлення, зберігання, продаж марок акцизного податку та маркування алкогольних напоїв і тютюнових виробів</w:t>
            </w:r>
          </w:p>
        </w:tc>
      </w:tr>
      <w:tr w:rsidR="00CA6C41">
        <w:tc>
          <w:tcPr>
            <w:tcW w:w="7350" w:type="dxa"/>
            <w:shd w:val="clear" w:color="auto" w:fill="auto"/>
            <w:tcMar>
              <w:top w:w="100" w:type="dxa"/>
              <w:left w:w="100" w:type="dxa"/>
              <w:bottom w:w="100" w:type="dxa"/>
              <w:right w:w="100" w:type="dxa"/>
            </w:tcMar>
          </w:tcPr>
          <w:p w:rsidR="00CA6C41" w:rsidRDefault="00FC4AC1">
            <w:pPr>
              <w:pStyle w:val="3"/>
              <w:spacing w:before="240" w:after="240"/>
              <w:ind w:firstLine="280"/>
              <w:jc w:val="both"/>
              <w:rPr>
                <w:b w:val="0"/>
                <w:sz w:val="28"/>
                <w:szCs w:val="28"/>
              </w:rPr>
            </w:pPr>
            <w:r>
              <w:rPr>
                <w:b w:val="0"/>
                <w:sz w:val="28"/>
                <w:szCs w:val="28"/>
              </w:rPr>
              <w:t xml:space="preserve">226.6. Маркуванню підлягають усі алкогольні напої з вмістом спирту етилового понад 8,5 відсотка об'ємних одиниць. Маркування вироблених в Україні алкогольних </w:t>
            </w:r>
            <w:r>
              <w:rPr>
                <w:b w:val="0"/>
                <w:sz w:val="28"/>
                <w:szCs w:val="28"/>
              </w:rPr>
              <w:lastRenderedPageBreak/>
              <w:t>напоїв із вмістом спирту етилового до 8,5 відсотка об'ємних одиниць не здійснюється.</w:t>
            </w:r>
          </w:p>
          <w:p w:rsidR="00CA6C41" w:rsidRDefault="00CA6C41">
            <w:pPr>
              <w:pStyle w:val="3"/>
              <w:spacing w:before="240" w:after="0"/>
              <w:ind w:firstLine="280"/>
              <w:jc w:val="both"/>
              <w:rPr>
                <w:b w:val="0"/>
                <w:sz w:val="28"/>
                <w:szCs w:val="28"/>
              </w:rPr>
            </w:pPr>
          </w:p>
        </w:tc>
        <w:tc>
          <w:tcPr>
            <w:tcW w:w="7545" w:type="dxa"/>
            <w:shd w:val="clear" w:color="auto" w:fill="auto"/>
            <w:tcMar>
              <w:top w:w="100" w:type="dxa"/>
              <w:left w:w="100" w:type="dxa"/>
              <w:bottom w:w="100" w:type="dxa"/>
              <w:right w:w="100" w:type="dxa"/>
            </w:tcMar>
          </w:tcPr>
          <w:p w:rsidR="00CA6C41" w:rsidRDefault="00FC4AC1">
            <w:pPr>
              <w:pStyle w:val="3"/>
              <w:spacing w:before="240" w:after="240"/>
              <w:ind w:firstLine="280"/>
              <w:jc w:val="both"/>
              <w:rPr>
                <w:b w:val="0"/>
                <w:sz w:val="28"/>
                <w:szCs w:val="28"/>
              </w:rPr>
            </w:pPr>
            <w:r>
              <w:rPr>
                <w:b w:val="0"/>
                <w:sz w:val="28"/>
                <w:szCs w:val="28"/>
              </w:rPr>
              <w:lastRenderedPageBreak/>
              <w:t>226.6. Маркуванню підлягають усі (</w:t>
            </w:r>
            <w:r>
              <w:rPr>
                <w:sz w:val="28"/>
                <w:szCs w:val="28"/>
              </w:rPr>
              <w:t>крім зазначених у пункті 226.10 цієї статті)</w:t>
            </w:r>
            <w:r>
              <w:rPr>
                <w:b w:val="0"/>
                <w:sz w:val="28"/>
                <w:szCs w:val="28"/>
              </w:rPr>
              <w:t xml:space="preserve"> алкогольні напої з вмістом спирту етилового понад 8,5 відсотка об'ємних одиниць. Маркування </w:t>
            </w:r>
            <w:r>
              <w:rPr>
                <w:b w:val="0"/>
                <w:sz w:val="28"/>
                <w:szCs w:val="28"/>
              </w:rPr>
              <w:lastRenderedPageBreak/>
              <w:t>вироблених в Україні алкогольних напоїв із вмістом спирту етилового до 8,5 відсотка об'ємних одиниць не здійснюється.</w:t>
            </w:r>
          </w:p>
        </w:tc>
      </w:tr>
      <w:tr w:rsidR="00CA6C41">
        <w:tc>
          <w:tcPr>
            <w:tcW w:w="7350" w:type="dxa"/>
            <w:shd w:val="clear" w:color="auto" w:fill="auto"/>
            <w:tcMar>
              <w:top w:w="100" w:type="dxa"/>
              <w:left w:w="100" w:type="dxa"/>
              <w:bottom w:w="100" w:type="dxa"/>
              <w:right w:w="100" w:type="dxa"/>
            </w:tcMar>
          </w:tcPr>
          <w:p w:rsidR="00CA6C41" w:rsidRDefault="00FC4AC1">
            <w:pPr>
              <w:pStyle w:val="3"/>
              <w:spacing w:before="240" w:after="0"/>
              <w:ind w:firstLine="280"/>
              <w:jc w:val="both"/>
              <w:rPr>
                <w:b w:val="0"/>
                <w:sz w:val="28"/>
                <w:szCs w:val="28"/>
              </w:rPr>
            </w:pPr>
            <w:r>
              <w:rPr>
                <w:b w:val="0"/>
                <w:sz w:val="28"/>
                <w:szCs w:val="28"/>
              </w:rPr>
              <w:lastRenderedPageBreak/>
              <w:t>226.10. Не підлягають маркуванню:</w:t>
            </w:r>
          </w:p>
          <w:p w:rsidR="00CA6C41" w:rsidRDefault="00FC4AC1">
            <w:pPr>
              <w:pStyle w:val="3"/>
              <w:spacing w:before="240" w:after="0"/>
              <w:ind w:firstLine="280"/>
              <w:jc w:val="both"/>
              <w:rPr>
                <w:b w:val="0"/>
                <w:sz w:val="28"/>
                <w:szCs w:val="28"/>
              </w:rPr>
            </w:pPr>
            <w:r>
              <w:rPr>
                <w:b w:val="0"/>
                <w:sz w:val="28"/>
                <w:szCs w:val="28"/>
              </w:rPr>
              <w:t>алкогольні напої і тютюнові вироби, які постачаються для реалізації магазинам безмитної торгівлі безпосередньо вітчизняними виробниками такої продукції за прямими договорами, укладеними між вітчизняними виробниками алкогольних напоїв і тютюнових виробів і власниками магазинів безмитної торгівлі. При цьому переміщення алкогольних напоїв і тютюнових виробів, що спрямовуються виробниками до магазинів безмитної торгівлі, здійснюється під митним контролем із застосуванням заходів гарантування доставки;</w:t>
            </w:r>
          </w:p>
          <w:p w:rsidR="00CA6C41" w:rsidRDefault="00FC4AC1">
            <w:pPr>
              <w:pStyle w:val="3"/>
              <w:spacing w:before="240" w:after="0"/>
              <w:ind w:firstLine="280"/>
              <w:jc w:val="both"/>
              <w:rPr>
                <w:b w:val="0"/>
                <w:sz w:val="28"/>
                <w:szCs w:val="28"/>
              </w:rPr>
            </w:pPr>
            <w:r>
              <w:rPr>
                <w:b w:val="0"/>
                <w:sz w:val="28"/>
                <w:szCs w:val="28"/>
              </w:rPr>
              <w:t xml:space="preserve"> алкогольні напої і тютюнові вироби, які ввозяться в Україну і розміщуються у митному режимі магазину безмитної торгівлі;</w:t>
            </w:r>
          </w:p>
          <w:p w:rsidR="00CA6C41" w:rsidRDefault="00FC4AC1">
            <w:pPr>
              <w:pStyle w:val="3"/>
              <w:spacing w:before="240" w:after="0"/>
              <w:ind w:firstLine="280"/>
              <w:jc w:val="both"/>
              <w:rPr>
                <w:b w:val="0"/>
                <w:sz w:val="28"/>
                <w:szCs w:val="28"/>
              </w:rPr>
            </w:pPr>
            <w:r>
              <w:rPr>
                <w:b w:val="0"/>
                <w:sz w:val="28"/>
                <w:szCs w:val="28"/>
              </w:rPr>
              <w:t xml:space="preserve"> еталонні (моніторингові) чи тестові зразки тютюнових виробів, які не призначені для продажу вроздріб і ввозяться на митну територію України акредитованими державними випробувальними лабораторіями та/або суб'єктами господарювання, які мають ліцензії на право виробництва відповідної продукції, для проведення досліджень чи випробувань (калібрування лабораторного обладнання, проведення дегустацій, вивчення фізико-хімічних показників, дизайну).</w:t>
            </w:r>
          </w:p>
          <w:p w:rsidR="00CA6C41" w:rsidRDefault="00FC4AC1">
            <w:pPr>
              <w:pStyle w:val="3"/>
              <w:spacing w:before="240" w:after="0"/>
              <w:ind w:firstLine="280"/>
              <w:jc w:val="both"/>
              <w:rPr>
                <w:sz w:val="28"/>
                <w:szCs w:val="28"/>
              </w:rPr>
            </w:pPr>
            <w:r>
              <w:rPr>
                <w:sz w:val="28"/>
                <w:szCs w:val="28"/>
              </w:rPr>
              <w:lastRenderedPageBreak/>
              <w:t xml:space="preserve"> </w:t>
            </w:r>
          </w:p>
        </w:tc>
        <w:tc>
          <w:tcPr>
            <w:tcW w:w="7545" w:type="dxa"/>
            <w:shd w:val="clear" w:color="auto" w:fill="auto"/>
            <w:tcMar>
              <w:top w:w="100" w:type="dxa"/>
              <w:left w:w="100" w:type="dxa"/>
              <w:bottom w:w="100" w:type="dxa"/>
              <w:right w:w="100" w:type="dxa"/>
            </w:tcMar>
          </w:tcPr>
          <w:p w:rsidR="00CA6C41" w:rsidRDefault="00FC4AC1">
            <w:pPr>
              <w:pStyle w:val="3"/>
              <w:spacing w:before="240" w:after="0"/>
              <w:ind w:firstLine="280"/>
              <w:jc w:val="both"/>
              <w:rPr>
                <w:b w:val="0"/>
                <w:sz w:val="28"/>
                <w:szCs w:val="28"/>
              </w:rPr>
            </w:pPr>
            <w:r>
              <w:rPr>
                <w:b w:val="0"/>
                <w:sz w:val="28"/>
                <w:szCs w:val="28"/>
              </w:rPr>
              <w:lastRenderedPageBreak/>
              <w:t>226.10. Не підлягають маркуванню:</w:t>
            </w:r>
          </w:p>
          <w:p w:rsidR="00CA6C41" w:rsidRDefault="00FC4AC1">
            <w:pPr>
              <w:pStyle w:val="3"/>
              <w:spacing w:before="240" w:after="0"/>
              <w:ind w:firstLine="280"/>
              <w:jc w:val="both"/>
              <w:rPr>
                <w:b w:val="0"/>
                <w:sz w:val="28"/>
                <w:szCs w:val="28"/>
              </w:rPr>
            </w:pPr>
            <w:r>
              <w:rPr>
                <w:b w:val="0"/>
                <w:sz w:val="28"/>
                <w:szCs w:val="28"/>
              </w:rPr>
              <w:t>алкогольні напої і тютюнові вироби, які постачаються для реалізації магазинам безмитної торгівлі безпосередньо вітчизняними виробниками такої продукції за прямими договорами, укладеними між вітчизняними виробниками алкогольних напоїв і тютюнових виробів і власниками магазинів безмитної торгівлі. При цьому переміщення алкогольних напоїв і тютюнових виробів, що спрямовуються виробниками до магазинів безмитної торгівлі, здійснюється під митним контролем із застосуванням заходів гарантування доставки;</w:t>
            </w:r>
          </w:p>
          <w:p w:rsidR="00CA6C41" w:rsidRDefault="00FC4AC1">
            <w:pPr>
              <w:pStyle w:val="3"/>
              <w:spacing w:before="240" w:after="0"/>
              <w:ind w:firstLine="280"/>
              <w:jc w:val="both"/>
              <w:rPr>
                <w:b w:val="0"/>
                <w:sz w:val="28"/>
                <w:szCs w:val="28"/>
              </w:rPr>
            </w:pPr>
            <w:r>
              <w:rPr>
                <w:b w:val="0"/>
                <w:sz w:val="28"/>
                <w:szCs w:val="28"/>
              </w:rPr>
              <w:t xml:space="preserve"> алкогольні напої і тютюнові вироби, які ввозяться в Україну і розміщуються у митному режимі магазину безмитної торгівлі;</w:t>
            </w:r>
          </w:p>
          <w:p w:rsidR="00CA6C41" w:rsidRDefault="00FC4AC1">
            <w:pPr>
              <w:pStyle w:val="3"/>
              <w:spacing w:before="240" w:after="0"/>
              <w:ind w:firstLine="285"/>
              <w:jc w:val="both"/>
              <w:rPr>
                <w:b w:val="0"/>
                <w:sz w:val="28"/>
                <w:szCs w:val="28"/>
              </w:rPr>
            </w:pPr>
            <w:r>
              <w:rPr>
                <w:b w:val="0"/>
                <w:sz w:val="28"/>
                <w:szCs w:val="28"/>
              </w:rPr>
              <w:t xml:space="preserve"> еталонні (моніторингові) чи тестові зразки тютюнових виробів, які не призначені для продажу вроздріб і ввозяться на митну територію України акредитованими державними випробувальними лабораторіями та/або суб'єктами господарювання, які мають ліцензії на право виробництва відповідної продукції, для проведення досліджень чи випробувань (калібрування лабораторного обладнання, проведення дегустацій, вивчення фізико-хімічних показників, дизайну);</w:t>
            </w:r>
          </w:p>
          <w:p w:rsidR="00CA6C41" w:rsidRDefault="00CA6C41">
            <w:pPr>
              <w:pBdr>
                <w:top w:val="nil"/>
                <w:left w:val="nil"/>
                <w:bottom w:val="nil"/>
                <w:right w:val="nil"/>
                <w:between w:val="nil"/>
              </w:pBdr>
              <w:spacing w:after="0" w:line="240" w:lineRule="auto"/>
              <w:ind w:firstLine="285"/>
              <w:jc w:val="both"/>
              <w:rPr>
                <w:sz w:val="28"/>
                <w:szCs w:val="28"/>
              </w:rPr>
            </w:pPr>
          </w:p>
        </w:tc>
      </w:tr>
      <w:tr w:rsidR="00CA6C41">
        <w:tc>
          <w:tcPr>
            <w:tcW w:w="7350" w:type="dxa"/>
            <w:shd w:val="clear" w:color="auto" w:fill="auto"/>
            <w:tcMar>
              <w:top w:w="0" w:type="dxa"/>
              <w:left w:w="108" w:type="dxa"/>
              <w:bottom w:w="0" w:type="dxa"/>
              <w:right w:w="108" w:type="dxa"/>
            </w:tcMar>
          </w:tcPr>
          <w:p w:rsidR="00CA6C41" w:rsidRDefault="00FC4AC1">
            <w:pPr>
              <w:pStyle w:val="3"/>
              <w:spacing w:after="0"/>
              <w:ind w:firstLine="306"/>
              <w:jc w:val="both"/>
              <w:rPr>
                <w:sz w:val="28"/>
                <w:szCs w:val="28"/>
              </w:rPr>
            </w:pPr>
            <w:r>
              <w:rPr>
                <w:sz w:val="28"/>
                <w:szCs w:val="28"/>
              </w:rPr>
              <w:lastRenderedPageBreak/>
              <w:t>Норма відсутня</w:t>
            </w:r>
          </w:p>
        </w:tc>
        <w:tc>
          <w:tcPr>
            <w:tcW w:w="7545" w:type="dxa"/>
            <w:shd w:val="clear" w:color="auto" w:fill="auto"/>
            <w:tcMar>
              <w:top w:w="0" w:type="dxa"/>
              <w:left w:w="108" w:type="dxa"/>
              <w:bottom w:w="0" w:type="dxa"/>
              <w:right w:w="108" w:type="dxa"/>
            </w:tcMar>
          </w:tcPr>
          <w:p w:rsidR="00CA6C41" w:rsidRDefault="00FC4AC1">
            <w:pPr>
              <w:pStyle w:val="3"/>
              <w:spacing w:before="240" w:after="0"/>
              <w:ind w:firstLine="285"/>
              <w:jc w:val="both"/>
              <w:rPr>
                <w:sz w:val="28"/>
                <w:szCs w:val="28"/>
              </w:rPr>
            </w:pPr>
            <w:r>
              <w:rPr>
                <w:sz w:val="28"/>
                <w:szCs w:val="28"/>
              </w:rPr>
              <w:t>тестові зразки алкогольних напоїв, які не призначені для продажу вроздріб і ввозяться на митну територію України суб'єктами господарювання, які мають ліцензії на право оптової торгівлі відповідної продукції, для проведення досліджень чи випробувань (калібрування лабораторного обладнання, проведення дегустацій, вивчення фізико-хімічних показників, дизайну), але не більше 3 шт кожного виробу;</w:t>
            </w:r>
          </w:p>
          <w:p w:rsidR="00CA6C41" w:rsidRDefault="00CA6C41">
            <w:pPr>
              <w:pBdr>
                <w:top w:val="nil"/>
                <w:left w:val="nil"/>
                <w:bottom w:val="nil"/>
                <w:right w:val="nil"/>
                <w:between w:val="nil"/>
              </w:pBdr>
              <w:spacing w:after="0" w:line="240" w:lineRule="auto"/>
              <w:rPr>
                <w:sz w:val="28"/>
                <w:szCs w:val="28"/>
              </w:rPr>
            </w:pPr>
          </w:p>
        </w:tc>
      </w:tr>
      <w:tr w:rsidR="00CA6C41">
        <w:tc>
          <w:tcPr>
            <w:tcW w:w="7350" w:type="dxa"/>
            <w:shd w:val="clear" w:color="auto" w:fill="auto"/>
            <w:tcMar>
              <w:top w:w="0" w:type="dxa"/>
              <w:left w:w="108" w:type="dxa"/>
              <w:bottom w:w="0" w:type="dxa"/>
              <w:right w:w="108" w:type="dxa"/>
            </w:tcMar>
          </w:tcPr>
          <w:p w:rsidR="00CA6C41" w:rsidRDefault="00FC4AC1">
            <w:pPr>
              <w:pStyle w:val="3"/>
              <w:spacing w:after="0"/>
              <w:ind w:firstLine="306"/>
              <w:jc w:val="both"/>
              <w:rPr>
                <w:sz w:val="28"/>
                <w:szCs w:val="28"/>
              </w:rPr>
            </w:pPr>
            <w:r>
              <w:rPr>
                <w:sz w:val="28"/>
                <w:szCs w:val="28"/>
              </w:rPr>
              <w:t>Норма відсутня</w:t>
            </w:r>
          </w:p>
        </w:tc>
        <w:tc>
          <w:tcPr>
            <w:tcW w:w="7545" w:type="dxa"/>
            <w:shd w:val="clear" w:color="auto" w:fill="auto"/>
            <w:tcMar>
              <w:top w:w="0" w:type="dxa"/>
              <w:left w:w="108" w:type="dxa"/>
              <w:bottom w:w="0" w:type="dxa"/>
              <w:right w:w="108" w:type="dxa"/>
            </w:tcMar>
          </w:tcPr>
          <w:p w:rsidR="00CA6C41" w:rsidRDefault="00FC4AC1">
            <w:pPr>
              <w:pStyle w:val="3"/>
              <w:spacing w:before="240" w:after="0"/>
              <w:ind w:firstLine="285"/>
              <w:jc w:val="both"/>
              <w:rPr>
                <w:sz w:val="28"/>
                <w:szCs w:val="28"/>
              </w:rPr>
            </w:pPr>
            <w:r>
              <w:rPr>
                <w:sz w:val="28"/>
                <w:szCs w:val="28"/>
              </w:rPr>
              <w:t>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p w:rsidR="00CA6C41" w:rsidRDefault="00CA6C41">
            <w:pPr>
              <w:pBdr>
                <w:top w:val="nil"/>
                <w:left w:val="nil"/>
                <w:bottom w:val="nil"/>
                <w:right w:val="nil"/>
                <w:between w:val="nil"/>
              </w:pBdr>
              <w:spacing w:after="0" w:line="240" w:lineRule="auto"/>
              <w:rPr>
                <w:sz w:val="28"/>
                <w:szCs w:val="28"/>
              </w:rPr>
            </w:pPr>
          </w:p>
        </w:tc>
      </w:tr>
      <w:tr w:rsidR="00CA6C41">
        <w:tc>
          <w:tcPr>
            <w:tcW w:w="7350" w:type="dxa"/>
            <w:shd w:val="clear" w:color="auto" w:fill="auto"/>
            <w:tcMar>
              <w:top w:w="100" w:type="dxa"/>
              <w:left w:w="100" w:type="dxa"/>
              <w:bottom w:w="100" w:type="dxa"/>
              <w:right w:w="100" w:type="dxa"/>
            </w:tcMar>
          </w:tcPr>
          <w:p w:rsidR="00CA6C41" w:rsidRDefault="00FC4AC1">
            <w:pPr>
              <w:pStyle w:val="3"/>
              <w:spacing w:after="120"/>
              <w:ind w:firstLine="300"/>
              <w:jc w:val="both"/>
              <w:rPr>
                <w:b w:val="0"/>
                <w:sz w:val="28"/>
                <w:szCs w:val="28"/>
              </w:rPr>
            </w:pPr>
            <w:r>
              <w:rPr>
                <w:b w:val="0"/>
                <w:sz w:val="28"/>
                <w:szCs w:val="28"/>
              </w:rPr>
              <w:t>Стаття 229. Особливості оподаткування деяких підакцизних товарів залежно від напряму його використання</w:t>
            </w:r>
          </w:p>
        </w:tc>
        <w:tc>
          <w:tcPr>
            <w:tcW w:w="7545" w:type="dxa"/>
            <w:shd w:val="clear" w:color="auto" w:fill="auto"/>
            <w:tcMar>
              <w:top w:w="100" w:type="dxa"/>
              <w:left w:w="100" w:type="dxa"/>
              <w:bottom w:w="100" w:type="dxa"/>
              <w:right w:w="100" w:type="dxa"/>
            </w:tcMar>
          </w:tcPr>
          <w:p w:rsidR="00CA6C41" w:rsidRDefault="00FC4AC1">
            <w:pPr>
              <w:pStyle w:val="3"/>
              <w:spacing w:after="120"/>
              <w:ind w:firstLine="300"/>
              <w:jc w:val="both"/>
              <w:rPr>
                <w:b w:val="0"/>
                <w:sz w:val="28"/>
                <w:szCs w:val="28"/>
              </w:rPr>
            </w:pPr>
            <w:r>
              <w:rPr>
                <w:b w:val="0"/>
                <w:sz w:val="28"/>
                <w:szCs w:val="28"/>
              </w:rPr>
              <w:t>Стаття 229. Особливості оподаткування деяких підакцизних товарів залежно від напряму його використання</w:t>
            </w:r>
          </w:p>
        </w:tc>
      </w:tr>
      <w:tr w:rsidR="00CA6C41">
        <w:tc>
          <w:tcPr>
            <w:tcW w:w="7350" w:type="dxa"/>
            <w:shd w:val="clear" w:color="auto" w:fill="auto"/>
            <w:tcMar>
              <w:top w:w="100" w:type="dxa"/>
              <w:left w:w="100" w:type="dxa"/>
              <w:bottom w:w="100" w:type="dxa"/>
              <w:right w:w="100" w:type="dxa"/>
            </w:tcMar>
          </w:tcPr>
          <w:p w:rsidR="00CA6C41" w:rsidRDefault="00FC4AC1">
            <w:pPr>
              <w:pStyle w:val="3"/>
              <w:spacing w:after="120"/>
              <w:ind w:firstLine="460"/>
              <w:jc w:val="both"/>
              <w:rPr>
                <w:b w:val="0"/>
                <w:sz w:val="28"/>
                <w:szCs w:val="28"/>
              </w:rPr>
            </w:pPr>
            <w:r>
              <w:rPr>
                <w:b w:val="0"/>
                <w:sz w:val="28"/>
                <w:szCs w:val="28"/>
              </w:rPr>
              <w:t>229.1. Особливості оподаткування спирту етилового</w:t>
            </w:r>
          </w:p>
        </w:tc>
        <w:tc>
          <w:tcPr>
            <w:tcW w:w="7545" w:type="dxa"/>
            <w:shd w:val="clear" w:color="auto" w:fill="auto"/>
            <w:tcMar>
              <w:top w:w="100" w:type="dxa"/>
              <w:left w:w="100" w:type="dxa"/>
              <w:bottom w:w="100" w:type="dxa"/>
              <w:right w:w="100" w:type="dxa"/>
            </w:tcMar>
          </w:tcPr>
          <w:p w:rsidR="00CA6C41" w:rsidRDefault="00FC4AC1">
            <w:pPr>
              <w:pStyle w:val="3"/>
              <w:spacing w:after="120"/>
              <w:ind w:firstLine="460"/>
              <w:jc w:val="both"/>
              <w:rPr>
                <w:b w:val="0"/>
                <w:sz w:val="28"/>
                <w:szCs w:val="28"/>
              </w:rPr>
            </w:pPr>
            <w:r>
              <w:rPr>
                <w:b w:val="0"/>
                <w:sz w:val="28"/>
                <w:szCs w:val="28"/>
              </w:rPr>
              <w:t>229.1. Особливості оподаткування спирту етилового</w:t>
            </w:r>
          </w:p>
        </w:tc>
      </w:tr>
      <w:tr w:rsidR="00CA6C41">
        <w:tc>
          <w:tcPr>
            <w:tcW w:w="7350" w:type="dxa"/>
            <w:shd w:val="clear" w:color="auto" w:fill="auto"/>
            <w:tcMar>
              <w:top w:w="100" w:type="dxa"/>
              <w:left w:w="100" w:type="dxa"/>
              <w:bottom w:w="100" w:type="dxa"/>
              <w:right w:w="100" w:type="dxa"/>
            </w:tcMar>
          </w:tcPr>
          <w:p w:rsidR="00CA6C41" w:rsidRDefault="00FC4AC1">
            <w:pPr>
              <w:pStyle w:val="3"/>
              <w:spacing w:before="240" w:after="120" w:line="276" w:lineRule="auto"/>
              <w:jc w:val="both"/>
              <w:rPr>
                <w:b w:val="0"/>
                <w:sz w:val="28"/>
                <w:szCs w:val="28"/>
              </w:rPr>
            </w:pPr>
            <w:r>
              <w:rPr>
                <w:b w:val="0"/>
                <w:sz w:val="28"/>
                <w:szCs w:val="28"/>
              </w:rPr>
              <w:t>229.1.1. Податок справляється за ставкою 0 гривень за 1 літр 100-відсоткового спирту із:</w:t>
            </w:r>
          </w:p>
          <w:p w:rsidR="00CA6C41" w:rsidRDefault="00FC4AC1">
            <w:pPr>
              <w:pStyle w:val="3"/>
              <w:spacing w:before="240" w:after="120" w:line="276" w:lineRule="auto"/>
              <w:jc w:val="both"/>
              <w:rPr>
                <w:b w:val="0"/>
                <w:sz w:val="28"/>
                <w:szCs w:val="28"/>
              </w:rPr>
            </w:pPr>
            <w:r>
              <w:rPr>
                <w:b w:val="0"/>
                <w:sz w:val="28"/>
                <w:szCs w:val="28"/>
              </w:rPr>
              <w:lastRenderedPageBreak/>
              <w:t>а) спирту етилового, який використовується підприємствами первинного та змішаного виноробства для виробництва виноградних, плодово-ягідних, інших виноматеріалів і сусла та вермутів;</w:t>
            </w:r>
          </w:p>
          <w:p w:rsidR="00CA6C41" w:rsidRDefault="00FC4AC1">
            <w:pPr>
              <w:pStyle w:val="3"/>
              <w:spacing w:before="240" w:after="120" w:line="276" w:lineRule="auto"/>
              <w:jc w:val="both"/>
              <w:rPr>
                <w:b w:val="0"/>
                <w:sz w:val="28"/>
                <w:szCs w:val="28"/>
              </w:rPr>
            </w:pPr>
            <w:r>
              <w:rPr>
                <w:b w:val="0"/>
                <w:sz w:val="28"/>
                <w:szCs w:val="28"/>
              </w:rPr>
              <w:t>б) спирту етилового, який використовується для виробництва лікарських засобів (у тому числі компонентів крові і вироблених з них препаратів), крім лікарських засобів у вигляді бальзамів та еліксирів;</w:t>
            </w:r>
          </w:p>
          <w:p w:rsidR="00CA6C41" w:rsidRDefault="00FC4AC1">
            <w:pPr>
              <w:pStyle w:val="3"/>
              <w:spacing w:before="240" w:after="120" w:line="276" w:lineRule="auto"/>
              <w:jc w:val="both"/>
              <w:rPr>
                <w:b w:val="0"/>
                <w:sz w:val="28"/>
                <w:szCs w:val="28"/>
              </w:rPr>
            </w:pPr>
            <w:r>
              <w:rPr>
                <w:b w:val="0"/>
                <w:sz w:val="28"/>
                <w:szCs w:val="28"/>
              </w:rPr>
              <w:t>в) спирту етилового денатурованого (спирту технічного), який реалізується суб'єктам господарювання з метою його використання як сировини для виробництва продуктів органічного синтезу, які не містять у своєму складі більш як 0,1 відсотка залишкового етанолу;</w:t>
            </w:r>
          </w:p>
          <w:p w:rsidR="00CA6C41" w:rsidRDefault="00FC4AC1">
            <w:pPr>
              <w:pStyle w:val="3"/>
              <w:spacing w:before="240" w:after="120" w:line="276" w:lineRule="auto"/>
              <w:jc w:val="both"/>
              <w:rPr>
                <w:b w:val="0"/>
                <w:sz w:val="28"/>
                <w:szCs w:val="28"/>
              </w:rPr>
            </w:pPr>
            <w:r>
              <w:rPr>
                <w:b w:val="0"/>
                <w:sz w:val="28"/>
                <w:szCs w:val="28"/>
              </w:rPr>
              <w:t>г) біоетанолу, що використовується підприємствами для виробництва бензинів моторних сумішевих із вмістом біоетанолу, етил-трет-бутилового етеру (ЕТБЕ), інших добавок на основі біоетанолу;</w:t>
            </w:r>
          </w:p>
          <w:p w:rsidR="00CA6C41" w:rsidRDefault="00FC4AC1">
            <w:pPr>
              <w:pStyle w:val="3"/>
              <w:spacing w:before="240" w:after="120" w:line="276" w:lineRule="auto"/>
              <w:jc w:val="both"/>
              <w:rPr>
                <w:b w:val="0"/>
                <w:sz w:val="28"/>
                <w:szCs w:val="28"/>
              </w:rPr>
            </w:pPr>
            <w:r>
              <w:rPr>
                <w:b w:val="0"/>
                <w:sz w:val="28"/>
                <w:szCs w:val="28"/>
              </w:rPr>
              <w:t>ґ) біоетанолу, який використовується для виробництва біопалива;</w:t>
            </w:r>
          </w:p>
          <w:p w:rsidR="00CA6C41" w:rsidRDefault="00FC4AC1">
            <w:pPr>
              <w:pStyle w:val="3"/>
              <w:spacing w:before="240" w:after="120" w:line="276" w:lineRule="auto"/>
              <w:jc w:val="both"/>
              <w:rPr>
                <w:b w:val="0"/>
                <w:sz w:val="28"/>
                <w:szCs w:val="28"/>
              </w:rPr>
            </w:pPr>
            <w:r>
              <w:rPr>
                <w:b w:val="0"/>
                <w:sz w:val="28"/>
                <w:szCs w:val="28"/>
              </w:rPr>
              <w:t>д) спирту етилового денатурованого, який використовується для виробництва продукції хімічного і технічного призначення, включеної до переліку, затвердженого Кабінетом Міністрів України;</w:t>
            </w:r>
          </w:p>
          <w:p w:rsidR="00CA6C41" w:rsidRDefault="00FC4AC1">
            <w:pPr>
              <w:pStyle w:val="3"/>
              <w:spacing w:before="240" w:after="120" w:line="276" w:lineRule="auto"/>
              <w:jc w:val="both"/>
              <w:rPr>
                <w:b w:val="0"/>
                <w:sz w:val="28"/>
                <w:szCs w:val="28"/>
              </w:rPr>
            </w:pPr>
            <w:r>
              <w:rPr>
                <w:b w:val="0"/>
                <w:sz w:val="28"/>
                <w:szCs w:val="28"/>
              </w:rPr>
              <w:lastRenderedPageBreak/>
              <w:t>е) спирту етилового неденатурованого, який використовується для виробництва оцту з харчової сировини;</w:t>
            </w:r>
          </w:p>
          <w:p w:rsidR="00CA6C41" w:rsidRDefault="00FC4AC1">
            <w:pPr>
              <w:pStyle w:val="3"/>
              <w:spacing w:before="240" w:after="120" w:line="276" w:lineRule="auto"/>
              <w:jc w:val="both"/>
              <w:rPr>
                <w:b w:val="0"/>
                <w:sz w:val="28"/>
                <w:szCs w:val="28"/>
              </w:rPr>
            </w:pPr>
            <w:r>
              <w:rPr>
                <w:b w:val="0"/>
                <w:sz w:val="28"/>
                <w:szCs w:val="28"/>
              </w:rPr>
              <w:t>є) спирту етилового денатурованого, який використовується для виробництва парфумерно-косметичної продукції;</w:t>
            </w:r>
          </w:p>
          <w:p w:rsidR="00CA6C41" w:rsidRDefault="00FC4AC1">
            <w:pPr>
              <w:pStyle w:val="3"/>
              <w:spacing w:before="240" w:after="120" w:line="276" w:lineRule="auto"/>
              <w:jc w:val="both"/>
              <w:rPr>
                <w:b w:val="0"/>
                <w:sz w:val="28"/>
                <w:szCs w:val="28"/>
              </w:rPr>
            </w:pPr>
            <w:r>
              <w:rPr>
                <w:b w:val="0"/>
                <w:sz w:val="28"/>
                <w:szCs w:val="28"/>
              </w:rPr>
              <w:t>ж) спирту етилового-сирцю, який використовується в межах одного суб'єкта господарювання для виробництва біоетанолу;</w:t>
            </w:r>
          </w:p>
          <w:p w:rsidR="00CA6C41" w:rsidRDefault="00FC4AC1">
            <w:pPr>
              <w:pStyle w:val="3"/>
              <w:spacing w:before="240" w:after="120" w:line="276" w:lineRule="auto"/>
              <w:jc w:val="both"/>
              <w:rPr>
                <w:b w:val="0"/>
                <w:sz w:val="28"/>
                <w:szCs w:val="28"/>
              </w:rPr>
            </w:pPr>
            <w:r>
              <w:rPr>
                <w:b w:val="0"/>
                <w:sz w:val="28"/>
                <w:szCs w:val="28"/>
              </w:rPr>
              <w:t>з) спирту етилового, що переміщується між акцизними складами в межах одного суб'єкта господарювання.</w:t>
            </w:r>
          </w:p>
          <w:p w:rsidR="00CA6C41" w:rsidRDefault="00FC4AC1">
            <w:pPr>
              <w:pStyle w:val="3"/>
              <w:spacing w:after="120"/>
              <w:ind w:firstLine="460"/>
              <w:jc w:val="both"/>
              <w:rPr>
                <w:b w:val="0"/>
                <w:sz w:val="28"/>
                <w:szCs w:val="28"/>
              </w:rPr>
            </w:pPr>
            <w:r>
              <w:rPr>
                <w:b w:val="0"/>
                <w:sz w:val="28"/>
                <w:szCs w:val="28"/>
              </w:rPr>
              <w:t xml:space="preserve"> </w:t>
            </w:r>
          </w:p>
        </w:tc>
        <w:tc>
          <w:tcPr>
            <w:tcW w:w="7545" w:type="dxa"/>
            <w:shd w:val="clear" w:color="auto" w:fill="auto"/>
            <w:tcMar>
              <w:top w:w="100" w:type="dxa"/>
              <w:left w:w="100" w:type="dxa"/>
              <w:bottom w:w="100" w:type="dxa"/>
              <w:right w:w="100" w:type="dxa"/>
            </w:tcMar>
          </w:tcPr>
          <w:p w:rsidR="00CA6C41" w:rsidRDefault="00FC4AC1">
            <w:pPr>
              <w:pStyle w:val="3"/>
              <w:spacing w:before="240" w:after="120" w:line="276" w:lineRule="auto"/>
              <w:jc w:val="both"/>
              <w:rPr>
                <w:b w:val="0"/>
                <w:sz w:val="28"/>
                <w:szCs w:val="28"/>
              </w:rPr>
            </w:pPr>
            <w:r>
              <w:rPr>
                <w:b w:val="0"/>
                <w:sz w:val="28"/>
                <w:szCs w:val="28"/>
              </w:rPr>
              <w:lastRenderedPageBreak/>
              <w:t>229.1.1. Податок справляється за ставкою 0 гривень за 1 літр 100-відсоткового спирту із:</w:t>
            </w:r>
          </w:p>
          <w:p w:rsidR="00CA6C41" w:rsidRDefault="00FC4AC1">
            <w:pPr>
              <w:pStyle w:val="3"/>
              <w:spacing w:before="240" w:after="120" w:line="276" w:lineRule="auto"/>
              <w:jc w:val="both"/>
              <w:rPr>
                <w:b w:val="0"/>
                <w:sz w:val="28"/>
                <w:szCs w:val="28"/>
              </w:rPr>
            </w:pPr>
            <w:r>
              <w:rPr>
                <w:b w:val="0"/>
                <w:sz w:val="28"/>
                <w:szCs w:val="28"/>
              </w:rPr>
              <w:lastRenderedPageBreak/>
              <w:t>а) спирту етилового, який використовується підприємствами первинного та змішаного виноробства для виробництва виноградних, плодово-ягідних, інших виноматеріалів і сусла та вермутів;</w:t>
            </w:r>
          </w:p>
          <w:p w:rsidR="00CA6C41" w:rsidRDefault="00FC4AC1">
            <w:pPr>
              <w:pStyle w:val="3"/>
              <w:spacing w:before="240" w:after="120" w:line="276" w:lineRule="auto"/>
              <w:jc w:val="both"/>
              <w:rPr>
                <w:b w:val="0"/>
                <w:sz w:val="28"/>
                <w:szCs w:val="28"/>
              </w:rPr>
            </w:pPr>
            <w:r>
              <w:rPr>
                <w:b w:val="0"/>
                <w:sz w:val="28"/>
                <w:szCs w:val="28"/>
              </w:rPr>
              <w:t>б) спирту етилового, який використовується для виробництва лікарських засобів (у тому числі компонентів крові і вироблених з них препаратів), крім лікарських засобів у вигляді бальзамів та еліксирів;</w:t>
            </w:r>
          </w:p>
          <w:p w:rsidR="00CA6C41" w:rsidRDefault="00FC4AC1">
            <w:pPr>
              <w:pStyle w:val="3"/>
              <w:spacing w:before="240" w:after="120" w:line="276" w:lineRule="auto"/>
              <w:jc w:val="both"/>
              <w:rPr>
                <w:b w:val="0"/>
                <w:sz w:val="28"/>
                <w:szCs w:val="28"/>
              </w:rPr>
            </w:pPr>
            <w:r>
              <w:rPr>
                <w:b w:val="0"/>
                <w:sz w:val="28"/>
                <w:szCs w:val="28"/>
              </w:rPr>
              <w:t>в) спирту етилового денатурованого (спирту технічного), який реалізується суб'єктам господарювання з метою його використання як сировини для виробництва продуктів органічного синтезу, які не містять у своєму складі більш як 0,1 відсотка залишкового етанолу;</w:t>
            </w:r>
          </w:p>
          <w:p w:rsidR="00CA6C41" w:rsidRDefault="00FC4AC1">
            <w:pPr>
              <w:pStyle w:val="3"/>
              <w:spacing w:before="240" w:after="120" w:line="276" w:lineRule="auto"/>
              <w:jc w:val="both"/>
              <w:rPr>
                <w:b w:val="0"/>
                <w:sz w:val="28"/>
                <w:szCs w:val="28"/>
              </w:rPr>
            </w:pPr>
            <w:r>
              <w:rPr>
                <w:b w:val="0"/>
                <w:sz w:val="28"/>
                <w:szCs w:val="28"/>
              </w:rPr>
              <w:t>г) біоетанолу, що використовується підприємствами для виробництва бензинів моторних сумішевих із вмістом біоетанолу, етил-трет-бутилового етеру (ЕТБЕ), інших добавок на основі біоетанолу;</w:t>
            </w:r>
          </w:p>
          <w:p w:rsidR="00CA6C41" w:rsidRDefault="00FC4AC1">
            <w:pPr>
              <w:pStyle w:val="3"/>
              <w:spacing w:before="240" w:after="120" w:line="276" w:lineRule="auto"/>
              <w:jc w:val="both"/>
              <w:rPr>
                <w:b w:val="0"/>
                <w:sz w:val="28"/>
                <w:szCs w:val="28"/>
              </w:rPr>
            </w:pPr>
            <w:r>
              <w:rPr>
                <w:b w:val="0"/>
                <w:sz w:val="28"/>
                <w:szCs w:val="28"/>
              </w:rPr>
              <w:t>ґ) біоетанолу, який використовується для виробництва біопалива;</w:t>
            </w:r>
          </w:p>
          <w:p w:rsidR="00CA6C41" w:rsidRDefault="00FC4AC1">
            <w:pPr>
              <w:pStyle w:val="3"/>
              <w:spacing w:before="240" w:after="120" w:line="276" w:lineRule="auto"/>
              <w:jc w:val="both"/>
              <w:rPr>
                <w:b w:val="0"/>
                <w:sz w:val="28"/>
                <w:szCs w:val="28"/>
              </w:rPr>
            </w:pPr>
            <w:r>
              <w:rPr>
                <w:b w:val="0"/>
                <w:sz w:val="28"/>
                <w:szCs w:val="28"/>
              </w:rPr>
              <w:t>д) спирту етилового денатурованого, який використовується для виробництва продукції хімічного і технічного призначення, включеної до переліку, затвердженого Кабінетом Міністрів України;</w:t>
            </w:r>
          </w:p>
          <w:p w:rsidR="00CA6C41" w:rsidRDefault="00FC4AC1">
            <w:pPr>
              <w:pStyle w:val="3"/>
              <w:spacing w:before="240" w:after="120" w:line="276" w:lineRule="auto"/>
              <w:jc w:val="both"/>
              <w:rPr>
                <w:b w:val="0"/>
                <w:sz w:val="28"/>
                <w:szCs w:val="28"/>
              </w:rPr>
            </w:pPr>
            <w:r>
              <w:rPr>
                <w:b w:val="0"/>
                <w:sz w:val="28"/>
                <w:szCs w:val="28"/>
              </w:rPr>
              <w:lastRenderedPageBreak/>
              <w:t xml:space="preserve"> е) спирту етилового неденатурованого, який використовується для виробництва оцту з харчової сировини;</w:t>
            </w:r>
          </w:p>
          <w:p w:rsidR="00CA6C41" w:rsidRDefault="00FC4AC1">
            <w:pPr>
              <w:pStyle w:val="3"/>
              <w:spacing w:before="240" w:after="120" w:line="276" w:lineRule="auto"/>
              <w:jc w:val="both"/>
              <w:rPr>
                <w:b w:val="0"/>
                <w:sz w:val="28"/>
                <w:szCs w:val="28"/>
              </w:rPr>
            </w:pPr>
            <w:r>
              <w:rPr>
                <w:b w:val="0"/>
                <w:sz w:val="28"/>
                <w:szCs w:val="28"/>
              </w:rPr>
              <w:t>є) спирту етилового денатурованого, який використовується для виробництва парфумерно-косметичної продукції;</w:t>
            </w:r>
          </w:p>
          <w:p w:rsidR="00CA6C41" w:rsidRDefault="00FC4AC1">
            <w:pPr>
              <w:pStyle w:val="3"/>
              <w:spacing w:before="240" w:after="120" w:line="276" w:lineRule="auto"/>
              <w:jc w:val="both"/>
              <w:rPr>
                <w:b w:val="0"/>
                <w:sz w:val="28"/>
                <w:szCs w:val="28"/>
              </w:rPr>
            </w:pPr>
            <w:r>
              <w:rPr>
                <w:b w:val="0"/>
                <w:sz w:val="28"/>
                <w:szCs w:val="28"/>
              </w:rPr>
              <w:t>ж) спирту етилового-сирцю, який використовується в межах одного суб'єкта господарювання для виробництва біоетанолу;</w:t>
            </w:r>
          </w:p>
          <w:p w:rsidR="00CA6C41" w:rsidRDefault="00FC4AC1">
            <w:pPr>
              <w:pStyle w:val="3"/>
              <w:spacing w:before="240" w:after="120" w:line="276" w:lineRule="auto"/>
              <w:jc w:val="both"/>
              <w:rPr>
                <w:b w:val="0"/>
                <w:sz w:val="28"/>
                <w:szCs w:val="28"/>
              </w:rPr>
            </w:pPr>
            <w:r>
              <w:rPr>
                <w:b w:val="0"/>
                <w:sz w:val="28"/>
                <w:szCs w:val="28"/>
              </w:rPr>
              <w:t>з) спирту етилового, що переміщується між акцизними складами в межах одного суб'єкта господарювання.</w:t>
            </w:r>
          </w:p>
          <w:p w:rsidR="00CA6C41" w:rsidRDefault="00FC4AC1">
            <w:pPr>
              <w:pStyle w:val="3"/>
              <w:spacing w:before="240" w:after="120" w:line="276" w:lineRule="auto"/>
              <w:jc w:val="both"/>
              <w:rPr>
                <w:b w:val="0"/>
                <w:sz w:val="28"/>
                <w:szCs w:val="28"/>
              </w:rPr>
            </w:pPr>
            <w:r>
              <w:rPr>
                <w:sz w:val="28"/>
                <w:szCs w:val="28"/>
              </w:rPr>
              <w:t>и) спирту етилового, який використовується для виробництва жиру криля (Euphausia superba);</w:t>
            </w:r>
            <w:r>
              <w:rPr>
                <w:b w:val="0"/>
                <w:sz w:val="28"/>
                <w:szCs w:val="28"/>
              </w:rPr>
              <w:t xml:space="preserve"> </w:t>
            </w:r>
          </w:p>
        </w:tc>
      </w:tr>
      <w:tr w:rsidR="00CA6C41">
        <w:tc>
          <w:tcPr>
            <w:tcW w:w="7350" w:type="dxa"/>
            <w:shd w:val="clear" w:color="auto" w:fill="auto"/>
            <w:tcMar>
              <w:top w:w="100" w:type="dxa"/>
              <w:left w:w="100" w:type="dxa"/>
              <w:bottom w:w="100" w:type="dxa"/>
              <w:right w:w="100" w:type="dxa"/>
            </w:tcMar>
          </w:tcPr>
          <w:p w:rsidR="00CA6C41" w:rsidRDefault="00FC4AC1">
            <w:pPr>
              <w:pStyle w:val="3"/>
              <w:spacing w:before="240" w:after="120" w:line="276" w:lineRule="auto"/>
              <w:jc w:val="both"/>
              <w:rPr>
                <w:b w:val="0"/>
                <w:sz w:val="28"/>
                <w:szCs w:val="28"/>
              </w:rPr>
            </w:pPr>
            <w:r>
              <w:rPr>
                <w:b w:val="0"/>
                <w:sz w:val="28"/>
                <w:szCs w:val="28"/>
              </w:rPr>
              <w:lastRenderedPageBreak/>
              <w:t>229.1.5. Податковий вексель може бути виданий:</w:t>
            </w:r>
          </w:p>
          <w:p w:rsidR="00CA6C41" w:rsidRDefault="00FC4AC1">
            <w:pPr>
              <w:pStyle w:val="3"/>
              <w:spacing w:before="240" w:after="120" w:line="276" w:lineRule="auto"/>
              <w:jc w:val="both"/>
              <w:rPr>
                <w:b w:val="0"/>
                <w:sz w:val="28"/>
                <w:szCs w:val="28"/>
              </w:rPr>
            </w:pPr>
            <w:r>
              <w:rPr>
                <w:b w:val="0"/>
                <w:sz w:val="28"/>
                <w:szCs w:val="28"/>
              </w:rPr>
              <w:t>а) підприємством первинного виноробства, яке є виробником виноградних, плодово-ягідних, інших виноматеріалів і сусла та вермутів;</w:t>
            </w:r>
          </w:p>
          <w:p w:rsidR="00CA6C41" w:rsidRDefault="00FC4AC1">
            <w:pPr>
              <w:pStyle w:val="3"/>
              <w:spacing w:before="240" w:after="120" w:line="276" w:lineRule="auto"/>
              <w:jc w:val="both"/>
              <w:rPr>
                <w:b w:val="0"/>
                <w:sz w:val="28"/>
                <w:szCs w:val="28"/>
              </w:rPr>
            </w:pPr>
            <w:r>
              <w:rPr>
                <w:b w:val="0"/>
                <w:sz w:val="28"/>
                <w:szCs w:val="28"/>
              </w:rPr>
              <w:t>б) виробником лікарських засобів;</w:t>
            </w:r>
          </w:p>
          <w:p w:rsidR="00CA6C41" w:rsidRDefault="00FC4AC1">
            <w:pPr>
              <w:pStyle w:val="3"/>
              <w:spacing w:before="240" w:after="120" w:line="276" w:lineRule="auto"/>
              <w:jc w:val="both"/>
              <w:rPr>
                <w:b w:val="0"/>
                <w:sz w:val="28"/>
                <w:szCs w:val="28"/>
              </w:rPr>
            </w:pPr>
            <w:r>
              <w:rPr>
                <w:b w:val="0"/>
                <w:sz w:val="28"/>
                <w:szCs w:val="28"/>
              </w:rPr>
              <w:t>в) виробником продуктів органічного синтезу;</w:t>
            </w:r>
          </w:p>
          <w:p w:rsidR="00CA6C41" w:rsidRDefault="00FC4AC1">
            <w:pPr>
              <w:pStyle w:val="3"/>
              <w:spacing w:before="240" w:after="120" w:line="276" w:lineRule="auto"/>
              <w:jc w:val="both"/>
              <w:rPr>
                <w:b w:val="0"/>
                <w:sz w:val="28"/>
                <w:szCs w:val="28"/>
              </w:rPr>
            </w:pPr>
            <w:r>
              <w:rPr>
                <w:b w:val="0"/>
                <w:sz w:val="28"/>
                <w:szCs w:val="28"/>
              </w:rPr>
              <w:t xml:space="preserve">г) нафтопереробними заводами (чи іншими суб'єктами господарювання), які використовують біоетанол для </w:t>
            </w:r>
            <w:r>
              <w:rPr>
                <w:b w:val="0"/>
                <w:sz w:val="28"/>
                <w:szCs w:val="28"/>
              </w:rPr>
              <w:lastRenderedPageBreak/>
              <w:t>виробництва бензинів моторних сумішевих із вмістом біоетанолу, етил-трет-бутилового етеру (ЕТБЕ), інших добавок на основі біоетанолу;</w:t>
            </w:r>
          </w:p>
          <w:p w:rsidR="00CA6C41" w:rsidRDefault="00FC4AC1">
            <w:pPr>
              <w:pStyle w:val="3"/>
              <w:spacing w:before="240" w:after="120" w:line="276" w:lineRule="auto"/>
              <w:jc w:val="both"/>
              <w:rPr>
                <w:b w:val="0"/>
                <w:sz w:val="28"/>
                <w:szCs w:val="28"/>
              </w:rPr>
            </w:pPr>
            <w:r>
              <w:rPr>
                <w:b w:val="0"/>
                <w:sz w:val="28"/>
                <w:szCs w:val="28"/>
              </w:rPr>
              <w:t>ґ) виробниками біопалива;</w:t>
            </w:r>
          </w:p>
          <w:p w:rsidR="00CA6C41" w:rsidRDefault="00FC4AC1">
            <w:pPr>
              <w:pStyle w:val="3"/>
              <w:spacing w:before="240" w:after="120" w:line="276" w:lineRule="auto"/>
              <w:jc w:val="both"/>
              <w:rPr>
                <w:b w:val="0"/>
                <w:sz w:val="28"/>
                <w:szCs w:val="28"/>
              </w:rPr>
            </w:pPr>
            <w:r>
              <w:rPr>
                <w:b w:val="0"/>
                <w:sz w:val="28"/>
                <w:szCs w:val="28"/>
              </w:rPr>
              <w:t>д) виробником продукції хімічного і технічного призначення, включеної до переліку, затвердженого Кабінетом Міністрів України;</w:t>
            </w:r>
          </w:p>
          <w:p w:rsidR="00CA6C41" w:rsidRDefault="00FC4AC1">
            <w:pPr>
              <w:pStyle w:val="3"/>
              <w:spacing w:before="240" w:after="120" w:line="276" w:lineRule="auto"/>
              <w:jc w:val="both"/>
              <w:rPr>
                <w:b w:val="0"/>
                <w:sz w:val="28"/>
                <w:szCs w:val="28"/>
              </w:rPr>
            </w:pPr>
            <w:r>
              <w:rPr>
                <w:b w:val="0"/>
                <w:sz w:val="28"/>
                <w:szCs w:val="28"/>
              </w:rPr>
              <w:t>е) виробником оцту з харчової сировини;</w:t>
            </w:r>
          </w:p>
          <w:p w:rsidR="00CA6C41" w:rsidRDefault="00FC4AC1">
            <w:pPr>
              <w:pStyle w:val="3"/>
              <w:spacing w:before="240" w:after="120" w:line="276" w:lineRule="auto"/>
              <w:jc w:val="both"/>
              <w:rPr>
                <w:b w:val="0"/>
                <w:sz w:val="28"/>
                <w:szCs w:val="28"/>
              </w:rPr>
            </w:pPr>
            <w:r>
              <w:rPr>
                <w:b w:val="0"/>
                <w:sz w:val="28"/>
                <w:szCs w:val="28"/>
              </w:rPr>
              <w:t>є) виробником парфумерно-косметичної продукції.</w:t>
            </w:r>
          </w:p>
          <w:p w:rsidR="00CA6C41" w:rsidRDefault="00FC4AC1">
            <w:pPr>
              <w:pStyle w:val="3"/>
              <w:spacing w:before="240" w:after="120" w:line="276" w:lineRule="auto"/>
              <w:jc w:val="both"/>
              <w:rPr>
                <w:b w:val="0"/>
                <w:sz w:val="28"/>
                <w:szCs w:val="28"/>
              </w:rPr>
            </w:pPr>
            <w:r>
              <w:rPr>
                <w:b w:val="0"/>
                <w:sz w:val="28"/>
                <w:szCs w:val="28"/>
              </w:rPr>
              <w:t xml:space="preserve"> </w:t>
            </w:r>
          </w:p>
        </w:tc>
        <w:tc>
          <w:tcPr>
            <w:tcW w:w="7545" w:type="dxa"/>
            <w:shd w:val="clear" w:color="auto" w:fill="auto"/>
            <w:tcMar>
              <w:top w:w="100" w:type="dxa"/>
              <w:left w:w="100" w:type="dxa"/>
              <w:bottom w:w="100" w:type="dxa"/>
              <w:right w:w="100" w:type="dxa"/>
            </w:tcMar>
          </w:tcPr>
          <w:p w:rsidR="00CA6C41" w:rsidRDefault="00FC4AC1">
            <w:pPr>
              <w:pStyle w:val="3"/>
              <w:spacing w:before="240" w:after="120" w:line="276" w:lineRule="auto"/>
              <w:jc w:val="both"/>
              <w:rPr>
                <w:b w:val="0"/>
                <w:sz w:val="28"/>
                <w:szCs w:val="28"/>
              </w:rPr>
            </w:pPr>
            <w:r>
              <w:rPr>
                <w:b w:val="0"/>
                <w:sz w:val="28"/>
                <w:szCs w:val="28"/>
              </w:rPr>
              <w:lastRenderedPageBreak/>
              <w:t>229.1.5. Податковий вексель може бути виданий:</w:t>
            </w:r>
          </w:p>
          <w:p w:rsidR="00CA6C41" w:rsidRDefault="00FC4AC1">
            <w:pPr>
              <w:pStyle w:val="3"/>
              <w:spacing w:before="240" w:after="120" w:line="276" w:lineRule="auto"/>
              <w:jc w:val="both"/>
              <w:rPr>
                <w:b w:val="0"/>
                <w:sz w:val="28"/>
                <w:szCs w:val="28"/>
              </w:rPr>
            </w:pPr>
            <w:r>
              <w:rPr>
                <w:b w:val="0"/>
                <w:sz w:val="28"/>
                <w:szCs w:val="28"/>
              </w:rPr>
              <w:t>а) підприємством первинного виноробства, яке є виробником виноградних, плодово-ягідних, інших виноматеріалів і сусла та вермутів;</w:t>
            </w:r>
          </w:p>
          <w:p w:rsidR="00CA6C41" w:rsidRDefault="00FC4AC1">
            <w:pPr>
              <w:pStyle w:val="3"/>
              <w:spacing w:before="240" w:after="120" w:line="276" w:lineRule="auto"/>
              <w:jc w:val="both"/>
              <w:rPr>
                <w:b w:val="0"/>
                <w:sz w:val="28"/>
                <w:szCs w:val="28"/>
              </w:rPr>
            </w:pPr>
            <w:r>
              <w:rPr>
                <w:b w:val="0"/>
                <w:sz w:val="28"/>
                <w:szCs w:val="28"/>
              </w:rPr>
              <w:t>б) виробником лікарських засобів;</w:t>
            </w:r>
          </w:p>
          <w:p w:rsidR="00CA6C41" w:rsidRDefault="00FC4AC1">
            <w:pPr>
              <w:pStyle w:val="3"/>
              <w:spacing w:before="240" w:after="120" w:line="276" w:lineRule="auto"/>
              <w:jc w:val="both"/>
              <w:rPr>
                <w:b w:val="0"/>
                <w:sz w:val="28"/>
                <w:szCs w:val="28"/>
              </w:rPr>
            </w:pPr>
            <w:r>
              <w:rPr>
                <w:b w:val="0"/>
                <w:sz w:val="28"/>
                <w:szCs w:val="28"/>
              </w:rPr>
              <w:t>в) виробником продуктів органічного синтезу;</w:t>
            </w:r>
          </w:p>
          <w:p w:rsidR="00CA6C41" w:rsidRDefault="00FC4AC1">
            <w:pPr>
              <w:pStyle w:val="3"/>
              <w:spacing w:before="240" w:after="120" w:line="276" w:lineRule="auto"/>
              <w:jc w:val="both"/>
              <w:rPr>
                <w:b w:val="0"/>
                <w:sz w:val="28"/>
                <w:szCs w:val="28"/>
              </w:rPr>
            </w:pPr>
            <w:r>
              <w:rPr>
                <w:b w:val="0"/>
                <w:sz w:val="28"/>
                <w:szCs w:val="28"/>
              </w:rPr>
              <w:t xml:space="preserve">г) нафтопереробними заводами (чи іншими суб'єктами господарювання), які використовують біоетанол для </w:t>
            </w:r>
            <w:r>
              <w:rPr>
                <w:b w:val="0"/>
                <w:sz w:val="28"/>
                <w:szCs w:val="28"/>
              </w:rPr>
              <w:lastRenderedPageBreak/>
              <w:t>виробництва бензинів моторних сумішевих із вмістом біоетанолу, етил-трет-бутилового етеру (ЕТБЕ), інших добавок на основі біоетанолу;</w:t>
            </w:r>
          </w:p>
          <w:p w:rsidR="00CA6C41" w:rsidRDefault="00FC4AC1">
            <w:pPr>
              <w:pStyle w:val="3"/>
              <w:spacing w:before="240" w:after="120" w:line="276" w:lineRule="auto"/>
              <w:jc w:val="both"/>
              <w:rPr>
                <w:b w:val="0"/>
                <w:sz w:val="28"/>
                <w:szCs w:val="28"/>
              </w:rPr>
            </w:pPr>
            <w:r>
              <w:rPr>
                <w:b w:val="0"/>
                <w:sz w:val="28"/>
                <w:szCs w:val="28"/>
              </w:rPr>
              <w:t>ґ) виробниками біопалива;</w:t>
            </w:r>
          </w:p>
          <w:p w:rsidR="00CA6C41" w:rsidRDefault="00FC4AC1">
            <w:pPr>
              <w:pStyle w:val="3"/>
              <w:spacing w:before="240" w:after="120" w:line="276" w:lineRule="auto"/>
              <w:jc w:val="both"/>
              <w:rPr>
                <w:b w:val="0"/>
                <w:sz w:val="28"/>
                <w:szCs w:val="28"/>
              </w:rPr>
            </w:pPr>
            <w:r>
              <w:rPr>
                <w:b w:val="0"/>
                <w:sz w:val="28"/>
                <w:szCs w:val="28"/>
              </w:rPr>
              <w:t>д) виробником продукції хімічного і технічного призначення, включеної до переліку, затвердженого Кабінетом Міністрів України;</w:t>
            </w:r>
          </w:p>
          <w:p w:rsidR="00CA6C41" w:rsidRDefault="00FC4AC1">
            <w:pPr>
              <w:pStyle w:val="3"/>
              <w:spacing w:before="240" w:after="120" w:line="276" w:lineRule="auto"/>
              <w:jc w:val="both"/>
              <w:rPr>
                <w:b w:val="0"/>
                <w:sz w:val="28"/>
                <w:szCs w:val="28"/>
              </w:rPr>
            </w:pPr>
            <w:r>
              <w:rPr>
                <w:b w:val="0"/>
                <w:sz w:val="28"/>
                <w:szCs w:val="28"/>
              </w:rPr>
              <w:t>е) виробником оцту з харчової сировини;</w:t>
            </w:r>
          </w:p>
          <w:p w:rsidR="00CA6C41" w:rsidRDefault="00FC4AC1">
            <w:pPr>
              <w:pStyle w:val="3"/>
              <w:spacing w:before="240" w:after="120" w:line="276" w:lineRule="auto"/>
              <w:jc w:val="both"/>
              <w:rPr>
                <w:b w:val="0"/>
                <w:sz w:val="28"/>
                <w:szCs w:val="28"/>
              </w:rPr>
            </w:pPr>
            <w:r>
              <w:rPr>
                <w:b w:val="0"/>
                <w:sz w:val="28"/>
                <w:szCs w:val="28"/>
              </w:rPr>
              <w:t>є) виробником парфумерно-косметичної продукції.</w:t>
            </w:r>
          </w:p>
          <w:p w:rsidR="00CA6C41" w:rsidRDefault="00FC4AC1">
            <w:pPr>
              <w:pStyle w:val="3"/>
              <w:spacing w:before="240" w:after="120" w:line="276" w:lineRule="auto"/>
              <w:jc w:val="both"/>
              <w:rPr>
                <w:sz w:val="28"/>
                <w:szCs w:val="28"/>
              </w:rPr>
            </w:pPr>
            <w:r>
              <w:rPr>
                <w:sz w:val="28"/>
                <w:szCs w:val="28"/>
              </w:rPr>
              <w:t>ж) виробником жиру криля (Euphausia superba);</w:t>
            </w:r>
          </w:p>
        </w:tc>
      </w:tr>
      <w:tr w:rsidR="00CA6C41">
        <w:tc>
          <w:tcPr>
            <w:tcW w:w="7350" w:type="dxa"/>
            <w:shd w:val="clear" w:color="auto" w:fill="auto"/>
            <w:tcMar>
              <w:top w:w="100" w:type="dxa"/>
              <w:left w:w="100" w:type="dxa"/>
              <w:bottom w:w="100" w:type="dxa"/>
              <w:right w:w="100" w:type="dxa"/>
            </w:tcMar>
          </w:tcPr>
          <w:p w:rsidR="00CA6C41" w:rsidRDefault="00FC4AC1">
            <w:pPr>
              <w:pStyle w:val="3"/>
              <w:spacing w:before="240" w:after="0" w:line="276" w:lineRule="auto"/>
              <w:ind w:firstLine="440"/>
              <w:jc w:val="both"/>
              <w:rPr>
                <w:b w:val="0"/>
                <w:sz w:val="28"/>
                <w:szCs w:val="28"/>
              </w:rPr>
            </w:pPr>
            <w:r>
              <w:rPr>
                <w:b w:val="0"/>
                <w:sz w:val="28"/>
                <w:szCs w:val="28"/>
              </w:rPr>
              <w:lastRenderedPageBreak/>
              <w:t xml:space="preserve">229.1.8. Податковий вексель вважається погашеним у разі документального підтвердження факту цільового використання спирту етилового для виробництва продукції, визначеної в </w:t>
            </w:r>
            <w:hyperlink r:id="rId79" w:anchor="n5678">
              <w:r>
                <w:rPr>
                  <w:b w:val="0"/>
                  <w:sz w:val="28"/>
                  <w:szCs w:val="28"/>
                  <w:u w:val="single"/>
                </w:rPr>
                <w:t>підпункті 229.1.1</w:t>
              </w:r>
            </w:hyperlink>
            <w:r>
              <w:rPr>
                <w:b w:val="0"/>
                <w:sz w:val="28"/>
                <w:szCs w:val="28"/>
              </w:rPr>
              <w:t xml:space="preserve"> цієї статті, поданого векселедержателю у формі електронного документа відповідно до законодавства.</w:t>
            </w:r>
          </w:p>
          <w:p w:rsidR="00CA6C41" w:rsidRDefault="00FC4AC1">
            <w:pPr>
              <w:pStyle w:val="3"/>
              <w:spacing w:before="240" w:after="0" w:line="276" w:lineRule="auto"/>
              <w:ind w:firstLine="440"/>
              <w:jc w:val="both"/>
              <w:rPr>
                <w:b w:val="0"/>
                <w:sz w:val="28"/>
                <w:szCs w:val="28"/>
              </w:rPr>
            </w:pPr>
            <w:r>
              <w:rPr>
                <w:b w:val="0"/>
                <w:sz w:val="28"/>
                <w:szCs w:val="28"/>
              </w:rPr>
              <w:t xml:space="preserve">Суб’єкти господарювання, які використовують спирт етиловий для виробництва продукції, визначеної у </w:t>
            </w:r>
            <w:hyperlink r:id="rId80" w:anchor="n15537">
              <w:r>
                <w:rPr>
                  <w:b w:val="0"/>
                  <w:sz w:val="28"/>
                  <w:szCs w:val="28"/>
                </w:rPr>
                <w:t>підпунктах "д"-"ж"</w:t>
              </w:r>
            </w:hyperlink>
            <w:r>
              <w:rPr>
                <w:b w:val="0"/>
                <w:sz w:val="28"/>
                <w:szCs w:val="28"/>
              </w:rPr>
              <w:t xml:space="preserve"> підпункту 229.1.1 пункту 229.1 цієї статті, зобов’язані:</w:t>
            </w:r>
          </w:p>
          <w:p w:rsidR="00CA6C41" w:rsidRDefault="00FC4AC1">
            <w:pPr>
              <w:pStyle w:val="3"/>
              <w:spacing w:after="0"/>
              <w:ind w:firstLine="460"/>
              <w:jc w:val="both"/>
              <w:rPr>
                <w:b w:val="0"/>
                <w:sz w:val="28"/>
                <w:szCs w:val="28"/>
              </w:rPr>
            </w:pPr>
            <w:r>
              <w:rPr>
                <w:b w:val="0"/>
                <w:sz w:val="28"/>
                <w:szCs w:val="28"/>
              </w:rPr>
              <w:lastRenderedPageBreak/>
              <w:t>а) обладнати кожне місце отримання спирту етилового витратомірами-лічильниками обсягу виробленого спирту етилового, зареєстрованими в Єдиному державному реєстрі витратомірів-лічильників обсягу виробленого спирту етилового;</w:t>
            </w:r>
          </w:p>
          <w:p w:rsidR="00CA6C41" w:rsidRDefault="00FC4AC1">
            <w:pPr>
              <w:pStyle w:val="3"/>
              <w:spacing w:after="0"/>
              <w:ind w:firstLine="460"/>
              <w:jc w:val="both"/>
              <w:rPr>
                <w:b w:val="0"/>
                <w:sz w:val="28"/>
                <w:szCs w:val="28"/>
              </w:rPr>
            </w:pPr>
            <w:r>
              <w:rPr>
                <w:b w:val="0"/>
                <w:sz w:val="28"/>
                <w:szCs w:val="28"/>
              </w:rPr>
              <w:t>б) обладнати кожне місце відпуску продукції, для виробництва якої використовується отриманий спирт етиловий, витратомірами-лічильниками обсягу виробленої продукції, зареєстрованими в Єдиному державному реєстрі витратомірів-лічильників обсягу виробленого спирту етилового;</w:t>
            </w:r>
          </w:p>
          <w:p w:rsidR="00CA6C41" w:rsidRDefault="00FC4AC1">
            <w:pPr>
              <w:pStyle w:val="3"/>
              <w:spacing w:after="0"/>
              <w:ind w:firstLine="460"/>
              <w:jc w:val="both"/>
              <w:rPr>
                <w:b w:val="0"/>
                <w:sz w:val="28"/>
                <w:szCs w:val="28"/>
              </w:rPr>
            </w:pPr>
            <w:r>
              <w:rPr>
                <w:b w:val="0"/>
                <w:sz w:val="28"/>
                <w:szCs w:val="28"/>
              </w:rPr>
              <w:t>в) щоденно формувати та подавати до центрального органу виконавчої влади, що реалізує державну податкову політику, дані про добовий фактичний обсяг отриманого спирту етилового та обсяг продукції, виробленої з його використанням.</w:t>
            </w:r>
          </w:p>
        </w:tc>
        <w:tc>
          <w:tcPr>
            <w:tcW w:w="7545" w:type="dxa"/>
            <w:shd w:val="clear" w:color="auto" w:fill="auto"/>
            <w:tcMar>
              <w:top w:w="100" w:type="dxa"/>
              <w:left w:w="100" w:type="dxa"/>
              <w:bottom w:w="100" w:type="dxa"/>
              <w:right w:w="100" w:type="dxa"/>
            </w:tcMar>
          </w:tcPr>
          <w:p w:rsidR="00CA6C41" w:rsidRDefault="00FC4AC1">
            <w:pPr>
              <w:pStyle w:val="3"/>
              <w:spacing w:before="240" w:after="0" w:line="276" w:lineRule="auto"/>
              <w:ind w:firstLine="440"/>
              <w:jc w:val="both"/>
              <w:rPr>
                <w:b w:val="0"/>
                <w:sz w:val="28"/>
                <w:szCs w:val="28"/>
              </w:rPr>
            </w:pPr>
            <w:r>
              <w:rPr>
                <w:b w:val="0"/>
                <w:sz w:val="28"/>
                <w:szCs w:val="28"/>
              </w:rPr>
              <w:lastRenderedPageBreak/>
              <w:t xml:space="preserve">229.1.8. Податковий вексель вважається погашеним у разі документального підтвердження факту цільового використання спирту етилового для виробництва продукції, визначеної в </w:t>
            </w:r>
            <w:hyperlink r:id="rId81" w:anchor="n5678">
              <w:r>
                <w:rPr>
                  <w:b w:val="0"/>
                  <w:sz w:val="28"/>
                  <w:szCs w:val="28"/>
                  <w:u w:val="single"/>
                </w:rPr>
                <w:t>підпункті 229.1.1</w:t>
              </w:r>
            </w:hyperlink>
            <w:r>
              <w:rPr>
                <w:b w:val="0"/>
                <w:sz w:val="28"/>
                <w:szCs w:val="28"/>
              </w:rPr>
              <w:t xml:space="preserve"> цієї статті, поданого векселедержателю у формі електронного документа відповідно до законодавства.</w:t>
            </w:r>
          </w:p>
          <w:p w:rsidR="00CA6C41" w:rsidRDefault="00FC4AC1">
            <w:pPr>
              <w:pStyle w:val="3"/>
              <w:spacing w:before="240" w:after="0" w:line="276" w:lineRule="auto"/>
              <w:ind w:firstLine="440"/>
              <w:jc w:val="both"/>
              <w:rPr>
                <w:b w:val="0"/>
                <w:sz w:val="28"/>
                <w:szCs w:val="28"/>
              </w:rPr>
            </w:pPr>
            <w:r>
              <w:rPr>
                <w:b w:val="0"/>
                <w:sz w:val="28"/>
                <w:szCs w:val="28"/>
              </w:rPr>
              <w:t xml:space="preserve">Суб’єкти господарювання, які використовують спирт етиловий для виробництва продукції, визначеної у </w:t>
            </w:r>
            <w:hyperlink r:id="rId82" w:anchor="n15537">
              <w:r>
                <w:rPr>
                  <w:b w:val="0"/>
                  <w:sz w:val="28"/>
                  <w:szCs w:val="28"/>
                  <w:u w:val="single"/>
                </w:rPr>
                <w:t>підпунктах "д"-"ж"</w:t>
              </w:r>
            </w:hyperlink>
            <w:r>
              <w:rPr>
                <w:sz w:val="28"/>
                <w:szCs w:val="28"/>
              </w:rPr>
              <w:t xml:space="preserve"> та "и"</w:t>
            </w:r>
            <w:r>
              <w:rPr>
                <w:b w:val="0"/>
                <w:sz w:val="28"/>
                <w:szCs w:val="28"/>
              </w:rPr>
              <w:t xml:space="preserve"> підпункту 229.1.1 пункту 229.1 цієї статті, зобов’язані:</w:t>
            </w:r>
          </w:p>
          <w:p w:rsidR="00CA6C41" w:rsidRDefault="00FC4AC1">
            <w:pPr>
              <w:pStyle w:val="3"/>
              <w:spacing w:after="0"/>
              <w:ind w:firstLine="460"/>
              <w:jc w:val="both"/>
              <w:rPr>
                <w:b w:val="0"/>
                <w:sz w:val="28"/>
                <w:szCs w:val="28"/>
              </w:rPr>
            </w:pPr>
            <w:r>
              <w:rPr>
                <w:b w:val="0"/>
                <w:sz w:val="28"/>
                <w:szCs w:val="28"/>
              </w:rPr>
              <w:lastRenderedPageBreak/>
              <w:t>а) обладнати кожне місце отримання спирту етилового витратомірами-лічильниками обсягу виробленого спирту етилового, зареєстрованими в Єдиному державному реєстрі витратомірів-лічильників обсягу виробленого спирту етилового;</w:t>
            </w:r>
          </w:p>
          <w:p w:rsidR="00CA6C41" w:rsidRDefault="00FC4AC1">
            <w:pPr>
              <w:pStyle w:val="3"/>
              <w:spacing w:after="0"/>
              <w:ind w:firstLine="460"/>
              <w:jc w:val="both"/>
              <w:rPr>
                <w:b w:val="0"/>
                <w:sz w:val="28"/>
                <w:szCs w:val="28"/>
              </w:rPr>
            </w:pPr>
            <w:r>
              <w:rPr>
                <w:b w:val="0"/>
                <w:sz w:val="28"/>
                <w:szCs w:val="28"/>
              </w:rPr>
              <w:t>б) обладнати кожне місце відпуску продукції, для виробництва якої використовується отриманий спирт етиловий, витратомірами-лічильниками обсягу виробленої продукції, зареєстрованими в Єдиному державному реєстрі витратомірів-лічильників обсягу виробленого спирту етилового;</w:t>
            </w:r>
          </w:p>
          <w:p w:rsidR="00CA6C41" w:rsidRDefault="00FC4AC1">
            <w:pPr>
              <w:pStyle w:val="3"/>
              <w:spacing w:after="0"/>
              <w:ind w:firstLine="460"/>
              <w:jc w:val="both"/>
              <w:rPr>
                <w:b w:val="0"/>
                <w:sz w:val="28"/>
                <w:szCs w:val="28"/>
              </w:rPr>
            </w:pPr>
            <w:r>
              <w:rPr>
                <w:b w:val="0"/>
                <w:sz w:val="28"/>
                <w:szCs w:val="28"/>
              </w:rPr>
              <w:t>в) щоденно формувати та подавати до центрального органу виконавчої влади, що реалізує державну податкову політику, дані про добовий фактичний обсяг отриманого спирту етилового та обсяг продукції, виробленої з його використанням.</w:t>
            </w:r>
          </w:p>
          <w:p w:rsidR="00CA6C41" w:rsidRDefault="00FC4AC1">
            <w:pPr>
              <w:pStyle w:val="3"/>
              <w:spacing w:after="0"/>
              <w:ind w:firstLine="460"/>
              <w:jc w:val="both"/>
              <w:rPr>
                <w:b w:val="0"/>
                <w:sz w:val="28"/>
                <w:szCs w:val="28"/>
              </w:rPr>
            </w:pPr>
            <w:r>
              <w:rPr>
                <w:b w:val="0"/>
                <w:sz w:val="28"/>
                <w:szCs w:val="28"/>
              </w:rPr>
              <w:t>….</w:t>
            </w:r>
          </w:p>
        </w:tc>
      </w:tr>
      <w:tr w:rsidR="00CA6C41">
        <w:tc>
          <w:tcPr>
            <w:tcW w:w="7350" w:type="dxa"/>
            <w:shd w:val="clear" w:color="auto" w:fill="auto"/>
            <w:tcMar>
              <w:top w:w="100" w:type="dxa"/>
              <w:left w:w="100" w:type="dxa"/>
              <w:bottom w:w="100" w:type="dxa"/>
              <w:right w:w="100" w:type="dxa"/>
            </w:tcMar>
          </w:tcPr>
          <w:p w:rsidR="00CA6C41" w:rsidRDefault="00FC4AC1">
            <w:pPr>
              <w:pStyle w:val="3"/>
              <w:spacing w:before="240" w:after="0" w:line="276" w:lineRule="auto"/>
              <w:ind w:firstLine="180"/>
              <w:jc w:val="both"/>
              <w:rPr>
                <w:b w:val="0"/>
                <w:sz w:val="28"/>
                <w:szCs w:val="28"/>
              </w:rPr>
            </w:pPr>
            <w:r>
              <w:rPr>
                <w:b w:val="0"/>
                <w:sz w:val="28"/>
                <w:szCs w:val="28"/>
              </w:rPr>
              <w:lastRenderedPageBreak/>
              <w:t>229.1.14. На підприємствах, де використовують спирт за нульовою ставкою, встановлюються податкові пости, порядок роботи яких визначається центральним органом виконавчої влади, що забезпечує формування та реалізує державну фінансову політику.</w:t>
            </w:r>
          </w:p>
          <w:p w:rsidR="00CA6C41" w:rsidRDefault="00FC4AC1">
            <w:pPr>
              <w:pStyle w:val="3"/>
              <w:spacing w:before="240" w:after="0" w:line="276" w:lineRule="auto"/>
              <w:ind w:firstLine="180"/>
              <w:jc w:val="both"/>
              <w:rPr>
                <w:b w:val="0"/>
                <w:sz w:val="28"/>
                <w:szCs w:val="28"/>
              </w:rPr>
            </w:pPr>
            <w:r>
              <w:rPr>
                <w:b w:val="0"/>
                <w:sz w:val="28"/>
                <w:szCs w:val="28"/>
              </w:rPr>
              <w:t xml:space="preserve">Податкові пости на підприємствах, які використовують спирт етиловий для виробництва продукції, визначеної у </w:t>
            </w:r>
            <w:hyperlink r:id="rId83" w:anchor="n15537">
              <w:r>
                <w:rPr>
                  <w:b w:val="0"/>
                  <w:sz w:val="28"/>
                  <w:szCs w:val="28"/>
                  <w:u w:val="single"/>
                </w:rPr>
                <w:t>підпунктах "д"-"ж"</w:t>
              </w:r>
            </w:hyperlink>
            <w:r>
              <w:rPr>
                <w:b w:val="0"/>
                <w:sz w:val="28"/>
                <w:szCs w:val="28"/>
              </w:rPr>
              <w:t xml:space="preserve"> підпункту 229.1.1 пункту 229.1 цієї статті, не встановлюються.</w:t>
            </w:r>
          </w:p>
        </w:tc>
        <w:tc>
          <w:tcPr>
            <w:tcW w:w="7545" w:type="dxa"/>
            <w:shd w:val="clear" w:color="auto" w:fill="auto"/>
            <w:tcMar>
              <w:top w:w="100" w:type="dxa"/>
              <w:left w:w="100" w:type="dxa"/>
              <w:bottom w:w="100" w:type="dxa"/>
              <w:right w:w="100" w:type="dxa"/>
            </w:tcMar>
          </w:tcPr>
          <w:p w:rsidR="00CA6C41" w:rsidRDefault="00FC4AC1">
            <w:pPr>
              <w:pStyle w:val="3"/>
              <w:spacing w:before="240" w:after="0" w:line="276" w:lineRule="auto"/>
              <w:ind w:firstLine="180"/>
              <w:jc w:val="both"/>
              <w:rPr>
                <w:b w:val="0"/>
                <w:sz w:val="28"/>
                <w:szCs w:val="28"/>
              </w:rPr>
            </w:pPr>
            <w:r>
              <w:rPr>
                <w:b w:val="0"/>
                <w:sz w:val="28"/>
                <w:szCs w:val="28"/>
              </w:rPr>
              <w:t>229.1.14. На підприємствах, де використовують спирт за нульовою ставкою, встановлюються податкові пости, порядок роботи яких визначається центральним органом виконавчої влади, що забезпечує формування та реалізує державну фінансову політику.</w:t>
            </w:r>
          </w:p>
          <w:p w:rsidR="00CA6C41" w:rsidRDefault="00FC4AC1">
            <w:pPr>
              <w:pStyle w:val="3"/>
              <w:spacing w:before="240" w:after="0" w:line="276" w:lineRule="auto"/>
              <w:ind w:firstLine="180"/>
              <w:jc w:val="both"/>
              <w:rPr>
                <w:b w:val="0"/>
                <w:sz w:val="28"/>
                <w:szCs w:val="28"/>
              </w:rPr>
            </w:pPr>
            <w:r>
              <w:rPr>
                <w:b w:val="0"/>
                <w:sz w:val="28"/>
                <w:szCs w:val="28"/>
              </w:rPr>
              <w:t xml:space="preserve">Податкові пости на підприємствах, які використовують спирт етиловий для виробництва продукції, визначеної у </w:t>
            </w:r>
            <w:hyperlink r:id="rId84" w:anchor="n15537">
              <w:r>
                <w:rPr>
                  <w:b w:val="0"/>
                  <w:sz w:val="28"/>
                  <w:szCs w:val="28"/>
                  <w:u w:val="single"/>
                </w:rPr>
                <w:t>підпунктах "д"-"ж"</w:t>
              </w:r>
            </w:hyperlink>
            <w:r>
              <w:rPr>
                <w:b w:val="0"/>
                <w:sz w:val="28"/>
                <w:szCs w:val="28"/>
              </w:rPr>
              <w:t xml:space="preserve">, </w:t>
            </w:r>
            <w:r>
              <w:rPr>
                <w:sz w:val="28"/>
                <w:szCs w:val="28"/>
              </w:rPr>
              <w:t>та "и"</w:t>
            </w:r>
            <w:r>
              <w:rPr>
                <w:b w:val="0"/>
                <w:sz w:val="28"/>
                <w:szCs w:val="28"/>
              </w:rPr>
              <w:t xml:space="preserve"> підпункту 229.1.1 пункту 229.1 цієї статті, не встановлюються.</w:t>
            </w:r>
          </w:p>
        </w:tc>
      </w:tr>
      <w:tr w:rsidR="00CA6C41">
        <w:tc>
          <w:tcPr>
            <w:tcW w:w="735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229.4. Особливості оподаткування нафтопродуктів, вироблених в Україні, що використовуються в якості сировини для хімічної промисловості</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5" w:name="bookmark=id.30j0zll" w:colFirst="0" w:colLast="0"/>
            <w:bookmarkEnd w:id="5"/>
            <w:r>
              <w:rPr>
                <w:rFonts w:ascii="Times New Roman" w:eastAsia="Times New Roman" w:hAnsi="Times New Roman" w:cs="Times New Roman"/>
                <w:color w:val="333333"/>
                <w:sz w:val="28"/>
                <w:szCs w:val="28"/>
              </w:rPr>
              <w:t xml:space="preserve">229.4.1. Нафтопродукти (коди 2710 12 11 10, 2710 12 11 20, 2710 12 11 90; 2710 12 15 10, 2710 12 15 20, 2710 12 15 90; </w:t>
            </w:r>
            <w:r>
              <w:rPr>
                <w:rFonts w:ascii="Times New Roman" w:eastAsia="Times New Roman" w:hAnsi="Times New Roman" w:cs="Times New Roman"/>
                <w:b/>
                <w:color w:val="333333"/>
                <w:sz w:val="28"/>
                <w:szCs w:val="28"/>
              </w:rPr>
              <w:t>2710 12 21 00</w:t>
            </w:r>
            <w:r>
              <w:rPr>
                <w:rFonts w:ascii="Times New Roman" w:eastAsia="Times New Roman" w:hAnsi="Times New Roman" w:cs="Times New Roman"/>
                <w:color w:val="333333"/>
                <w:sz w:val="28"/>
                <w:szCs w:val="28"/>
              </w:rPr>
              <w:t>; 2710 19 11 10, 2710 19 11 20, 2710 19 11 90; 2710 19 15 10, 2710 19 15 20, 2710 19 15 90, 2710 19 25 00, 2710 19 29 00 згідно з </w:t>
            </w:r>
            <w:hyperlink r:id="rId85" w:anchor="n684">
              <w:r>
                <w:rPr>
                  <w:rFonts w:ascii="Times New Roman" w:eastAsia="Times New Roman" w:hAnsi="Times New Roman" w:cs="Times New Roman"/>
                  <w:color w:val="000099"/>
                  <w:sz w:val="28"/>
                  <w:szCs w:val="28"/>
                  <w:u w:val="single"/>
                </w:rPr>
                <w:t>УКТ ЗЕД</w:t>
              </w:r>
            </w:hyperlink>
            <w:r>
              <w:rPr>
                <w:rFonts w:ascii="Times New Roman" w:eastAsia="Times New Roman" w:hAnsi="Times New Roman" w:cs="Times New Roman"/>
                <w:color w:val="333333"/>
                <w:sz w:val="28"/>
                <w:szCs w:val="28"/>
              </w:rPr>
              <w:t>) можуть бути реалізованими у якості сировини для виробництва у хімічній промисловості за нульовою ставкою акцизного податку.</w:t>
            </w:r>
          </w:p>
          <w:p w:rsidR="00CA6C41" w:rsidRDefault="00CA6C41">
            <w:pPr>
              <w:pStyle w:val="3"/>
              <w:spacing w:before="240" w:after="0" w:line="276" w:lineRule="auto"/>
              <w:ind w:firstLine="180"/>
              <w:jc w:val="both"/>
              <w:rPr>
                <w:b w:val="0"/>
                <w:sz w:val="28"/>
                <w:szCs w:val="28"/>
              </w:rPr>
            </w:pPr>
          </w:p>
        </w:tc>
        <w:tc>
          <w:tcPr>
            <w:tcW w:w="754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229.4. Особливості оподаткування нафтопродуктів, вироблених в Україні, що використовуються в якості сировини для хімічної промисловості</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229.4.1. Нафтопродукти (коди 2710 12 11 10, 2710 12 11 20, 2710 12 11 90; 2710 12 15 10, 2710 12 15 20, 2710 12 15 90; </w:t>
            </w:r>
            <w:r>
              <w:rPr>
                <w:rFonts w:ascii="Times New Roman" w:eastAsia="Times New Roman" w:hAnsi="Times New Roman" w:cs="Times New Roman"/>
                <w:b/>
                <w:color w:val="333333"/>
                <w:sz w:val="28"/>
                <w:szCs w:val="28"/>
              </w:rPr>
              <w:t>2710 12 21 10</w:t>
            </w:r>
            <w:r>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b/>
                <w:color w:val="333333"/>
                <w:sz w:val="28"/>
                <w:szCs w:val="28"/>
              </w:rPr>
              <w:t>2710 12 21 90</w:t>
            </w:r>
            <w:r>
              <w:rPr>
                <w:rFonts w:ascii="Times New Roman" w:eastAsia="Times New Roman" w:hAnsi="Times New Roman" w:cs="Times New Roman"/>
                <w:color w:val="333333"/>
                <w:sz w:val="28"/>
                <w:szCs w:val="28"/>
              </w:rPr>
              <w:t>, 2710 19 11 10, 2710 19 11 20, 2710 19 11 90; 2710 19 15 10, 2710 19 15 20, 2710 19 15 90, 2710 19 25 00, 2710 19 29 00 згідно з </w:t>
            </w:r>
            <w:hyperlink r:id="rId86" w:anchor="n684">
              <w:r>
                <w:rPr>
                  <w:rFonts w:ascii="Times New Roman" w:eastAsia="Times New Roman" w:hAnsi="Times New Roman" w:cs="Times New Roman"/>
                  <w:color w:val="000099"/>
                  <w:sz w:val="28"/>
                  <w:szCs w:val="28"/>
                  <w:u w:val="single"/>
                </w:rPr>
                <w:t>УКТ ЗЕД</w:t>
              </w:r>
            </w:hyperlink>
            <w:r>
              <w:rPr>
                <w:rFonts w:ascii="Times New Roman" w:eastAsia="Times New Roman" w:hAnsi="Times New Roman" w:cs="Times New Roman"/>
                <w:color w:val="333333"/>
                <w:sz w:val="28"/>
                <w:szCs w:val="28"/>
              </w:rPr>
              <w:t>) можуть бути реалізованими у якості сировини для виробництва у хімічній промисловості за нульовою ставкою акцизного податку.</w:t>
            </w:r>
          </w:p>
          <w:p w:rsidR="00CA6C41" w:rsidRDefault="00CA6C41">
            <w:pPr>
              <w:pStyle w:val="3"/>
              <w:spacing w:before="240" w:after="0" w:line="276" w:lineRule="auto"/>
              <w:ind w:firstLine="180"/>
              <w:jc w:val="both"/>
              <w:rPr>
                <w:b w:val="0"/>
                <w:sz w:val="28"/>
                <w:szCs w:val="28"/>
              </w:rPr>
            </w:pPr>
          </w:p>
        </w:tc>
      </w:tr>
      <w:tr w:rsidR="00CA6C41">
        <w:tc>
          <w:tcPr>
            <w:tcW w:w="735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229.5. Особливості оподаткування нафтопродуктів, ввезених в Україну, що використовуються в якості сировини для хімічної промисловості</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6" w:name="bookmark=id.1fob9te" w:colFirst="0" w:colLast="0"/>
            <w:bookmarkEnd w:id="6"/>
            <w:r>
              <w:rPr>
                <w:rFonts w:ascii="Times New Roman" w:eastAsia="Times New Roman" w:hAnsi="Times New Roman" w:cs="Times New Roman"/>
                <w:color w:val="333333"/>
                <w:sz w:val="28"/>
                <w:szCs w:val="28"/>
              </w:rPr>
              <w:t xml:space="preserve">229.5.1. Нафтопродукти (коди 2710 12 11 10, 2710 12 11 20, 2710 12 11 90; 2710 12 15 10, 2710 12 15 20, 2710 12 15 90; </w:t>
            </w:r>
            <w:r>
              <w:rPr>
                <w:rFonts w:ascii="Times New Roman" w:eastAsia="Times New Roman" w:hAnsi="Times New Roman" w:cs="Times New Roman"/>
                <w:b/>
                <w:color w:val="333333"/>
                <w:sz w:val="28"/>
                <w:szCs w:val="28"/>
              </w:rPr>
              <w:t>2710 12 21 00</w:t>
            </w:r>
            <w:r>
              <w:rPr>
                <w:rFonts w:ascii="Times New Roman" w:eastAsia="Times New Roman" w:hAnsi="Times New Roman" w:cs="Times New Roman"/>
                <w:color w:val="333333"/>
                <w:sz w:val="28"/>
                <w:szCs w:val="28"/>
              </w:rPr>
              <w:t>; 2710 19 11 10, 2710 19 11 20, 2710 19 11 90; 2710 19 15 10, 2710 19 15 20, 2710 19 15 90, 2710 19 25 00, 2710 19 29 00 згідно з </w:t>
            </w:r>
            <w:hyperlink r:id="rId87">
              <w:r>
                <w:rPr>
                  <w:rFonts w:ascii="Times New Roman" w:eastAsia="Times New Roman" w:hAnsi="Times New Roman" w:cs="Times New Roman"/>
                  <w:color w:val="000099"/>
                  <w:sz w:val="28"/>
                  <w:szCs w:val="28"/>
                  <w:u w:val="single"/>
                </w:rPr>
                <w:t>УКТ ЗЕД</w:t>
              </w:r>
            </w:hyperlink>
            <w:r>
              <w:rPr>
                <w:rFonts w:ascii="Times New Roman" w:eastAsia="Times New Roman" w:hAnsi="Times New Roman" w:cs="Times New Roman"/>
                <w:color w:val="333333"/>
                <w:sz w:val="28"/>
                <w:szCs w:val="28"/>
              </w:rPr>
              <w:t>) можуть ввозитися в Україну в якості сировини для виробництва у хімічній промисловості без сплати акцизного податку.</w:t>
            </w:r>
          </w:p>
          <w:p w:rsidR="00CA6C41" w:rsidRDefault="00CA6C41">
            <w:pPr>
              <w:pStyle w:val="3"/>
              <w:spacing w:before="240" w:after="0" w:line="276" w:lineRule="auto"/>
              <w:ind w:firstLine="180"/>
              <w:jc w:val="both"/>
              <w:rPr>
                <w:b w:val="0"/>
                <w:sz w:val="28"/>
                <w:szCs w:val="28"/>
              </w:rPr>
            </w:pPr>
          </w:p>
        </w:tc>
        <w:tc>
          <w:tcPr>
            <w:tcW w:w="754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229.5. Особливості оподаткування нафтопродуктів, ввезених в Україну, що використовуються в якості сировини для хімічної промисловості</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229.5.1. Нафтопродукти (коди 2710 12 11 10, 2710 12 11 20, 2710 12 11 90; 2710 12 15 10, 2710 12 15 20, 2710 12 15 90; </w:t>
            </w:r>
            <w:r>
              <w:rPr>
                <w:rFonts w:ascii="Times New Roman" w:eastAsia="Times New Roman" w:hAnsi="Times New Roman" w:cs="Times New Roman"/>
                <w:b/>
                <w:color w:val="333333"/>
                <w:sz w:val="28"/>
                <w:szCs w:val="28"/>
              </w:rPr>
              <w:t>2710 12 21 10</w:t>
            </w:r>
            <w:r>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b/>
                <w:color w:val="333333"/>
                <w:sz w:val="28"/>
                <w:szCs w:val="28"/>
              </w:rPr>
              <w:t>2710 12 21 90</w:t>
            </w:r>
            <w:r>
              <w:rPr>
                <w:rFonts w:ascii="Times New Roman" w:eastAsia="Times New Roman" w:hAnsi="Times New Roman" w:cs="Times New Roman"/>
                <w:color w:val="333333"/>
                <w:sz w:val="28"/>
                <w:szCs w:val="28"/>
              </w:rPr>
              <w:t>; 2710 19 11 10, 2710 19 11 20, 2710 19 11 90; 2710 19 15 10, 2710 19 15 20, 2710 19 15 90, 2710 19 25 00, 2710 19 29 00 згідно з </w:t>
            </w:r>
            <w:hyperlink r:id="rId88">
              <w:r>
                <w:rPr>
                  <w:rFonts w:ascii="Times New Roman" w:eastAsia="Times New Roman" w:hAnsi="Times New Roman" w:cs="Times New Roman"/>
                  <w:color w:val="000099"/>
                  <w:sz w:val="28"/>
                  <w:szCs w:val="28"/>
                  <w:u w:val="single"/>
                </w:rPr>
                <w:t>УКТ ЗЕД</w:t>
              </w:r>
            </w:hyperlink>
            <w:r>
              <w:rPr>
                <w:rFonts w:ascii="Times New Roman" w:eastAsia="Times New Roman" w:hAnsi="Times New Roman" w:cs="Times New Roman"/>
                <w:color w:val="333333"/>
                <w:sz w:val="28"/>
                <w:szCs w:val="28"/>
              </w:rPr>
              <w:t>) можуть ввозитися в Україну в якості сировини для виробництва у хімічній промисловості без сплати акцизного податку.</w:t>
            </w:r>
          </w:p>
          <w:p w:rsidR="00CA6C41" w:rsidRDefault="00CA6C41">
            <w:pPr>
              <w:pStyle w:val="3"/>
              <w:spacing w:before="240" w:after="0" w:line="276" w:lineRule="auto"/>
              <w:ind w:firstLine="180"/>
              <w:jc w:val="both"/>
              <w:rPr>
                <w:b w:val="0"/>
                <w:sz w:val="28"/>
                <w:szCs w:val="28"/>
              </w:rPr>
            </w:pPr>
          </w:p>
        </w:tc>
      </w:tr>
      <w:tr w:rsidR="00CA6C41">
        <w:tc>
          <w:tcPr>
            <w:tcW w:w="7350" w:type="dxa"/>
            <w:shd w:val="clear" w:color="auto" w:fill="auto"/>
            <w:tcMar>
              <w:top w:w="100" w:type="dxa"/>
              <w:left w:w="100" w:type="dxa"/>
              <w:bottom w:w="100" w:type="dxa"/>
              <w:right w:w="100" w:type="dxa"/>
            </w:tcMar>
          </w:tcPr>
          <w:p w:rsidR="00CA6C41" w:rsidRDefault="00FC4AC1">
            <w:pPr>
              <w:pStyle w:val="3"/>
              <w:spacing w:before="240" w:after="0" w:line="276" w:lineRule="auto"/>
              <w:ind w:firstLine="180"/>
              <w:jc w:val="both"/>
              <w:rPr>
                <w:b w:val="0"/>
                <w:sz w:val="28"/>
                <w:szCs w:val="28"/>
              </w:rPr>
            </w:pPr>
            <w:r>
              <w:rPr>
                <w:b w:val="0"/>
                <w:sz w:val="28"/>
                <w:szCs w:val="28"/>
              </w:rPr>
              <w:t xml:space="preserve">229.5.3. Для ввезення на митну територію України нафтопродуктів (коди 2710 12 11 10, 2710 12 11 20, 2710 12 </w:t>
            </w:r>
            <w:r>
              <w:rPr>
                <w:b w:val="0"/>
                <w:sz w:val="28"/>
                <w:szCs w:val="28"/>
              </w:rPr>
              <w:lastRenderedPageBreak/>
              <w:t xml:space="preserve">11 90; 2710 12 15 10, 2710 12 15 20, 2710 12 15 90; </w:t>
            </w:r>
            <w:r>
              <w:rPr>
                <w:sz w:val="28"/>
                <w:szCs w:val="28"/>
              </w:rPr>
              <w:t>2710 12 21 00</w:t>
            </w:r>
            <w:r>
              <w:rPr>
                <w:b w:val="0"/>
                <w:sz w:val="28"/>
                <w:szCs w:val="28"/>
              </w:rPr>
              <w:t>; 2710 19 11 10, 2710 19 11 20, 2710 19 11 90; 2710 19 15 10, 2710 19 15 20, 2710 19 15 90, 2710 19 25 00, 2710 19 29 00 згідно з УКТ ЗЕД) з метою використання їх в якості сировини у хімічній промисловості виробник оформлює податковий вексель у трьох примірниках. Один примірник подається контролюючому органу за місцезнаходженням виробника, другий - контролюючому органу за місцем митного оформлення зазначених товарів, третій залишається платнику податку.</w:t>
            </w:r>
          </w:p>
        </w:tc>
        <w:tc>
          <w:tcPr>
            <w:tcW w:w="7545" w:type="dxa"/>
            <w:shd w:val="clear" w:color="auto" w:fill="auto"/>
            <w:tcMar>
              <w:top w:w="100" w:type="dxa"/>
              <w:left w:w="100" w:type="dxa"/>
              <w:bottom w:w="100" w:type="dxa"/>
              <w:right w:w="100" w:type="dxa"/>
            </w:tcMar>
          </w:tcPr>
          <w:p w:rsidR="00CA6C41" w:rsidRDefault="00FC4AC1">
            <w:pPr>
              <w:pStyle w:val="3"/>
              <w:spacing w:before="240" w:after="0" w:line="276" w:lineRule="auto"/>
              <w:ind w:firstLine="180"/>
              <w:jc w:val="both"/>
              <w:rPr>
                <w:b w:val="0"/>
                <w:sz w:val="28"/>
                <w:szCs w:val="28"/>
              </w:rPr>
            </w:pPr>
            <w:r>
              <w:rPr>
                <w:b w:val="0"/>
                <w:sz w:val="28"/>
                <w:szCs w:val="28"/>
              </w:rPr>
              <w:lastRenderedPageBreak/>
              <w:t xml:space="preserve">229.5.3. Для ввезення на митну територію України нафтопродуктів (коди 2710 12 11 10, 2710 12 11 20, 2710 12 11 </w:t>
            </w:r>
            <w:r>
              <w:rPr>
                <w:b w:val="0"/>
                <w:sz w:val="28"/>
                <w:szCs w:val="28"/>
              </w:rPr>
              <w:lastRenderedPageBreak/>
              <w:t xml:space="preserve">90; 2710 12 15 10, 2710 12 15 20, 2710 12 15 90; </w:t>
            </w:r>
            <w:r>
              <w:rPr>
                <w:sz w:val="28"/>
                <w:szCs w:val="28"/>
              </w:rPr>
              <w:t>2710 12 21 10; 2710 12 21 90</w:t>
            </w:r>
            <w:r>
              <w:rPr>
                <w:b w:val="0"/>
                <w:sz w:val="28"/>
                <w:szCs w:val="28"/>
              </w:rPr>
              <w:t>; 2710 19 11 10, 2710 19 11 20, 2710 19 11 90; 2710 19 15 10, 2710 19 15 20, 2710 19 15 90, 2710 19 25 00, 2710 19 29 00 згідно з УКТ ЗЕД) з метою використання їх в якості сировини у хімічній промисловості виробник оформлює податковий вексель у трьох примірниках. Один примірник подається контролюючому органу за місцезнаходженням виробника, другий - контролюючому органу за місцем митного оформлення зазначених товарів, третій залишається платнику податку.</w:t>
            </w:r>
          </w:p>
        </w:tc>
      </w:tr>
      <w:tr w:rsidR="00CA6C41">
        <w:tc>
          <w:tcPr>
            <w:tcW w:w="7350" w:type="dxa"/>
            <w:shd w:val="clear" w:color="auto" w:fill="auto"/>
            <w:tcMar>
              <w:top w:w="100" w:type="dxa"/>
              <w:left w:w="100" w:type="dxa"/>
              <w:bottom w:w="100" w:type="dxa"/>
              <w:right w:w="100" w:type="dxa"/>
            </w:tcMar>
          </w:tcPr>
          <w:p w:rsidR="00CA6C41" w:rsidRDefault="00FC4AC1">
            <w:pPr>
              <w:pStyle w:val="3"/>
              <w:spacing w:before="240" w:after="0" w:line="276" w:lineRule="auto"/>
              <w:ind w:firstLine="180"/>
              <w:jc w:val="both"/>
              <w:rPr>
                <w:b w:val="0"/>
                <w:sz w:val="28"/>
                <w:szCs w:val="28"/>
              </w:rPr>
            </w:pPr>
            <w:r>
              <w:rPr>
                <w:b w:val="0"/>
                <w:sz w:val="28"/>
                <w:szCs w:val="28"/>
              </w:rPr>
              <w:lastRenderedPageBreak/>
              <w:t xml:space="preserve">229.5.7. Підставою для митного оформлення нафтопродуктів (коди 2710 12 11 10, 2710 12 11 20, 2710 12 11 90; 2710 12 15 10, 2710 12 15 20, 2710 12 15 90; </w:t>
            </w:r>
            <w:r>
              <w:rPr>
                <w:sz w:val="28"/>
                <w:szCs w:val="28"/>
              </w:rPr>
              <w:t>2710 12 21 00</w:t>
            </w:r>
            <w:r>
              <w:rPr>
                <w:b w:val="0"/>
                <w:sz w:val="28"/>
                <w:szCs w:val="28"/>
              </w:rPr>
              <w:t>; 2710 19 11 10, 2710 19 11 20, 2710 19 11 90; 2710 19 15 10, 2710 19 15 20, 2710 19 15 90, 2710 19 25 00, 2710 19 29 00 згідно з УКТ ЗЕД), що ввозяться на митну територію України з метою використання у хімічній промисловості, є подання виробником контролюючому органу, який здійснює митне оформлення, другого примірника податкового векселя, авальованого банком та взятого на облік контролюючим органом за місцезнаходженням виробника.</w:t>
            </w:r>
          </w:p>
        </w:tc>
        <w:tc>
          <w:tcPr>
            <w:tcW w:w="7545" w:type="dxa"/>
            <w:shd w:val="clear" w:color="auto" w:fill="auto"/>
            <w:tcMar>
              <w:top w:w="100" w:type="dxa"/>
              <w:left w:w="100" w:type="dxa"/>
              <w:bottom w:w="100" w:type="dxa"/>
              <w:right w:w="100" w:type="dxa"/>
            </w:tcMar>
          </w:tcPr>
          <w:p w:rsidR="00CA6C41" w:rsidRDefault="00FC4AC1">
            <w:pPr>
              <w:pStyle w:val="3"/>
              <w:spacing w:before="240" w:after="0" w:line="276" w:lineRule="auto"/>
              <w:ind w:firstLine="180"/>
              <w:jc w:val="both"/>
              <w:rPr>
                <w:b w:val="0"/>
                <w:sz w:val="28"/>
                <w:szCs w:val="28"/>
              </w:rPr>
            </w:pPr>
            <w:r>
              <w:rPr>
                <w:b w:val="0"/>
                <w:sz w:val="28"/>
                <w:szCs w:val="28"/>
              </w:rPr>
              <w:t xml:space="preserve">229.5.7. Підставою для митного оформлення нафтопродуктів (коди 2710 12 11 10, 2710 12 11 20, 2710 12 11 90; 2710 12 15 10, 2710 12 15 20, 2710 12 15 90; </w:t>
            </w:r>
            <w:r>
              <w:rPr>
                <w:sz w:val="28"/>
                <w:szCs w:val="28"/>
              </w:rPr>
              <w:t>2710 12 21 10; 2710 12 21 90</w:t>
            </w:r>
            <w:r>
              <w:rPr>
                <w:b w:val="0"/>
                <w:sz w:val="28"/>
                <w:szCs w:val="28"/>
              </w:rPr>
              <w:t>; 2710 19 11 10, 2710 19 11 20, 2710 19 11 90; 2710 19 15 10, 2710 19 15 20, 2710 19 15 90, 2710 19 25 00, 2710 19 29 00 згідно з УКТ ЗЕД), що ввозяться на митну територію України з метою використання у хімічній промисловості, є подання виробником контролюючому органу, який здійснює митне оформлення, другого примірника податкового векселя, авальованого банком та взятого на облік контролюючим органом за місцезнаходженням виробника.</w:t>
            </w:r>
          </w:p>
        </w:tc>
      </w:tr>
      <w:tr w:rsidR="00CA6C41">
        <w:tc>
          <w:tcPr>
            <w:tcW w:w="735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229.6.1. Речовини, що використовуються як компоненти моторних палив (коди </w:t>
            </w:r>
            <w:r>
              <w:rPr>
                <w:rFonts w:ascii="Times New Roman" w:eastAsia="Times New Roman" w:hAnsi="Times New Roman" w:cs="Times New Roman"/>
                <w:b/>
                <w:color w:val="333333"/>
                <w:sz w:val="28"/>
                <w:szCs w:val="28"/>
              </w:rPr>
              <w:t>2707 10 90 00, 2707 20 90 00, 2707 30 90 00, 2707 50 90 00</w:t>
            </w:r>
            <w:r>
              <w:rPr>
                <w:rFonts w:ascii="Times New Roman" w:eastAsia="Times New Roman" w:hAnsi="Times New Roman" w:cs="Times New Roman"/>
                <w:color w:val="333333"/>
                <w:sz w:val="28"/>
                <w:szCs w:val="28"/>
              </w:rPr>
              <w:t xml:space="preserve">, 2905 11 00 00, 2909 19 10 00, 2909 19 </w:t>
            </w:r>
            <w:r>
              <w:rPr>
                <w:rFonts w:ascii="Times New Roman" w:eastAsia="Times New Roman" w:hAnsi="Times New Roman" w:cs="Times New Roman"/>
                <w:color w:val="333333"/>
                <w:sz w:val="28"/>
                <w:szCs w:val="28"/>
              </w:rPr>
              <w:lastRenderedPageBreak/>
              <w:t>90 10, 2909 19 90 20, 2909 19 90 90 згідно з </w:t>
            </w:r>
            <w:hyperlink r:id="rId89" w:anchor="n3">
              <w:r>
                <w:rPr>
                  <w:rFonts w:ascii="Times New Roman" w:eastAsia="Times New Roman" w:hAnsi="Times New Roman" w:cs="Times New Roman"/>
                  <w:color w:val="000099"/>
                  <w:sz w:val="28"/>
                  <w:szCs w:val="28"/>
                  <w:u w:val="single"/>
                </w:rPr>
                <w:t>УКТ ЗЕД</w:t>
              </w:r>
            </w:hyperlink>
            <w:r>
              <w:rPr>
                <w:rFonts w:ascii="Times New Roman" w:eastAsia="Times New Roman" w:hAnsi="Times New Roman" w:cs="Times New Roman"/>
                <w:color w:val="333333"/>
                <w:sz w:val="28"/>
                <w:szCs w:val="28"/>
              </w:rPr>
              <w:t>), можуть бути реалізовані як сировина для виробництва в хімічній промисловості за нульовою ставкою акцизного податку.</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7" w:name="bookmark=id.2et92p0" w:colFirst="0" w:colLast="0"/>
            <w:bookmarkStart w:id="8" w:name="bookmark=id.3znysh7" w:colFirst="0" w:colLast="0"/>
            <w:bookmarkEnd w:id="7"/>
            <w:bookmarkEnd w:id="8"/>
            <w:r>
              <w:rPr>
                <w:rFonts w:ascii="Times New Roman" w:eastAsia="Times New Roman" w:hAnsi="Times New Roman" w:cs="Times New Roman"/>
                <w:color w:val="333333"/>
                <w:sz w:val="28"/>
                <w:szCs w:val="28"/>
              </w:rPr>
              <w:t>У такому разі контролюючі органи здійснюють контроль за їх цільовим використанням.</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9" w:name="bookmark=id.tyjcwt" w:colFirst="0" w:colLast="0"/>
            <w:bookmarkEnd w:id="9"/>
            <w:r>
              <w:rPr>
                <w:rFonts w:ascii="Times New Roman" w:eastAsia="Times New Roman" w:hAnsi="Times New Roman" w:cs="Times New Roman"/>
                <w:color w:val="333333"/>
                <w:sz w:val="28"/>
                <w:szCs w:val="28"/>
              </w:rPr>
              <w:t xml:space="preserve">Операції з передачі речовин, що використовуються як компоненти моторних палив (коди </w:t>
            </w:r>
            <w:r>
              <w:rPr>
                <w:rFonts w:ascii="Times New Roman" w:eastAsia="Times New Roman" w:hAnsi="Times New Roman" w:cs="Times New Roman"/>
                <w:b/>
                <w:color w:val="333333"/>
                <w:sz w:val="28"/>
                <w:szCs w:val="28"/>
              </w:rPr>
              <w:t>2707 10 90 00, 2707 20 90 00, 2707 30 90 00, 2707 50 90 00</w:t>
            </w:r>
            <w:r>
              <w:rPr>
                <w:rFonts w:ascii="Times New Roman" w:eastAsia="Times New Roman" w:hAnsi="Times New Roman" w:cs="Times New Roman"/>
                <w:color w:val="333333"/>
                <w:sz w:val="28"/>
                <w:szCs w:val="28"/>
              </w:rPr>
              <w:t>, 2905 11 00 00, 2909 19 10 00, 2909 19 90 10, 2909 19 90 20, 2909 19 90 90 згідно з </w:t>
            </w:r>
            <w:hyperlink r:id="rId90" w:anchor="n3">
              <w:r>
                <w:rPr>
                  <w:rFonts w:ascii="Times New Roman" w:eastAsia="Times New Roman" w:hAnsi="Times New Roman" w:cs="Times New Roman"/>
                  <w:color w:val="000099"/>
                  <w:sz w:val="28"/>
                  <w:szCs w:val="28"/>
                  <w:u w:val="single"/>
                </w:rPr>
                <w:t>УКТ ЗЕД</w:t>
              </w:r>
            </w:hyperlink>
            <w:r>
              <w:rPr>
                <w:rFonts w:ascii="Times New Roman" w:eastAsia="Times New Roman" w:hAnsi="Times New Roman" w:cs="Times New Roman"/>
                <w:color w:val="333333"/>
                <w:sz w:val="28"/>
                <w:szCs w:val="28"/>
              </w:rPr>
              <w:t>) у межах однієї юридичної особи здійснюються без оформлення податкового векселя з обов’язковим підтвердженням цільового використання таких речовин в порядку, передбаченому цим пунктом цієї статті для операцій з оформлення податкового векселя.</w:t>
            </w:r>
          </w:p>
          <w:p w:rsidR="00CA6C41" w:rsidRDefault="00CA6C41">
            <w:pPr>
              <w:pStyle w:val="3"/>
              <w:spacing w:before="240" w:after="0" w:line="276" w:lineRule="auto"/>
              <w:ind w:firstLine="180"/>
              <w:jc w:val="both"/>
              <w:rPr>
                <w:b w:val="0"/>
                <w:sz w:val="28"/>
                <w:szCs w:val="28"/>
              </w:rPr>
            </w:pPr>
          </w:p>
        </w:tc>
        <w:tc>
          <w:tcPr>
            <w:tcW w:w="754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 xml:space="preserve">229.6.1. Речовини, що використовуються як компоненти моторних палив (коди </w:t>
            </w:r>
            <w:r>
              <w:rPr>
                <w:rFonts w:ascii="Times New Roman" w:eastAsia="Times New Roman" w:hAnsi="Times New Roman" w:cs="Times New Roman"/>
                <w:b/>
                <w:color w:val="333333"/>
                <w:sz w:val="28"/>
                <w:szCs w:val="28"/>
              </w:rPr>
              <w:t>2707 10 00 00, 2707 20 00 90, 2707 30 00 90, 2707 50 00 90</w:t>
            </w:r>
            <w:r>
              <w:rPr>
                <w:rFonts w:ascii="Times New Roman" w:eastAsia="Times New Roman" w:hAnsi="Times New Roman" w:cs="Times New Roman"/>
                <w:color w:val="333333"/>
                <w:sz w:val="28"/>
                <w:szCs w:val="28"/>
              </w:rPr>
              <w:t xml:space="preserve">, 2905 11 00 00, 2909 19 10 00, 2909 19 90 </w:t>
            </w:r>
            <w:r>
              <w:rPr>
                <w:rFonts w:ascii="Times New Roman" w:eastAsia="Times New Roman" w:hAnsi="Times New Roman" w:cs="Times New Roman"/>
                <w:color w:val="333333"/>
                <w:sz w:val="28"/>
                <w:szCs w:val="28"/>
              </w:rPr>
              <w:lastRenderedPageBreak/>
              <w:t>10, 2909 19 90 20, 2909 19 90 90 згідно з </w:t>
            </w:r>
            <w:hyperlink r:id="rId91" w:anchor="n3">
              <w:r>
                <w:rPr>
                  <w:rFonts w:ascii="Times New Roman" w:eastAsia="Times New Roman" w:hAnsi="Times New Roman" w:cs="Times New Roman"/>
                  <w:color w:val="000099"/>
                  <w:sz w:val="28"/>
                  <w:szCs w:val="28"/>
                  <w:u w:val="single"/>
                </w:rPr>
                <w:t>УКТ ЗЕД</w:t>
              </w:r>
            </w:hyperlink>
            <w:r>
              <w:rPr>
                <w:rFonts w:ascii="Times New Roman" w:eastAsia="Times New Roman" w:hAnsi="Times New Roman" w:cs="Times New Roman"/>
                <w:color w:val="333333"/>
                <w:sz w:val="28"/>
                <w:szCs w:val="28"/>
              </w:rPr>
              <w:t>), можуть бути реалізовані як сировина для виробництва в хімічній промисловості за нульовою ставкою акцизного податку.</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У такому разі контролюючі органи здійснюють контроль за їх цільовим використанням.</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Операції з передачі речовин, що використовуються як компоненти моторних палив (коди </w:t>
            </w:r>
            <w:r>
              <w:rPr>
                <w:rFonts w:ascii="Times New Roman" w:eastAsia="Times New Roman" w:hAnsi="Times New Roman" w:cs="Times New Roman"/>
                <w:b/>
                <w:color w:val="333333"/>
                <w:sz w:val="28"/>
                <w:szCs w:val="28"/>
              </w:rPr>
              <w:t>2707 10 00 00, 2707 20 00 90, 2707 30 00 90, 2707 50 00 90</w:t>
            </w:r>
            <w:r>
              <w:rPr>
                <w:rFonts w:ascii="Times New Roman" w:eastAsia="Times New Roman" w:hAnsi="Times New Roman" w:cs="Times New Roman"/>
                <w:color w:val="333333"/>
                <w:sz w:val="28"/>
                <w:szCs w:val="28"/>
              </w:rPr>
              <w:t>, 2905 11 00 00, 2909 19 10 00, 2909 19 90 10, 2909 19 90 20, 2909 19 90 90 згідно з </w:t>
            </w:r>
            <w:hyperlink r:id="rId92" w:anchor="n3">
              <w:r>
                <w:rPr>
                  <w:rFonts w:ascii="Times New Roman" w:eastAsia="Times New Roman" w:hAnsi="Times New Roman" w:cs="Times New Roman"/>
                  <w:color w:val="000099"/>
                  <w:sz w:val="28"/>
                  <w:szCs w:val="28"/>
                  <w:u w:val="single"/>
                </w:rPr>
                <w:t>УКТ ЗЕД</w:t>
              </w:r>
            </w:hyperlink>
            <w:r>
              <w:rPr>
                <w:rFonts w:ascii="Times New Roman" w:eastAsia="Times New Roman" w:hAnsi="Times New Roman" w:cs="Times New Roman"/>
                <w:color w:val="333333"/>
                <w:sz w:val="28"/>
                <w:szCs w:val="28"/>
              </w:rPr>
              <w:t>) у межах однієї юридичної особи здійснюються без оформлення податкового векселя з обов’язковим підтвердженням цільового використання таких речовин в порядку, передбаченому цим пунктом цієї статті для операцій з оформлення податкового векселя.</w:t>
            </w:r>
          </w:p>
          <w:p w:rsidR="00CA6C41" w:rsidRDefault="00CA6C41">
            <w:pPr>
              <w:pStyle w:val="3"/>
              <w:spacing w:before="240" w:after="0" w:line="276" w:lineRule="auto"/>
              <w:ind w:firstLine="180"/>
              <w:jc w:val="both"/>
              <w:rPr>
                <w:b w:val="0"/>
                <w:sz w:val="28"/>
                <w:szCs w:val="28"/>
              </w:rPr>
            </w:pPr>
          </w:p>
        </w:tc>
      </w:tr>
      <w:tr w:rsidR="00CA6C41">
        <w:tc>
          <w:tcPr>
            <w:tcW w:w="735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229.7. Особливості оподаткування речовин, що використовуються як компоненти ввезених в Україну моторних палив, які використовуються як сировина для хімічної промисловості</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10" w:name="bookmark=id.3dy6vkm" w:colFirst="0" w:colLast="0"/>
            <w:bookmarkEnd w:id="10"/>
            <w:r>
              <w:rPr>
                <w:rFonts w:ascii="Times New Roman" w:eastAsia="Times New Roman" w:hAnsi="Times New Roman" w:cs="Times New Roman"/>
                <w:color w:val="333333"/>
                <w:sz w:val="28"/>
                <w:szCs w:val="28"/>
              </w:rPr>
              <w:t xml:space="preserve">229.7.1. Речовини, що використовуються як компоненти моторних палив (коди </w:t>
            </w:r>
            <w:r>
              <w:rPr>
                <w:rFonts w:ascii="Times New Roman" w:eastAsia="Times New Roman" w:hAnsi="Times New Roman" w:cs="Times New Roman"/>
                <w:b/>
                <w:color w:val="333333"/>
                <w:sz w:val="28"/>
                <w:szCs w:val="28"/>
              </w:rPr>
              <w:t>2707 10 90 00, 2707 20 90 00, 2707 30 90 00, 2707 50 90 00,</w:t>
            </w:r>
            <w:r>
              <w:rPr>
                <w:rFonts w:ascii="Times New Roman" w:eastAsia="Times New Roman" w:hAnsi="Times New Roman" w:cs="Times New Roman"/>
                <w:color w:val="333333"/>
                <w:sz w:val="28"/>
                <w:szCs w:val="28"/>
              </w:rPr>
              <w:t xml:space="preserve"> 2905 11 00 00, 2909 19 10 00, 2909 19 90 10, 2909 19 90 20, 2909 19 90 90 згідно з </w:t>
            </w:r>
            <w:hyperlink r:id="rId93" w:anchor="n3">
              <w:r>
                <w:rPr>
                  <w:rFonts w:ascii="Times New Roman" w:eastAsia="Times New Roman" w:hAnsi="Times New Roman" w:cs="Times New Roman"/>
                  <w:color w:val="000099"/>
                  <w:sz w:val="28"/>
                  <w:szCs w:val="28"/>
                  <w:u w:val="single"/>
                </w:rPr>
                <w:t>УКТ ЗЕД</w:t>
              </w:r>
            </w:hyperlink>
            <w:r>
              <w:rPr>
                <w:rFonts w:ascii="Times New Roman" w:eastAsia="Times New Roman" w:hAnsi="Times New Roman" w:cs="Times New Roman"/>
                <w:color w:val="333333"/>
                <w:sz w:val="28"/>
                <w:szCs w:val="28"/>
              </w:rPr>
              <w:t>), можуть ввозитися в Україну як сировина для виробництва в хімічній промисловості без сплати акцизного податку.</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bookmarkStart w:id="11" w:name="bookmark=id.4d34og8" w:colFirst="0" w:colLast="0"/>
            <w:bookmarkStart w:id="12" w:name="bookmark=id.1t3h5sf" w:colFirst="0" w:colLast="0"/>
            <w:bookmarkEnd w:id="11"/>
            <w:bookmarkEnd w:id="12"/>
            <w:r>
              <w:rPr>
                <w:rFonts w:ascii="Times New Roman" w:eastAsia="Times New Roman" w:hAnsi="Times New Roman" w:cs="Times New Roman"/>
                <w:color w:val="333333"/>
                <w:sz w:val="28"/>
                <w:szCs w:val="28"/>
              </w:rPr>
              <w:lastRenderedPageBreak/>
              <w:t>У такому разі контролюючі органи здійснюють контроль за їх цільовим використанням.</w:t>
            </w:r>
          </w:p>
          <w:p w:rsidR="00CA6C41" w:rsidRDefault="00CA6C4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p>
        </w:tc>
        <w:tc>
          <w:tcPr>
            <w:tcW w:w="754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229.7. Особливості оподаткування речовин, що використовуються як компоненти ввезених в Україну моторних палив, які використовуються як сировина для хімічної промисловості</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229.7.1. Речовини, що використовуються як компоненти моторних палив (коди </w:t>
            </w:r>
            <w:r>
              <w:rPr>
                <w:rFonts w:ascii="Times New Roman" w:eastAsia="Times New Roman" w:hAnsi="Times New Roman" w:cs="Times New Roman"/>
                <w:b/>
                <w:color w:val="333333"/>
                <w:sz w:val="28"/>
                <w:szCs w:val="28"/>
              </w:rPr>
              <w:t>2707 10 00 00, 2707 20 00 90, 2707 30 00 90, 2707 50 00 90</w:t>
            </w:r>
            <w:r>
              <w:rPr>
                <w:rFonts w:ascii="Times New Roman" w:eastAsia="Times New Roman" w:hAnsi="Times New Roman" w:cs="Times New Roman"/>
                <w:color w:val="333333"/>
                <w:sz w:val="28"/>
                <w:szCs w:val="28"/>
              </w:rPr>
              <w:t>, 2905 11 00 00, 2909 19 10 00, 2909 19 90 10, 2909 19 90 20, 2909 19 90 90 згідно з </w:t>
            </w:r>
            <w:hyperlink r:id="rId94" w:anchor="n3">
              <w:r>
                <w:rPr>
                  <w:rFonts w:ascii="Times New Roman" w:eastAsia="Times New Roman" w:hAnsi="Times New Roman" w:cs="Times New Roman"/>
                  <w:color w:val="000099"/>
                  <w:sz w:val="28"/>
                  <w:szCs w:val="28"/>
                  <w:u w:val="single"/>
                </w:rPr>
                <w:t>УКТ ЗЕД</w:t>
              </w:r>
            </w:hyperlink>
            <w:r>
              <w:rPr>
                <w:rFonts w:ascii="Times New Roman" w:eastAsia="Times New Roman" w:hAnsi="Times New Roman" w:cs="Times New Roman"/>
                <w:color w:val="333333"/>
                <w:sz w:val="28"/>
                <w:szCs w:val="28"/>
              </w:rPr>
              <w:t>), можуть ввозитися в Україну як сировина для виробництва в хімічній промисловості без сплати акцизного податку.</w:t>
            </w:r>
          </w:p>
          <w:p w:rsidR="00CA6C41" w:rsidRDefault="00FC4AC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У такому разі контролюючі органи здійснюють контроль за їх цільовим використанням.</w:t>
            </w:r>
          </w:p>
          <w:p w:rsidR="00CA6C41" w:rsidRDefault="00CA6C41">
            <w:pPr>
              <w:pBdr>
                <w:top w:val="nil"/>
                <w:left w:val="nil"/>
                <w:bottom w:val="nil"/>
                <w:right w:val="nil"/>
                <w:between w:val="nil"/>
              </w:pBdr>
              <w:shd w:val="clear" w:color="auto" w:fill="FFFFFF"/>
              <w:spacing w:after="150" w:line="240" w:lineRule="auto"/>
              <w:ind w:firstLine="450"/>
              <w:jc w:val="both"/>
              <w:rPr>
                <w:rFonts w:ascii="Times New Roman" w:eastAsia="Times New Roman" w:hAnsi="Times New Roman" w:cs="Times New Roman"/>
                <w:color w:val="333333"/>
                <w:sz w:val="28"/>
                <w:szCs w:val="28"/>
              </w:rPr>
            </w:pPr>
          </w:p>
        </w:tc>
      </w:tr>
      <w:tr w:rsidR="00CA6C41">
        <w:tc>
          <w:tcPr>
            <w:tcW w:w="7350" w:type="dxa"/>
            <w:shd w:val="clear" w:color="auto" w:fill="auto"/>
            <w:tcMar>
              <w:top w:w="0" w:type="dxa"/>
              <w:left w:w="108" w:type="dxa"/>
              <w:bottom w:w="0" w:type="dxa"/>
              <w:right w:w="108" w:type="dxa"/>
            </w:tcMar>
          </w:tcPr>
          <w:p w:rsidR="00CA6C41" w:rsidRDefault="00FC4AC1">
            <w:pPr>
              <w:pStyle w:val="3"/>
              <w:spacing w:after="0"/>
              <w:ind w:firstLine="306"/>
              <w:jc w:val="both"/>
              <w:rPr>
                <w:sz w:val="28"/>
                <w:szCs w:val="28"/>
              </w:rPr>
            </w:pPr>
            <w:r>
              <w:rPr>
                <w:sz w:val="28"/>
                <w:szCs w:val="28"/>
              </w:rPr>
              <w:lastRenderedPageBreak/>
              <w:t xml:space="preserve">Стаття 230. </w:t>
            </w:r>
            <w:r>
              <w:rPr>
                <w:b w:val="0"/>
                <w:sz w:val="28"/>
                <w:szCs w:val="28"/>
              </w:rPr>
              <w:t>Акцизні склади</w:t>
            </w:r>
            <w:r>
              <w:rPr>
                <w:sz w:val="28"/>
                <w:szCs w:val="28"/>
              </w:rPr>
              <w:t xml:space="preserve"> </w:t>
            </w:r>
          </w:p>
        </w:tc>
        <w:tc>
          <w:tcPr>
            <w:tcW w:w="7545" w:type="dxa"/>
            <w:shd w:val="clear" w:color="auto" w:fill="auto"/>
            <w:tcMar>
              <w:top w:w="0" w:type="dxa"/>
              <w:left w:w="108" w:type="dxa"/>
              <w:bottom w:w="0" w:type="dxa"/>
              <w:right w:w="108" w:type="dxa"/>
            </w:tcMar>
          </w:tcPr>
          <w:p w:rsidR="00CA6C41" w:rsidRDefault="00FC4AC1">
            <w:pPr>
              <w:pStyle w:val="3"/>
              <w:spacing w:after="0"/>
              <w:ind w:firstLine="306"/>
              <w:jc w:val="both"/>
              <w:rPr>
                <w:sz w:val="28"/>
                <w:szCs w:val="28"/>
              </w:rPr>
            </w:pPr>
            <w:r>
              <w:rPr>
                <w:sz w:val="28"/>
                <w:szCs w:val="28"/>
              </w:rPr>
              <w:t xml:space="preserve">Стаття 230. </w:t>
            </w:r>
            <w:r>
              <w:rPr>
                <w:b w:val="0"/>
                <w:sz w:val="28"/>
                <w:szCs w:val="28"/>
              </w:rPr>
              <w:t>Акцизні склади</w:t>
            </w:r>
            <w:r>
              <w:rPr>
                <w:sz w:val="28"/>
                <w:szCs w:val="28"/>
              </w:rPr>
              <w:t xml:space="preserve"> </w:t>
            </w:r>
          </w:p>
        </w:tc>
      </w:tr>
      <w:tr w:rsidR="00CA6C41">
        <w:tc>
          <w:tcPr>
            <w:tcW w:w="73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230.1.5. Транспортні засоби, що набули статусу акцизних складів пересувних, а також транспортні засоби, що використовуються суб'єктом господарювання, який не є розпорядником акцизного складу, для переміщення на митній території України власного пального або спирту етилового для потреб власного споживання чи промислової переробки, повинні обліковуватися в Переліку транспортних засобів, що переміщують пальне або спирт етиловий, створення та ведення якого забезпечується центральним органом виконавчої влади, що реалізує державну податкову політику, у порядку, затвердженому центральним органом виконавчої влади, що забезпечує формування та реалізує державну фінансову політику. Перелік транспортних засобів, що переміщують пальне або спирт етиловий, розміщується на офіційному веб-сайті центрального органу виконавчої влади, що реалізує державну податкову політику.</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Включення/виключення транспортних засобів до/з Переліку транспортних засобів, що переміщують пальне або спирт етиловий, здійснюється автоматично на підставі даних акцизних накладних, зареєстрованих в Єдиному реєстрі акцизних накладних, або на підставі заявок на переміщення пального або спирту етилового транспортними засобами, що не є акцизними складами пересувними, із зазначенням періоду переміщення такого </w:t>
            </w:r>
            <w:r>
              <w:rPr>
                <w:rFonts w:ascii="Times New Roman" w:eastAsia="Times New Roman" w:hAnsi="Times New Roman" w:cs="Times New Roman"/>
                <w:sz w:val="28"/>
                <w:szCs w:val="28"/>
              </w:rPr>
              <w:lastRenderedPageBreak/>
              <w:t>пального або спирту етилового, або на підставі митних декларацій при переміщенні пального або спирту етилового митною територією України прохідним транзитом або внутрішнім транзитом, визначеним підпунктом "а" пункту 2 частини другої статті 91 Митного кодексу України. Такі заявки подаються суб'єктами господарювання, які не є розпорядниками акцизних складів, до переміщення митною територією України у транспортних засобах, які не є акцизними складами пересувними, власного пального або спирту етилового для потреб власного споживання чи промислової переробки. Форма заявки на переміщення пального або спирту етилового транспортними засобами, що не є акцизними складами пересувними, затверджується центральним органом виконавчої влади, що забезпечує формування та реалізує державну фінансову політику. Такі заявки у формі електронних документів надсилаються центральному органу виконавчої влади, що реалізує державну податкову політику.</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Переміщення пального або спирту етилового транспортними засобами, що не зазначені в акцизних накладних, зареєстрованих у Єдиному реєстрі акцизних накладних, складених на операції, при здійсненні яких переміщується пальне або спирт етиловий у таких транспортних засобах, а також не зазначені у заявках на переміщення пального або спирту етилового транспортними засобами, що не є акцизними складами пересувними, які надіслані центральному органу виконавчої влади, що реалізує державну податкову політику, забороняється.</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Транспортні засоби, що використовуються для переміщення на митній території України пального або спирту етилового, не облаштовуються витратомірами-лічильниками та рівнемірами-лічильниками.</w:t>
            </w:r>
          </w:p>
        </w:tc>
        <w:tc>
          <w:tcPr>
            <w:tcW w:w="754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230.1.5. Транспортні засоби, що набули статусу акцизних складів пересувних, а також транспортні засоби, що використовуються суб'єктом господарювання, який не є розпорядником акцизного складу, для переміщення на митній території України власного пального або спирту етилового для потреб власного споживання чи промислової переробки, повинні обліковуватися в Переліку транспортних засобів, що переміщують пальне або спирт етиловий, створення та ведення якого забезпечується центральним органом виконавчої влади, що реалізує державну податкову політику, у порядку, затвердженому центральним органом виконавчої влади, що забезпечує формування та реалізує державну фінансову політику. Перелік транспортних засобів, що переміщують пальне або спирт етиловий, розміщується на офіційному веб-сайті центрального органу виконавчої влади, що реалізує державну податкову політику.</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Включення/виключення транспортних засобів до/з Переліку транспортних засобів, що переміщують пальне або спирт етиловий, здійснюється автоматично на підставі даних акцизних накладних, зареєстрованих в Єдиному реєстрі акцизних накладних, </w:t>
            </w:r>
            <w:r>
              <w:rPr>
                <w:rFonts w:ascii="Times New Roman" w:eastAsia="Times New Roman" w:hAnsi="Times New Roman" w:cs="Times New Roman"/>
                <w:b/>
                <w:sz w:val="28"/>
                <w:szCs w:val="28"/>
              </w:rPr>
              <w:t>або на підставі заявок на поповнення обсягу залишку пального або спирту етилового, зареєстрованих  в системі електронного адміністрування реалізації пального та спирту етилового,</w:t>
            </w:r>
            <w:r>
              <w:rPr>
                <w:rFonts w:ascii="Times New Roman" w:eastAsia="Times New Roman" w:hAnsi="Times New Roman" w:cs="Times New Roman"/>
                <w:sz w:val="28"/>
                <w:szCs w:val="28"/>
              </w:rPr>
              <w:t xml:space="preserve"> або на підставі заявок на переміщення пального або спирту етилового </w:t>
            </w:r>
            <w:r>
              <w:rPr>
                <w:rFonts w:ascii="Times New Roman" w:eastAsia="Times New Roman" w:hAnsi="Times New Roman" w:cs="Times New Roman"/>
                <w:sz w:val="28"/>
                <w:szCs w:val="28"/>
              </w:rPr>
              <w:lastRenderedPageBreak/>
              <w:t>транспортними засобами, що не є акцизними складами пересувними, із зазначенням періоду переміщення такого пального або спирту етилового, або на підставі митних декларацій при переміщенні пального або спирту етилового митною територією України прохідним транзитом або внутрішнім транзитом, визначеним підпунктом "а" пункту 2 частини другої статті 91 Митного кодексу України. Такі заявки подаються суб'єктами господарювання, які не є розпорядниками акцизних складів, до переміщення митною територією України у транспортних засобах, які не є акцизними складами пересувними, власного пального або спирту етилового для потреб власного споживання чи промислової переробки. Форма заявки на переміщення пального або спирту етилового транспортними засобами, що не є акцизними складами пересувними, затверджується центральним органом виконавчої влади, що забезпечує формування та реалізує державну фінансову політику. Такі заявки у формі електронних документів надсилаються центральному органу виконавчої влади, що реалізує державну податкову політику.</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Переміщення пального або спирту етилового транспортними засобами, що не зазначені в акцизних накладних, зареєстрованих у Єдиному реєстрі акцизних накладних, складених на операції, при здійсненні яких переміщується пальне або спирт етиловий у таких транспортних засобах, а також не зазначені у заявках на переміщення пального або спирту етилового транспортними засобами, що не є акцизними складами пересувними, які надіслані центральному органу виконавчої влади, що реалізує державну податкову політику, забороняється.</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Транспортні засоби, що використовуються для переміщення на митній території України пального або спирту етилового, не облаштовуються витратомірами-лічильниками та рівнемірами-лічильниками.</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c>
      </w:tr>
      <w:tr w:rsidR="00CA6C41">
        <w:tc>
          <w:tcPr>
            <w:tcW w:w="73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231.</w:t>
            </w:r>
            <w:r>
              <w:rPr>
                <w:rFonts w:ascii="Times New Roman" w:eastAsia="Times New Roman" w:hAnsi="Times New Roman" w:cs="Times New Roman"/>
                <w:sz w:val="28"/>
                <w:szCs w:val="28"/>
              </w:rPr>
              <w:t xml:space="preserve"> Акцизна накладна</w:t>
            </w:r>
          </w:p>
        </w:tc>
        <w:tc>
          <w:tcPr>
            <w:tcW w:w="754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231.</w:t>
            </w:r>
            <w:r>
              <w:rPr>
                <w:rFonts w:ascii="Times New Roman" w:eastAsia="Times New Roman" w:hAnsi="Times New Roman" w:cs="Times New Roman"/>
                <w:sz w:val="28"/>
                <w:szCs w:val="28"/>
              </w:rPr>
              <w:t xml:space="preserve"> Акцизна накладна</w:t>
            </w:r>
          </w:p>
        </w:tc>
      </w:tr>
      <w:tr w:rsidR="00CA6C41">
        <w:tc>
          <w:tcPr>
            <w:tcW w:w="73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231.3</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Зведена акцизна накладна також може бути складена за кожним кодом товарної підкатегорії згідно з УКТ ЗЕД та окремо за кожним акцизним складом / акцизним складом пересувним особою, яка реалізує пальне, не пізніше останнього дня звітного місяця на загальний обсяг пального, реалізованого у паливний бак транспортного засобу або в тару споживача через паливороздавальні або оливороздавальні колонки з акцизного складу, який є місцем роздрібної торгівлі, на яке отримана відповідна ліцензія, якщо акцизні накладні не були складені на ці операції, або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У разі реалізації пального через паливороздавальну або оливороздавальну колонку у паливний бак транспортного засобу або в тару споживача за готівку кінцевому споживачеві, розрахунки за які проводяться через реєстратори розрахункових операцій або </w:t>
            </w:r>
            <w:r>
              <w:rPr>
                <w:rFonts w:ascii="Times New Roman" w:eastAsia="Times New Roman" w:hAnsi="Times New Roman" w:cs="Times New Roman"/>
                <w:sz w:val="28"/>
                <w:szCs w:val="28"/>
              </w:rPr>
              <w:lastRenderedPageBreak/>
              <w:t>через банківську установу чи платіжний пристрій, платник має право самостійно обирати спосіб складання акцизних накладних на такі операції (зведені або за щоденними підсумками операцій).</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Відсутній </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Особа, яка склала акцизну накладну в двох примірниках, зобов’язана зареєструвати перший примірник такої акцизної накладної в Єдиному реєстрі акцизних накладних, а другий примірник такої акцизної накладної в день її складання надіслати розпоряднику акцизного складу - отримувачу пального або спирту етилового..</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Розпорядник акцизного складу/розпорядник акцизного складу пересувного - отримувач пального або спирту етилового зобов’язаний зареєструвати другий примірник такої акцизної накладної в Єдиному реєстрі акцизних накладних після реєстрації першого примірника такої акцизної накладної в Єдиному реєстрі акцизних накладних </w:t>
            </w:r>
            <w:r>
              <w:rPr>
                <w:rFonts w:ascii="Times New Roman" w:eastAsia="Times New Roman" w:hAnsi="Times New Roman" w:cs="Times New Roman"/>
                <w:sz w:val="28"/>
                <w:szCs w:val="28"/>
              </w:rPr>
              <w:lastRenderedPageBreak/>
              <w:t>та отримання пального або спирту етилового на акцизний склад/акцизний склад пересувний.</w:t>
            </w:r>
          </w:p>
        </w:tc>
        <w:tc>
          <w:tcPr>
            <w:tcW w:w="754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231.3</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Зведена акцизна накладна також може бути складена за кожним кодом товарної підкатегорії згідно з УКТ ЗЕД та окремо за кожним акцизним складом / акцизним складом пересувним особою, яка реалізує пальне, не пізніше останнього дня звітного місяця на загальний обсяг пального, реалізованого у паливний бак транспортного засобу або в тару споживача через паливороздавальні або оливороздавальні колонки з акцизного складу, який є місцем роздрібної торгівлі, на яке отримана відповідна ліцензія, якщо акцизні накладні не були складені на ці операції, або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У разі реалізації пального через паливороздавальну або оливороздавальну колонку у паливний бак транспортного засобу або в тару споживача за готівку кінцевому споживачеві, розрахунки за які проводяться через реєстратори розрахункових операцій або через банківську </w:t>
            </w:r>
            <w:r>
              <w:rPr>
                <w:rFonts w:ascii="Times New Roman" w:eastAsia="Times New Roman" w:hAnsi="Times New Roman" w:cs="Times New Roman"/>
                <w:sz w:val="28"/>
                <w:szCs w:val="28"/>
              </w:rPr>
              <w:lastRenderedPageBreak/>
              <w:t>установу чи платіжний пристрій, платник має право самостійно обирати спосіб складання акцизних накладних на такі операції (зведені або за щоденними підсумками операцій).</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Зведена акцизна накладна також може бути складена за кожним кодом товарної підкатегорії згідно з УКТЗЕД та окремо за кожним акцизним складом / акцизним складом пересувним особою, яка реалізує спирт етиловий, не пізніше останнього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Особа, яка склала акцизну накладну в двох примірниках, зобов'язана зареєструвати перший примірник такої акцизної накладної в Єдиному реєстрі акцизних накладних, а другий примірник такої акцизної накладної в день її складання надіслати розпоряднику акцизного складу </w:t>
            </w:r>
            <w:r>
              <w:rPr>
                <w:rFonts w:ascii="Times New Roman" w:eastAsia="Times New Roman" w:hAnsi="Times New Roman" w:cs="Times New Roman"/>
                <w:b/>
                <w:sz w:val="28"/>
                <w:szCs w:val="28"/>
              </w:rPr>
              <w:t>/розпоряднику акцизного складу пересувного</w:t>
            </w:r>
            <w:r>
              <w:rPr>
                <w:rFonts w:ascii="Times New Roman" w:eastAsia="Times New Roman" w:hAnsi="Times New Roman" w:cs="Times New Roman"/>
                <w:sz w:val="28"/>
                <w:szCs w:val="28"/>
              </w:rPr>
              <w:t xml:space="preserve"> - отримувачу пального або спирту етилового.</w:t>
            </w:r>
          </w:p>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Розпорядник акцизного складу/розпорядник акцизного складу пересувного - отримувач пального або спирту етилового зобов’язаний зареєструвати другий примірник такої акцизної накладної в Єдиному реєстрі акцизних накладних після реєстрації першого примірника такої </w:t>
            </w:r>
            <w:r>
              <w:rPr>
                <w:rFonts w:ascii="Times New Roman" w:eastAsia="Times New Roman" w:hAnsi="Times New Roman" w:cs="Times New Roman"/>
                <w:sz w:val="28"/>
                <w:szCs w:val="28"/>
              </w:rPr>
              <w:lastRenderedPageBreak/>
              <w:t>акцизної накладної в Єдиному реєстрі акцизних накладних та отримання пального або спирту етилового на акцизний склад/акцизний склад пересувний.</w:t>
            </w:r>
          </w:p>
        </w:tc>
      </w:tr>
    </w:tbl>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bl>
      <w:tblPr>
        <w:tblStyle w:val="affffff7"/>
        <w:tblW w:w="1530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05"/>
        <w:gridCol w:w="8003"/>
      </w:tblGrid>
      <w:tr w:rsidR="00CA6C41">
        <w:tc>
          <w:tcPr>
            <w:tcW w:w="730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VIII. ЕКОЛОГІЧНИЙ ПОДАТОК</w:t>
            </w:r>
          </w:p>
        </w:tc>
        <w:tc>
          <w:tcPr>
            <w:tcW w:w="800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VIII. ЕКОЛОГІЧНИЙ ПОДАТОК</w:t>
            </w:r>
          </w:p>
        </w:tc>
      </w:tr>
      <w:tr w:rsidR="00CA6C41">
        <w:tc>
          <w:tcPr>
            <w:tcW w:w="730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243.</w:t>
            </w:r>
            <w:r>
              <w:rPr>
                <w:rFonts w:ascii="Times New Roman" w:eastAsia="Times New Roman" w:hAnsi="Times New Roman" w:cs="Times New Roman"/>
                <w:sz w:val="28"/>
                <w:szCs w:val="28"/>
              </w:rPr>
              <w:t xml:space="preserve"> Ставки податку за викиди в атмосферне повітря забруднюючих речовин стаціонарними джерелами забруднення </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243.1. Ставки податку за викиди в атмосферне повітря окремих забруднюючих речовин стаціонарними джерелами забруднення:</w:t>
            </w:r>
          </w:p>
          <w:tbl>
            <w:tblPr>
              <w:tblStyle w:val="affffff8"/>
              <w:tblW w:w="707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02"/>
              <w:gridCol w:w="3677"/>
            </w:tblGrid>
            <w:tr w:rsidR="00CA6C41">
              <w:trPr>
                <w:jc w:val="center"/>
              </w:trPr>
              <w:tc>
                <w:tcPr>
                  <w:tcW w:w="3402"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Назва забруднюючої речовини</w:t>
                  </w:r>
                </w:p>
              </w:tc>
              <w:tc>
                <w:tcPr>
                  <w:tcW w:w="3677"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гривень за тонну</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Азоту оксиди</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2451,84</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Аміак</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459,85</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Ангідрид сірчистий</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2451,84</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Ацетон</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919,69</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Бенз(о)пірен</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3121217,74</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Бутилацетат</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552,23</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Ванадію п`ятиокис </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9196,93</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Водень хлористий </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92,37</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Вуглецю окис</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92,37</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Вуглеводні</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138,57</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Газоподібні фтористі сполуки</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6070,39</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Тверді речовини </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92,37</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Кадмію сполуки</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19405,92</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Марганець та його сполуки</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19405,92</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Нікель та його сполуки</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98872,97</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Озон</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2451,84</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Ртуть та її сполуки</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103931,28</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Свинець та його сполуки</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103931,28</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Сірководень</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7879,65</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Сірковуглець</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5120,56</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Спирт н-бутиловий</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2451,84</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Стирол</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17903,89</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Фенол</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11128,67</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Формальдегід</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6070,39</w:t>
                  </w:r>
                </w:p>
              </w:tc>
            </w:tr>
            <w:tr w:rsidR="00CA6C41">
              <w:trPr>
                <w:jc w:val="center"/>
              </w:trPr>
              <w:tc>
                <w:tcPr>
                  <w:tcW w:w="340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Хром та його сполуки</w:t>
                  </w:r>
                </w:p>
              </w:tc>
              <w:tc>
                <w:tcPr>
                  <w:tcW w:w="3677"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65822,27</w:t>
                  </w:r>
                </w:p>
              </w:tc>
            </w:tr>
          </w:tbl>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243.2. Ставки податку за викиди в атмосферне повітря стаціонарними джерелами забруднення забруднюючих речовин (сполук), які не увійшли до пункту 243.1 та на які встановлено клас небезпечності:</w:t>
            </w:r>
          </w:p>
          <w:tbl>
            <w:tblPr>
              <w:tblStyle w:val="affffff9"/>
              <w:tblW w:w="707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3"/>
              <w:gridCol w:w="4406"/>
            </w:tblGrid>
            <w:tr w:rsidR="00CA6C41">
              <w:trPr>
                <w:jc w:val="center"/>
              </w:trPr>
              <w:tc>
                <w:tcPr>
                  <w:tcW w:w="2673"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Клас небезпечності</w:t>
                  </w:r>
                </w:p>
              </w:tc>
              <w:tc>
                <w:tcPr>
                  <w:tcW w:w="4406"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гривень за тонну</w:t>
                  </w:r>
                </w:p>
              </w:tc>
            </w:tr>
            <w:tr w:rsidR="00CA6C41">
              <w:trPr>
                <w:jc w:val="center"/>
              </w:trPr>
              <w:tc>
                <w:tcPr>
                  <w:tcW w:w="2673"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w:t>
                  </w:r>
                </w:p>
              </w:tc>
              <w:tc>
                <w:tcPr>
                  <w:tcW w:w="4406"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17536,42</w:t>
                  </w:r>
                </w:p>
              </w:tc>
            </w:tr>
            <w:tr w:rsidR="00CA6C41">
              <w:trPr>
                <w:jc w:val="center"/>
              </w:trPr>
              <w:tc>
                <w:tcPr>
                  <w:tcW w:w="2673"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II</w:t>
                  </w:r>
                </w:p>
              </w:tc>
              <w:tc>
                <w:tcPr>
                  <w:tcW w:w="4406"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4016,11</w:t>
                  </w:r>
                </w:p>
              </w:tc>
            </w:tr>
            <w:tr w:rsidR="00CA6C41">
              <w:trPr>
                <w:jc w:val="center"/>
              </w:trPr>
              <w:tc>
                <w:tcPr>
                  <w:tcW w:w="2673"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III</w:t>
                  </w:r>
                </w:p>
              </w:tc>
              <w:tc>
                <w:tcPr>
                  <w:tcW w:w="4406"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598,40</w:t>
                  </w:r>
                </w:p>
              </w:tc>
            </w:tr>
            <w:tr w:rsidR="00CA6C41">
              <w:trPr>
                <w:jc w:val="center"/>
              </w:trPr>
              <w:tc>
                <w:tcPr>
                  <w:tcW w:w="2673"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IV</w:t>
                  </w:r>
                </w:p>
              </w:tc>
              <w:tc>
                <w:tcPr>
                  <w:tcW w:w="4406"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138,57</w:t>
                  </w:r>
                </w:p>
              </w:tc>
            </w:tr>
          </w:tbl>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орієнтовнобезпечних рівнів впливу таких речовин (сполук) у атмосферному повітрі населених пунктів:</w:t>
            </w:r>
          </w:p>
          <w:tbl>
            <w:tblPr>
              <w:tblStyle w:val="affffffa"/>
              <w:tblW w:w="707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7"/>
              <w:gridCol w:w="3792"/>
            </w:tblGrid>
            <w:tr w:rsidR="00CA6C41">
              <w:tc>
                <w:tcPr>
                  <w:tcW w:w="3287"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Орієнтовнобезпечний рівень</w:t>
                  </w:r>
                </w:p>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впливу речовин (сполук)</w:t>
                  </w:r>
                </w:p>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(міліграмів на куб. метр)</w:t>
                  </w:r>
                </w:p>
              </w:tc>
              <w:tc>
                <w:tcPr>
                  <w:tcW w:w="3792"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гривень за тонну</w:t>
                  </w:r>
                </w:p>
              </w:tc>
            </w:tr>
            <w:tr w:rsidR="00CA6C41">
              <w:tc>
                <w:tcPr>
                  <w:tcW w:w="3287"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firstLine="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Менше 0,0001</w:t>
                  </w:r>
                </w:p>
              </w:tc>
              <w:tc>
                <w:tcPr>
                  <w:tcW w:w="3792"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738187,86</w:t>
                  </w:r>
                </w:p>
              </w:tc>
            </w:tr>
            <w:tr w:rsidR="00CA6C41">
              <w:tc>
                <w:tcPr>
                  <w:tcW w:w="3287"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firstLine="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0,0001 – 0,001 (включно)</w:t>
                  </w:r>
                </w:p>
              </w:tc>
              <w:tc>
                <w:tcPr>
                  <w:tcW w:w="3792"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63247,95</w:t>
                  </w:r>
                </w:p>
              </w:tc>
            </w:tr>
            <w:tr w:rsidR="00CA6C41">
              <w:tc>
                <w:tcPr>
                  <w:tcW w:w="3287"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firstLine="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0,001 – 0,01 (включно)</w:t>
                  </w:r>
                </w:p>
              </w:tc>
              <w:tc>
                <w:tcPr>
                  <w:tcW w:w="3792"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8737,07</w:t>
                  </w:r>
                </w:p>
              </w:tc>
            </w:tr>
            <w:tr w:rsidR="00CA6C41">
              <w:tc>
                <w:tcPr>
                  <w:tcW w:w="3287"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firstLine="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0,01 – 0,1 (включно)</w:t>
                  </w:r>
                </w:p>
              </w:tc>
              <w:tc>
                <w:tcPr>
                  <w:tcW w:w="3792"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2451,84</w:t>
                  </w:r>
                </w:p>
              </w:tc>
            </w:tr>
            <w:tr w:rsidR="00CA6C41">
              <w:tc>
                <w:tcPr>
                  <w:tcW w:w="3287"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firstLine="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0,1 – більше 10</w:t>
                  </w:r>
                </w:p>
              </w:tc>
              <w:tc>
                <w:tcPr>
                  <w:tcW w:w="3792"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92,37</w:t>
                  </w:r>
                </w:p>
              </w:tc>
            </w:tr>
          </w:tbl>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243.4. Ставка податку за викиди двоокису вуглецю становить </w:t>
            </w:r>
            <w:r>
              <w:rPr>
                <w:rFonts w:ascii="Times New Roman" w:eastAsia="Times New Roman" w:hAnsi="Times New Roman" w:cs="Times New Roman"/>
                <w:b/>
                <w:sz w:val="28"/>
                <w:szCs w:val="28"/>
              </w:rPr>
              <w:t>10,00</w:t>
            </w:r>
            <w:r>
              <w:rPr>
                <w:rFonts w:ascii="Times New Roman" w:eastAsia="Times New Roman" w:hAnsi="Times New Roman" w:cs="Times New Roman"/>
                <w:sz w:val="28"/>
                <w:szCs w:val="28"/>
              </w:rPr>
              <w:t xml:space="preserve"> гривень за 1 тонну.</w:t>
            </w:r>
          </w:p>
        </w:tc>
        <w:tc>
          <w:tcPr>
            <w:tcW w:w="800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243.</w:t>
            </w:r>
            <w:r>
              <w:rPr>
                <w:rFonts w:ascii="Times New Roman" w:eastAsia="Times New Roman" w:hAnsi="Times New Roman" w:cs="Times New Roman"/>
                <w:sz w:val="28"/>
                <w:szCs w:val="28"/>
              </w:rPr>
              <w:t xml:space="preserve"> Ставки податку за викиди в атмосферне повітря забруднюючих речовин стаціонарними джерелами забруднення </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243.1. Ставки податку за викиди в атмосферне повітря окремих забруднюючих речовин стаціонарними джерелами забруднення:</w:t>
            </w:r>
          </w:p>
          <w:tbl>
            <w:tblPr>
              <w:tblStyle w:val="affffffb"/>
              <w:tblW w:w="7777"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38"/>
              <w:gridCol w:w="4039"/>
            </w:tblGrid>
            <w:tr w:rsidR="00CA6C41">
              <w:trPr>
                <w:jc w:val="center"/>
              </w:trPr>
              <w:tc>
                <w:tcPr>
                  <w:tcW w:w="3738"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Назва забруднюючої речовини</w:t>
                  </w:r>
                </w:p>
              </w:tc>
              <w:tc>
                <w:tcPr>
                  <w:tcW w:w="4039"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гривень за тонну</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Азоту оксиди</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2736,25</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Аміак</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513,19</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Ангідрид сірчистий</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2736,25</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Ацетон</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1026,37</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Бенз(о)пірен</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3483279</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Бутилацетат</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616,29</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Ванадію п`ятиокис </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10263,77</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Водень хлористий </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103,08</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Вуглецю окис</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103,08</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Вуглеводні</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154,64</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Газоподібні фтористі сполуки</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6774,56</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Тверді речовини </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103,08</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Кадмію сполуки</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21657,01</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Марганець та його сполуки</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21657,01</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Нікель та його сполуки</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110342,23</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Озон</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2736,25</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Ртуть та її сполуки</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115987,31</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Свинець та його сполуки</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115987,31</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Сірководень</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8793,69</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Сірковуглець</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5714,54</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Спирт н-бутиловий</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2736,25</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Стирол</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19980,74</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Фенол</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12419,6</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Формальдегід</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6774,56</w:t>
                  </w:r>
                </w:p>
              </w:tc>
            </w:tr>
            <w:tr w:rsidR="00CA6C41">
              <w:trPr>
                <w:jc w:val="center"/>
              </w:trPr>
              <w:tc>
                <w:tcPr>
                  <w:tcW w:w="373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Хром та його сполуки</w:t>
                  </w:r>
                </w:p>
              </w:tc>
              <w:tc>
                <w:tcPr>
                  <w:tcW w:w="4039"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73457,65</w:t>
                  </w:r>
                </w:p>
              </w:tc>
            </w:tr>
          </w:tbl>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243.2. Ставки податку за викиди в атмосферне повітря стаціонарними джерелами забруднення забруднюючих речовин (сполук), які не увійшли до пункту 243.1 та на які встановлено клас небезпечності:</w:t>
            </w:r>
          </w:p>
          <w:tbl>
            <w:tblPr>
              <w:tblStyle w:val="affffffc"/>
              <w:tblW w:w="7777"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37"/>
              <w:gridCol w:w="4840"/>
            </w:tblGrid>
            <w:tr w:rsidR="00CA6C41">
              <w:trPr>
                <w:jc w:val="center"/>
              </w:trPr>
              <w:tc>
                <w:tcPr>
                  <w:tcW w:w="2937"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Клас небезпечності</w:t>
                  </w:r>
                </w:p>
              </w:tc>
              <w:tc>
                <w:tcPr>
                  <w:tcW w:w="4840"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гривень за тонну</w:t>
                  </w:r>
                </w:p>
              </w:tc>
            </w:tr>
            <w:tr w:rsidR="00CA6C41">
              <w:trPr>
                <w:jc w:val="center"/>
              </w:trPr>
              <w:tc>
                <w:tcPr>
                  <w:tcW w:w="2937"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w:t>
                  </w:r>
                </w:p>
              </w:tc>
              <w:tc>
                <w:tcPr>
                  <w:tcW w:w="4840"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19570,64</w:t>
                  </w:r>
                </w:p>
              </w:tc>
            </w:tr>
            <w:tr w:rsidR="00CA6C41">
              <w:trPr>
                <w:jc w:val="center"/>
              </w:trPr>
              <w:tc>
                <w:tcPr>
                  <w:tcW w:w="2937"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II</w:t>
                  </w:r>
                </w:p>
              </w:tc>
              <w:tc>
                <w:tcPr>
                  <w:tcW w:w="4840"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4481,98</w:t>
                  </w:r>
                </w:p>
              </w:tc>
            </w:tr>
            <w:tr w:rsidR="00CA6C41">
              <w:trPr>
                <w:jc w:val="center"/>
              </w:trPr>
              <w:tc>
                <w:tcPr>
                  <w:tcW w:w="2937"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III</w:t>
                  </w:r>
                </w:p>
              </w:tc>
              <w:tc>
                <w:tcPr>
                  <w:tcW w:w="4840"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667,81</w:t>
                  </w:r>
                </w:p>
              </w:tc>
            </w:tr>
            <w:tr w:rsidR="00CA6C41">
              <w:trPr>
                <w:jc w:val="center"/>
              </w:trPr>
              <w:tc>
                <w:tcPr>
                  <w:tcW w:w="2937"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IV</w:t>
                  </w:r>
                </w:p>
              </w:tc>
              <w:tc>
                <w:tcPr>
                  <w:tcW w:w="4840"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154,64</w:t>
                  </w:r>
                </w:p>
              </w:tc>
            </w:tr>
          </w:tbl>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орієнтовнобезпечних рівнів впливу таких речовин (сполук) у атмосферному повітрі населених пунктів:</w:t>
            </w:r>
          </w:p>
          <w:tbl>
            <w:tblPr>
              <w:tblStyle w:val="affffffd"/>
              <w:tblW w:w="777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11"/>
              <w:gridCol w:w="4166"/>
            </w:tblGrid>
            <w:tr w:rsidR="00CA6C41">
              <w:tc>
                <w:tcPr>
                  <w:tcW w:w="3611"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Орієнтовнобезпечний рівень</w:t>
                  </w:r>
                </w:p>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впливу речовин (сполук)</w:t>
                  </w:r>
                </w:p>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(міліграмів на куб. метр)</w:t>
                  </w:r>
                </w:p>
              </w:tc>
              <w:tc>
                <w:tcPr>
                  <w:tcW w:w="4166" w:type="dxa"/>
                  <w:shd w:val="clear" w:color="auto" w:fill="auto"/>
                  <w:tcMar>
                    <w:top w:w="0" w:type="dxa"/>
                    <w:left w:w="115" w:type="dxa"/>
                    <w:bottom w:w="0" w:type="dxa"/>
                    <w:right w:w="115" w:type="dxa"/>
                  </w:tcMar>
                  <w:vAlign w:val="center"/>
                </w:tcPr>
                <w:p w:rsidR="00CA6C41" w:rsidRDefault="00FC4AC1">
                  <w:pPr>
                    <w:pBdr>
                      <w:top w:val="nil"/>
                      <w:left w:val="nil"/>
                      <w:bottom w:val="nil"/>
                      <w:right w:val="nil"/>
                      <w:between w:val="nil"/>
                    </w:pBdr>
                    <w:tabs>
                      <w:tab w:val="left" w:pos="916"/>
                      <w:tab w:val="left" w:pos="1701"/>
                      <w:tab w:val="left" w:pos="1832"/>
                      <w:tab w:val="left" w:pos="2748"/>
                      <w:tab w:val="left" w:pos="3664"/>
                      <w:tab w:val="left" w:pos="4580"/>
                      <w:tab w:val="left" w:pos="5496"/>
                      <w:tab w:val="left" w:pos="6412"/>
                      <w:tab w:val="left" w:pos="7328"/>
                      <w:tab w:val="left" w:pos="8244"/>
                      <w:tab w:val="left" w:pos="9160"/>
                      <w:tab w:val="right" w:pos="972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 гривень за тонну</w:t>
                  </w:r>
                </w:p>
              </w:tc>
            </w:tr>
            <w:tr w:rsidR="00CA6C41">
              <w:tc>
                <w:tcPr>
                  <w:tcW w:w="361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firstLine="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Менше 0,0001</w:t>
                  </w:r>
                </w:p>
              </w:tc>
              <w:tc>
                <w:tcPr>
                  <w:tcW w:w="4166"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823817,65</w:t>
                  </w:r>
                </w:p>
              </w:tc>
            </w:tr>
            <w:tr w:rsidR="00CA6C41">
              <w:tc>
                <w:tcPr>
                  <w:tcW w:w="361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firstLine="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0,0001 – 0,001 (включно)</w:t>
                  </w:r>
                </w:p>
              </w:tc>
              <w:tc>
                <w:tcPr>
                  <w:tcW w:w="4166"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70584,71</w:t>
                  </w:r>
                </w:p>
              </w:tc>
            </w:tr>
            <w:tr w:rsidR="00CA6C41">
              <w:tc>
                <w:tcPr>
                  <w:tcW w:w="361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firstLine="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0,001 – 0,01 (включно)</w:t>
                  </w:r>
                </w:p>
              </w:tc>
              <w:tc>
                <w:tcPr>
                  <w:tcW w:w="4166"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9750,57</w:t>
                  </w:r>
                </w:p>
              </w:tc>
            </w:tr>
            <w:tr w:rsidR="00CA6C41">
              <w:tc>
                <w:tcPr>
                  <w:tcW w:w="361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firstLine="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0,01 – 0,1 (включно)</w:t>
                  </w:r>
                </w:p>
              </w:tc>
              <w:tc>
                <w:tcPr>
                  <w:tcW w:w="4166"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2736,25</w:t>
                  </w:r>
                </w:p>
              </w:tc>
            </w:tr>
            <w:tr w:rsidR="00CA6C41">
              <w:tc>
                <w:tcPr>
                  <w:tcW w:w="3611"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1701"/>
                      <w:tab w:val="right" w:pos="9720"/>
                    </w:tabs>
                    <w:spacing w:after="0" w:line="240" w:lineRule="auto"/>
                    <w:ind w:firstLine="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0,1 – більше 10</w:t>
                  </w:r>
                </w:p>
              </w:tc>
              <w:tc>
                <w:tcPr>
                  <w:tcW w:w="4166" w:type="dxa"/>
                  <w:shd w:val="clear" w:color="auto" w:fill="auto"/>
                  <w:tcMar>
                    <w:top w:w="0" w:type="dxa"/>
                    <w:left w:w="115" w:type="dxa"/>
                    <w:bottom w:w="0" w:type="dxa"/>
                    <w:right w:w="115" w:type="dxa"/>
                  </w:tcMar>
                  <w:vAlign w:val="bottom"/>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103,08</w:t>
                  </w:r>
                </w:p>
              </w:tc>
            </w:tr>
          </w:tbl>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243.4. Ставка податку за викиди двоокису вуглецю становить </w:t>
            </w:r>
            <w:r>
              <w:rPr>
                <w:rFonts w:ascii="Times New Roman" w:eastAsia="Times New Roman" w:hAnsi="Times New Roman" w:cs="Times New Roman"/>
                <w:b/>
                <w:sz w:val="28"/>
                <w:szCs w:val="28"/>
              </w:rPr>
              <w:t>30</w:t>
            </w:r>
            <w:r>
              <w:rPr>
                <w:rFonts w:ascii="Times New Roman" w:eastAsia="Times New Roman" w:hAnsi="Times New Roman" w:cs="Times New Roman"/>
                <w:sz w:val="28"/>
                <w:szCs w:val="28"/>
              </w:rPr>
              <w:t xml:space="preserve"> гривень за 1 тонну.</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c>
      </w:tr>
      <w:tr w:rsidR="00CA6C41">
        <w:tc>
          <w:tcPr>
            <w:tcW w:w="730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245.</w:t>
            </w:r>
            <w:r>
              <w:rPr>
                <w:rFonts w:ascii="Times New Roman" w:eastAsia="Times New Roman" w:hAnsi="Times New Roman" w:cs="Times New Roman"/>
                <w:sz w:val="28"/>
                <w:szCs w:val="28"/>
              </w:rPr>
              <w:t> Ставки податку за скиди забруднюючих речовин у водні об'єкти</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245.1. Ставки податку за скиди окремих забруднюючих речовин у водні об’єкти:</w:t>
            </w:r>
          </w:p>
          <w:tbl>
            <w:tblPr>
              <w:tblStyle w:val="affffffe"/>
              <w:tblW w:w="707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21"/>
              <w:gridCol w:w="1558"/>
            </w:tblGrid>
            <w:tr w:rsidR="00CA6C41">
              <w:trPr>
                <w:jc w:val="center"/>
              </w:trPr>
              <w:tc>
                <w:tcPr>
                  <w:tcW w:w="552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Найменування забруднюючої речовини</w:t>
                  </w:r>
                </w:p>
              </w:tc>
              <w:tc>
                <w:tcPr>
                  <w:tcW w:w="155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r>
                    <w:rPr>
                      <w:rFonts w:ascii="Times New Roman" w:eastAsia="Times New Roman" w:hAnsi="Times New Roman" w:cs="Times New Roman"/>
                      <w:sz w:val="28"/>
                      <w:szCs w:val="28"/>
                    </w:rPr>
                    <w:br/>
                    <w:t>гривень за 1 тонну</w:t>
                  </w:r>
                </w:p>
              </w:tc>
            </w:tr>
            <w:tr w:rsidR="00CA6C41">
              <w:trPr>
                <w:jc w:val="center"/>
              </w:trPr>
              <w:tc>
                <w:tcPr>
                  <w:tcW w:w="552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Азот амонійний</w:t>
                  </w:r>
                </w:p>
              </w:tc>
              <w:tc>
                <w:tcPr>
                  <w:tcW w:w="155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1610,48</w:t>
                  </w:r>
                </w:p>
              </w:tc>
            </w:tr>
            <w:tr w:rsidR="00CA6C41">
              <w:trPr>
                <w:jc w:val="center"/>
              </w:trPr>
              <w:tc>
                <w:tcPr>
                  <w:tcW w:w="552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Органічні речовини (за показниками біохімічного споживання кисню (БСК 5)</w:t>
                  </w:r>
                </w:p>
              </w:tc>
              <w:tc>
                <w:tcPr>
                  <w:tcW w:w="155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644,6</w:t>
                  </w:r>
                </w:p>
              </w:tc>
            </w:tr>
            <w:tr w:rsidR="00CA6C41">
              <w:trPr>
                <w:jc w:val="center"/>
              </w:trPr>
              <w:tc>
                <w:tcPr>
                  <w:tcW w:w="552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Завислі речовини</w:t>
                  </w:r>
                </w:p>
              </w:tc>
              <w:tc>
                <w:tcPr>
                  <w:tcW w:w="155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46,19</w:t>
                  </w:r>
                </w:p>
              </w:tc>
            </w:tr>
            <w:tr w:rsidR="00CA6C41">
              <w:trPr>
                <w:jc w:val="center"/>
              </w:trPr>
              <w:tc>
                <w:tcPr>
                  <w:tcW w:w="552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Нафтопродукти</w:t>
                  </w:r>
                </w:p>
              </w:tc>
              <w:tc>
                <w:tcPr>
                  <w:tcW w:w="155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9474,05</w:t>
                  </w:r>
                </w:p>
              </w:tc>
            </w:tr>
            <w:tr w:rsidR="00CA6C41">
              <w:trPr>
                <w:jc w:val="center"/>
              </w:trPr>
              <w:tc>
                <w:tcPr>
                  <w:tcW w:w="552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Нітрати</w:t>
                  </w:r>
                </w:p>
              </w:tc>
              <w:tc>
                <w:tcPr>
                  <w:tcW w:w="155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138,57</w:t>
                  </w:r>
                </w:p>
              </w:tc>
            </w:tr>
            <w:tr w:rsidR="00CA6C41">
              <w:trPr>
                <w:jc w:val="center"/>
              </w:trPr>
              <w:tc>
                <w:tcPr>
                  <w:tcW w:w="552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Нітрити</w:t>
                  </w:r>
                </w:p>
              </w:tc>
              <w:tc>
                <w:tcPr>
                  <w:tcW w:w="155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7909,77</w:t>
                  </w:r>
                </w:p>
              </w:tc>
            </w:tr>
            <w:tr w:rsidR="00CA6C41">
              <w:trPr>
                <w:jc w:val="center"/>
              </w:trPr>
              <w:tc>
                <w:tcPr>
                  <w:tcW w:w="552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Сульфати</w:t>
                  </w:r>
                </w:p>
              </w:tc>
              <w:tc>
                <w:tcPr>
                  <w:tcW w:w="155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46,19</w:t>
                  </w:r>
                </w:p>
              </w:tc>
            </w:tr>
            <w:tr w:rsidR="00CA6C41">
              <w:trPr>
                <w:jc w:val="center"/>
              </w:trPr>
              <w:tc>
                <w:tcPr>
                  <w:tcW w:w="552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Фосфати</w:t>
                  </w:r>
                </w:p>
              </w:tc>
              <w:tc>
                <w:tcPr>
                  <w:tcW w:w="155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1287,18</w:t>
                  </w:r>
                </w:p>
              </w:tc>
            </w:tr>
            <w:tr w:rsidR="00CA6C41">
              <w:trPr>
                <w:jc w:val="center"/>
              </w:trPr>
              <w:tc>
                <w:tcPr>
                  <w:tcW w:w="552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Хлориди</w:t>
                  </w:r>
                </w:p>
              </w:tc>
              <w:tc>
                <w:tcPr>
                  <w:tcW w:w="155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46,19.</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800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245.</w:t>
            </w:r>
            <w:r>
              <w:rPr>
                <w:rFonts w:ascii="Times New Roman" w:eastAsia="Times New Roman" w:hAnsi="Times New Roman" w:cs="Times New Roman"/>
                <w:sz w:val="28"/>
                <w:szCs w:val="28"/>
              </w:rPr>
              <w:t> Ставки податку за скиди забруднюючих речовин у водні об'єкти</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245.1. Ставки податку за скиди окремих забруднюючих речовин у водні об’єкти:</w:t>
            </w:r>
          </w:p>
          <w:tbl>
            <w:tblPr>
              <w:tblStyle w:val="afffffff"/>
              <w:tblW w:w="7777"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11"/>
              <w:gridCol w:w="1666"/>
            </w:tblGrid>
            <w:tr w:rsidR="00CA6C41">
              <w:trPr>
                <w:jc w:val="center"/>
              </w:trPr>
              <w:tc>
                <w:tcPr>
                  <w:tcW w:w="611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Найменування забруднюючої речовини</w:t>
                  </w:r>
                </w:p>
              </w:tc>
              <w:tc>
                <w:tcPr>
                  <w:tcW w:w="1666"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r>
                    <w:rPr>
                      <w:rFonts w:ascii="Times New Roman" w:eastAsia="Times New Roman" w:hAnsi="Times New Roman" w:cs="Times New Roman"/>
                      <w:sz w:val="28"/>
                      <w:szCs w:val="28"/>
                    </w:rPr>
                    <w:br/>
                    <w:t>гривень за 1 тонну</w:t>
                  </w:r>
                </w:p>
              </w:tc>
            </w:tr>
            <w:tr w:rsidR="00CA6C41">
              <w:trPr>
                <w:jc w:val="center"/>
              </w:trPr>
              <w:tc>
                <w:tcPr>
                  <w:tcW w:w="611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Азот амонійний</w:t>
                  </w:r>
                </w:p>
              </w:tc>
              <w:tc>
                <w:tcPr>
                  <w:tcW w:w="1666"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680"/>
                    </w:tabs>
                    <w:spacing w:after="0" w:line="240" w:lineRule="auto"/>
                    <w:ind w:right="138"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16104,8</w:t>
                  </w:r>
                </w:p>
              </w:tc>
            </w:tr>
            <w:tr w:rsidR="00CA6C41">
              <w:trPr>
                <w:jc w:val="center"/>
              </w:trPr>
              <w:tc>
                <w:tcPr>
                  <w:tcW w:w="611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Органічні речовини (за показниками біохімічного споживання кисню (БСК 5)</w:t>
                  </w:r>
                </w:p>
              </w:tc>
              <w:tc>
                <w:tcPr>
                  <w:tcW w:w="1666"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6446</w:t>
                  </w:r>
                </w:p>
              </w:tc>
            </w:tr>
            <w:tr w:rsidR="00CA6C41">
              <w:trPr>
                <w:jc w:val="center"/>
              </w:trPr>
              <w:tc>
                <w:tcPr>
                  <w:tcW w:w="611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Завислі речовини</w:t>
                  </w:r>
                </w:p>
              </w:tc>
              <w:tc>
                <w:tcPr>
                  <w:tcW w:w="1666"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461,9</w:t>
                  </w:r>
                </w:p>
              </w:tc>
            </w:tr>
            <w:tr w:rsidR="00CA6C41">
              <w:trPr>
                <w:jc w:val="center"/>
              </w:trPr>
              <w:tc>
                <w:tcPr>
                  <w:tcW w:w="611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Нафтопродукти</w:t>
                  </w:r>
                </w:p>
              </w:tc>
              <w:tc>
                <w:tcPr>
                  <w:tcW w:w="1666"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94740,5</w:t>
                  </w:r>
                </w:p>
              </w:tc>
            </w:tr>
            <w:tr w:rsidR="00CA6C41">
              <w:trPr>
                <w:jc w:val="center"/>
              </w:trPr>
              <w:tc>
                <w:tcPr>
                  <w:tcW w:w="611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tabs>
                      <w:tab w:val="center" w:pos="1644"/>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Нітрати</w:t>
                  </w:r>
                  <w:r>
                    <w:rPr>
                      <w:rFonts w:ascii="Times New Roman" w:eastAsia="Times New Roman" w:hAnsi="Times New Roman" w:cs="Times New Roman"/>
                      <w:sz w:val="28"/>
                      <w:szCs w:val="28"/>
                    </w:rPr>
                    <w:tab/>
                  </w:r>
                </w:p>
              </w:tc>
              <w:tc>
                <w:tcPr>
                  <w:tcW w:w="1666"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1385,7</w:t>
                  </w:r>
                </w:p>
              </w:tc>
            </w:tr>
            <w:tr w:rsidR="00CA6C41">
              <w:trPr>
                <w:jc w:val="center"/>
              </w:trPr>
              <w:tc>
                <w:tcPr>
                  <w:tcW w:w="611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Нітрити</w:t>
                  </w:r>
                </w:p>
              </w:tc>
              <w:tc>
                <w:tcPr>
                  <w:tcW w:w="1666"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79097,7</w:t>
                  </w:r>
                </w:p>
              </w:tc>
            </w:tr>
            <w:tr w:rsidR="00CA6C41">
              <w:trPr>
                <w:jc w:val="center"/>
              </w:trPr>
              <w:tc>
                <w:tcPr>
                  <w:tcW w:w="611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Сульфати</w:t>
                  </w:r>
                </w:p>
              </w:tc>
              <w:tc>
                <w:tcPr>
                  <w:tcW w:w="1666"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461,9</w:t>
                  </w:r>
                </w:p>
              </w:tc>
            </w:tr>
            <w:tr w:rsidR="00CA6C41">
              <w:trPr>
                <w:jc w:val="center"/>
              </w:trPr>
              <w:tc>
                <w:tcPr>
                  <w:tcW w:w="611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Фосфати</w:t>
                  </w:r>
                </w:p>
              </w:tc>
              <w:tc>
                <w:tcPr>
                  <w:tcW w:w="1666"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12871,8</w:t>
                  </w:r>
                </w:p>
              </w:tc>
            </w:tr>
            <w:tr w:rsidR="00CA6C41">
              <w:trPr>
                <w:jc w:val="center"/>
              </w:trPr>
              <w:tc>
                <w:tcPr>
                  <w:tcW w:w="611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Хлориди</w:t>
                  </w:r>
                </w:p>
              </w:tc>
              <w:tc>
                <w:tcPr>
                  <w:tcW w:w="1666"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461,9</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730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245.2. Ставки податку за скиди у водні об’єкти забруднюючих речовин, які не увійшли до </w:t>
            </w:r>
            <w:hyperlink r:id="rId95" w:anchor="n6012">
              <w:r>
                <w:rPr>
                  <w:rFonts w:ascii="Times New Roman" w:eastAsia="Times New Roman" w:hAnsi="Times New Roman" w:cs="Times New Roman"/>
                  <w:sz w:val="28"/>
                  <w:szCs w:val="28"/>
                  <w:u w:val="single"/>
                </w:rPr>
                <w:t xml:space="preserve">пункту </w:t>
              </w:r>
              <w:r>
                <w:rPr>
                  <w:rFonts w:ascii="Times New Roman" w:eastAsia="Times New Roman" w:hAnsi="Times New Roman" w:cs="Times New Roman"/>
                  <w:sz w:val="28"/>
                  <w:szCs w:val="28"/>
                  <w:u w:val="single"/>
                </w:rPr>
                <w:lastRenderedPageBreak/>
                <w:t>245.1</w:t>
              </w:r>
            </w:hyperlink>
            <w:r>
              <w:rPr>
                <w:rFonts w:ascii="Times New Roman" w:eastAsia="Times New Roman" w:hAnsi="Times New Roman" w:cs="Times New Roman"/>
                <w:sz w:val="28"/>
                <w:szCs w:val="28"/>
              </w:rPr>
              <w:t> цієї статті та на які встановлено гранично допустиму концентрацію або орієнтовно безпечний рівень впливу:</w:t>
            </w:r>
          </w:p>
          <w:tbl>
            <w:tblPr>
              <w:tblStyle w:val="afffffff0"/>
              <w:tblW w:w="707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67"/>
              <w:gridCol w:w="1412"/>
            </w:tblGrid>
            <w:tr w:rsidR="00CA6C41">
              <w:trPr>
                <w:jc w:val="center"/>
              </w:trPr>
              <w:tc>
                <w:tcPr>
                  <w:tcW w:w="56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Гранично допустима концентрація забруднюючих речовин або орієнтовно безпечний рівень впливу, міліграмів на 1 літр</w:t>
                  </w:r>
                </w:p>
              </w:tc>
              <w:tc>
                <w:tcPr>
                  <w:tcW w:w="14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r>
                    <w:rPr>
                      <w:rFonts w:ascii="Times New Roman" w:eastAsia="Times New Roman" w:hAnsi="Times New Roman" w:cs="Times New Roman"/>
                      <w:sz w:val="28"/>
                      <w:szCs w:val="28"/>
                    </w:rPr>
                    <w:br/>
                    <w:t>гривень за 1 тонну</w:t>
                  </w:r>
                </w:p>
              </w:tc>
            </w:tr>
            <w:tr w:rsidR="00CA6C41">
              <w:trPr>
                <w:jc w:val="center"/>
              </w:trPr>
              <w:tc>
                <w:tcPr>
                  <w:tcW w:w="56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0,001 (включно)</w:t>
                  </w:r>
                </w:p>
              </w:tc>
              <w:tc>
                <w:tcPr>
                  <w:tcW w:w="14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168743,5</w:t>
                  </w:r>
                </w:p>
              </w:tc>
            </w:tr>
            <w:tr w:rsidR="00CA6C41">
              <w:trPr>
                <w:jc w:val="center"/>
              </w:trPr>
              <w:tc>
                <w:tcPr>
                  <w:tcW w:w="56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0,001-0,1 (включно)</w:t>
                  </w:r>
                </w:p>
              </w:tc>
              <w:tc>
                <w:tcPr>
                  <w:tcW w:w="14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122347,23</w:t>
                  </w:r>
                </w:p>
              </w:tc>
            </w:tr>
            <w:tr w:rsidR="00CA6C41">
              <w:trPr>
                <w:jc w:val="center"/>
              </w:trPr>
              <w:tc>
                <w:tcPr>
                  <w:tcW w:w="56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0,1-1 (включно)</w:t>
                  </w:r>
                </w:p>
              </w:tc>
              <w:tc>
                <w:tcPr>
                  <w:tcW w:w="14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21092,69</w:t>
                  </w:r>
                </w:p>
              </w:tc>
            </w:tr>
            <w:tr w:rsidR="00CA6C41">
              <w:trPr>
                <w:jc w:val="center"/>
              </w:trPr>
              <w:tc>
                <w:tcPr>
                  <w:tcW w:w="56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1-10 (включно)</w:t>
                  </w:r>
                </w:p>
              </w:tc>
              <w:tc>
                <w:tcPr>
                  <w:tcW w:w="14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2146,63</w:t>
                  </w:r>
                </w:p>
              </w:tc>
            </w:tr>
            <w:tr w:rsidR="00CA6C41">
              <w:trPr>
                <w:jc w:val="center"/>
              </w:trPr>
              <w:tc>
                <w:tcPr>
                  <w:tcW w:w="56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10</w:t>
                  </w:r>
                </w:p>
              </w:tc>
              <w:tc>
                <w:tcPr>
                  <w:tcW w:w="14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429,72.</w:t>
                  </w:r>
                </w:p>
              </w:tc>
            </w:tr>
          </w:tbl>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tc>
        <w:tc>
          <w:tcPr>
            <w:tcW w:w="800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245.2. Ставки податку за скиди у водні об’єкти забруднюючих речовин, які не увійшли до </w:t>
            </w:r>
            <w:hyperlink r:id="rId96" w:anchor="n6012">
              <w:r>
                <w:rPr>
                  <w:rFonts w:ascii="Times New Roman" w:eastAsia="Times New Roman" w:hAnsi="Times New Roman" w:cs="Times New Roman"/>
                  <w:sz w:val="28"/>
                  <w:szCs w:val="28"/>
                  <w:u w:val="single"/>
                </w:rPr>
                <w:t>пункту 245.1</w:t>
              </w:r>
            </w:hyperlink>
            <w:r>
              <w:rPr>
                <w:rFonts w:ascii="Times New Roman" w:eastAsia="Times New Roman" w:hAnsi="Times New Roman" w:cs="Times New Roman"/>
                <w:sz w:val="28"/>
                <w:szCs w:val="28"/>
              </w:rPr>
              <w:t xml:space="preserve"> цієї статті та на які </w:t>
            </w:r>
            <w:r>
              <w:rPr>
                <w:rFonts w:ascii="Times New Roman" w:eastAsia="Times New Roman" w:hAnsi="Times New Roman" w:cs="Times New Roman"/>
                <w:sz w:val="28"/>
                <w:szCs w:val="28"/>
              </w:rPr>
              <w:lastRenderedPageBreak/>
              <w:t>встановлено гранично допустиму концентрацію або орієнтовно безпечний рівень впливу:</w:t>
            </w:r>
          </w:p>
          <w:tbl>
            <w:tblPr>
              <w:tblStyle w:val="afffffff1"/>
              <w:tblW w:w="7777"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12"/>
              <w:gridCol w:w="1465"/>
            </w:tblGrid>
            <w:tr w:rsidR="00CA6C41">
              <w:trPr>
                <w:jc w:val="center"/>
              </w:trPr>
              <w:tc>
                <w:tcPr>
                  <w:tcW w:w="63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Гранично допустима концентрація забруднюючих речовин або орієнтовно безпечний рівень впливу, міліграмів на 1 літр</w:t>
                  </w:r>
                </w:p>
              </w:tc>
              <w:tc>
                <w:tcPr>
                  <w:tcW w:w="1465"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r>
                    <w:rPr>
                      <w:rFonts w:ascii="Times New Roman" w:eastAsia="Times New Roman" w:hAnsi="Times New Roman" w:cs="Times New Roman"/>
                      <w:sz w:val="28"/>
                      <w:szCs w:val="28"/>
                    </w:rPr>
                    <w:br/>
                    <w:t>гривень за 1 тонну</w:t>
                  </w:r>
                </w:p>
              </w:tc>
            </w:tr>
            <w:tr w:rsidR="00CA6C41">
              <w:trPr>
                <w:jc w:val="center"/>
              </w:trPr>
              <w:tc>
                <w:tcPr>
                  <w:tcW w:w="63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0,001 (включно)</w:t>
                  </w:r>
                </w:p>
              </w:tc>
              <w:tc>
                <w:tcPr>
                  <w:tcW w:w="1465"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1687435</w:t>
                  </w:r>
                </w:p>
              </w:tc>
            </w:tr>
            <w:tr w:rsidR="00CA6C41">
              <w:trPr>
                <w:jc w:val="center"/>
              </w:trPr>
              <w:tc>
                <w:tcPr>
                  <w:tcW w:w="63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0,001-0,1 (включно)</w:t>
                  </w:r>
                </w:p>
              </w:tc>
              <w:tc>
                <w:tcPr>
                  <w:tcW w:w="1465"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1223472,3</w:t>
                  </w:r>
                </w:p>
              </w:tc>
            </w:tr>
            <w:tr w:rsidR="00CA6C41">
              <w:trPr>
                <w:jc w:val="center"/>
              </w:trPr>
              <w:tc>
                <w:tcPr>
                  <w:tcW w:w="63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0,1-1 (включно)</w:t>
                  </w:r>
                </w:p>
              </w:tc>
              <w:tc>
                <w:tcPr>
                  <w:tcW w:w="1465"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210926,9</w:t>
                  </w:r>
                </w:p>
              </w:tc>
            </w:tr>
            <w:tr w:rsidR="00CA6C41">
              <w:trPr>
                <w:jc w:val="center"/>
              </w:trPr>
              <w:tc>
                <w:tcPr>
                  <w:tcW w:w="63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1-10 (включно)</w:t>
                  </w:r>
                </w:p>
              </w:tc>
              <w:tc>
                <w:tcPr>
                  <w:tcW w:w="1465"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21466,3</w:t>
                  </w:r>
                </w:p>
              </w:tc>
            </w:tr>
            <w:tr w:rsidR="00CA6C41">
              <w:trPr>
                <w:jc w:val="center"/>
              </w:trPr>
              <w:tc>
                <w:tcPr>
                  <w:tcW w:w="631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Понад 10</w:t>
                  </w:r>
                </w:p>
              </w:tc>
              <w:tc>
                <w:tcPr>
                  <w:tcW w:w="1465" w:type="dxa"/>
                  <w:shd w:val="clear" w:color="auto" w:fill="auto"/>
                  <w:tcMar>
                    <w:top w:w="30" w:type="dxa"/>
                    <w:left w:w="30" w:type="dxa"/>
                    <w:bottom w:w="30" w:type="dxa"/>
                    <w:right w:w="30" w:type="dxa"/>
                  </w:tcMar>
                  <w:vAlign w:val="center"/>
                </w:tcPr>
                <w:p w:rsidR="00CA6C41" w:rsidRDefault="00FC4AC1">
                  <w:pPr>
                    <w:pBdr>
                      <w:top w:val="nil"/>
                      <w:left w:val="nil"/>
                      <w:bottom w:val="nil"/>
                      <w:right w:val="nil"/>
                      <w:between w:val="nil"/>
                    </w:pBdr>
                    <w:tabs>
                      <w:tab w:val="center" w:pos="4740"/>
                    </w:tabs>
                    <w:spacing w:after="0" w:line="240" w:lineRule="auto"/>
                    <w:ind w:firstLine="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4297,2.</w:t>
                  </w:r>
                </w:p>
              </w:tc>
            </w:tr>
          </w:tbl>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730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246.</w:t>
            </w:r>
            <w:r>
              <w:rPr>
                <w:rFonts w:ascii="Times New Roman" w:eastAsia="Times New Roman" w:hAnsi="Times New Roman" w:cs="Times New Roman"/>
                <w:sz w:val="28"/>
                <w:szCs w:val="28"/>
              </w:rPr>
              <w:t> Ставки податку за розміщення відходів у спеціально відведених для цього місцях чи на об'єктах</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246.1. Ставки податку за розміщення окремих видів надзвичайно небезпечних відходів:</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246.1.1. обладнання та приладів, що містять ртуть, елементи з іонізуючим випромінюванням, - </w:t>
            </w:r>
            <w:r>
              <w:rPr>
                <w:rFonts w:ascii="Times New Roman" w:eastAsia="Times New Roman" w:hAnsi="Times New Roman" w:cs="Times New Roman"/>
                <w:b/>
                <w:sz w:val="28"/>
                <w:szCs w:val="28"/>
              </w:rPr>
              <w:t xml:space="preserve">865,47 </w:t>
            </w:r>
            <w:r>
              <w:rPr>
                <w:rFonts w:ascii="Times New Roman" w:eastAsia="Times New Roman" w:hAnsi="Times New Roman" w:cs="Times New Roman"/>
                <w:sz w:val="28"/>
                <w:szCs w:val="28"/>
              </w:rPr>
              <w:t>гривні за одиницю;</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246.1.2. люмінесцентних ламп - </w:t>
            </w:r>
            <w:r>
              <w:rPr>
                <w:rFonts w:ascii="Times New Roman" w:eastAsia="Times New Roman" w:hAnsi="Times New Roman" w:cs="Times New Roman"/>
                <w:b/>
                <w:sz w:val="28"/>
                <w:szCs w:val="28"/>
              </w:rPr>
              <w:t>15,06</w:t>
            </w:r>
            <w:r>
              <w:rPr>
                <w:rFonts w:ascii="Times New Roman" w:eastAsia="Times New Roman" w:hAnsi="Times New Roman" w:cs="Times New Roman"/>
                <w:sz w:val="28"/>
                <w:szCs w:val="28"/>
              </w:rPr>
              <w:t xml:space="preserve"> гривні за одиницю.</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Style w:val="afffffff2"/>
              <w:tblW w:w="707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8"/>
              <w:gridCol w:w="3883"/>
              <w:gridCol w:w="1418"/>
            </w:tblGrid>
            <w:tr w:rsidR="00CA6C41">
              <w:trPr>
                <w:jc w:val="center"/>
              </w:trPr>
              <w:tc>
                <w:tcPr>
                  <w:tcW w:w="177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Клас небезпеки відходів</w:t>
                  </w:r>
                </w:p>
              </w:tc>
              <w:tc>
                <w:tcPr>
                  <w:tcW w:w="388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Рівень небезпечності відходів</w:t>
                  </w:r>
                </w:p>
              </w:tc>
              <w:tc>
                <w:tcPr>
                  <w:tcW w:w="141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r>
                    <w:rPr>
                      <w:rFonts w:ascii="Times New Roman" w:eastAsia="Times New Roman" w:hAnsi="Times New Roman" w:cs="Times New Roman"/>
                      <w:sz w:val="28"/>
                      <w:szCs w:val="28"/>
                    </w:rPr>
                    <w:br/>
                    <w:t>гривень за 1 тонну</w:t>
                  </w:r>
                </w:p>
              </w:tc>
            </w:tr>
            <w:tr w:rsidR="00CA6C41">
              <w:trPr>
                <w:jc w:val="center"/>
              </w:trPr>
              <w:tc>
                <w:tcPr>
                  <w:tcW w:w="177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I</w:t>
                  </w:r>
                </w:p>
              </w:tc>
              <w:tc>
                <w:tcPr>
                  <w:tcW w:w="388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надзвичайно небезпечні</w:t>
                  </w:r>
                </w:p>
              </w:tc>
              <w:tc>
                <w:tcPr>
                  <w:tcW w:w="141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1405,65</w:t>
                  </w:r>
                </w:p>
              </w:tc>
            </w:tr>
            <w:tr w:rsidR="00CA6C41">
              <w:trPr>
                <w:jc w:val="center"/>
              </w:trPr>
              <w:tc>
                <w:tcPr>
                  <w:tcW w:w="177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II</w:t>
                  </w:r>
                </w:p>
              </w:tc>
              <w:tc>
                <w:tcPr>
                  <w:tcW w:w="388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високонебезпечні</w:t>
                  </w:r>
                </w:p>
              </w:tc>
              <w:tc>
                <w:tcPr>
                  <w:tcW w:w="141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51,2</w:t>
                  </w:r>
                </w:p>
              </w:tc>
            </w:tr>
            <w:tr w:rsidR="00CA6C41">
              <w:trPr>
                <w:jc w:val="center"/>
              </w:trPr>
              <w:tc>
                <w:tcPr>
                  <w:tcW w:w="177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III</w:t>
                  </w:r>
                </w:p>
              </w:tc>
              <w:tc>
                <w:tcPr>
                  <w:tcW w:w="388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помірно небезпечні</w:t>
                  </w:r>
                </w:p>
              </w:tc>
              <w:tc>
                <w:tcPr>
                  <w:tcW w:w="141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12,84</w:t>
                  </w:r>
                </w:p>
              </w:tc>
            </w:tr>
            <w:tr w:rsidR="00CA6C41">
              <w:trPr>
                <w:jc w:val="center"/>
              </w:trPr>
              <w:tc>
                <w:tcPr>
                  <w:tcW w:w="177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IV</w:t>
                  </w:r>
                </w:p>
              </w:tc>
              <w:tc>
                <w:tcPr>
                  <w:tcW w:w="388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малонебезпечні</w:t>
                  </w:r>
                </w:p>
              </w:tc>
              <w:tc>
                <w:tcPr>
                  <w:tcW w:w="141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p>
              </w:tc>
            </w:tr>
            <w:tr w:rsidR="00CA6C41">
              <w:trPr>
                <w:jc w:val="center"/>
              </w:trPr>
              <w:tc>
                <w:tcPr>
                  <w:tcW w:w="177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c>
                <w:tcPr>
                  <w:tcW w:w="388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малонебезпечні нетоксичні відходи гірничої промисловості</w:t>
                  </w:r>
                </w:p>
              </w:tc>
              <w:tc>
                <w:tcPr>
                  <w:tcW w:w="141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0,49.</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800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246.</w:t>
            </w:r>
            <w:r>
              <w:rPr>
                <w:rFonts w:ascii="Times New Roman" w:eastAsia="Times New Roman" w:hAnsi="Times New Roman" w:cs="Times New Roman"/>
                <w:sz w:val="28"/>
                <w:szCs w:val="28"/>
              </w:rPr>
              <w:t> Ставки податку за розміщення відходів у спеціально відведених для цього місцях чи на об'єктах</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246.1. Ставки податку за розміщення окремих видів надзвичайно небезпечних відходів:</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246.1.1. обладнання та приладів, що містять ртуть, елементи з іонізуючим випромінюванням, - </w:t>
            </w:r>
            <w:r>
              <w:rPr>
                <w:rFonts w:ascii="Times New Roman" w:eastAsia="Times New Roman" w:hAnsi="Times New Roman" w:cs="Times New Roman"/>
                <w:b/>
                <w:sz w:val="28"/>
                <w:szCs w:val="28"/>
              </w:rPr>
              <w:t>965,86</w:t>
            </w:r>
            <w:r>
              <w:rPr>
                <w:rFonts w:ascii="Times New Roman" w:eastAsia="Times New Roman" w:hAnsi="Times New Roman" w:cs="Times New Roman"/>
                <w:sz w:val="28"/>
                <w:szCs w:val="28"/>
              </w:rPr>
              <w:t xml:space="preserve"> гривні за одиницю;</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246.1.2. люмінесцентних ламп - </w:t>
            </w:r>
            <w:r>
              <w:rPr>
                <w:rFonts w:ascii="Times New Roman" w:eastAsia="Times New Roman" w:hAnsi="Times New Roman" w:cs="Times New Roman"/>
                <w:b/>
                <w:sz w:val="28"/>
                <w:szCs w:val="28"/>
              </w:rPr>
              <w:t>16,81</w:t>
            </w:r>
            <w:r>
              <w:rPr>
                <w:rFonts w:ascii="Times New Roman" w:eastAsia="Times New Roman" w:hAnsi="Times New Roman" w:cs="Times New Roman"/>
                <w:sz w:val="28"/>
                <w:szCs w:val="28"/>
              </w:rPr>
              <w:t xml:space="preserve"> гривні за одиницю.</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Style w:val="afffffff3"/>
              <w:tblW w:w="777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8"/>
              <w:gridCol w:w="4324"/>
              <w:gridCol w:w="1523"/>
            </w:tblGrid>
            <w:tr w:rsidR="00CA6C41">
              <w:trPr>
                <w:jc w:val="center"/>
              </w:trPr>
              <w:tc>
                <w:tcPr>
                  <w:tcW w:w="192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Клас небезпеки відходів</w:t>
                  </w:r>
                </w:p>
              </w:tc>
              <w:tc>
                <w:tcPr>
                  <w:tcW w:w="4325"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Рівень небезпечності відходів</w:t>
                  </w:r>
                </w:p>
              </w:tc>
              <w:tc>
                <w:tcPr>
                  <w:tcW w:w="152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r>
                    <w:rPr>
                      <w:rFonts w:ascii="Times New Roman" w:eastAsia="Times New Roman" w:hAnsi="Times New Roman" w:cs="Times New Roman"/>
                      <w:sz w:val="28"/>
                      <w:szCs w:val="28"/>
                    </w:rPr>
                    <w:br/>
                    <w:t>гривень за 1 тонну</w:t>
                  </w:r>
                </w:p>
              </w:tc>
            </w:tr>
            <w:tr w:rsidR="00CA6C41">
              <w:trPr>
                <w:jc w:val="center"/>
              </w:trPr>
              <w:tc>
                <w:tcPr>
                  <w:tcW w:w="192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w:t>
                  </w:r>
                </w:p>
              </w:tc>
              <w:tc>
                <w:tcPr>
                  <w:tcW w:w="4325"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надзвичайно небезпечні</w:t>
                  </w:r>
                </w:p>
              </w:tc>
              <w:tc>
                <w:tcPr>
                  <w:tcW w:w="152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1568,71</w:t>
                  </w:r>
                </w:p>
              </w:tc>
            </w:tr>
            <w:tr w:rsidR="00CA6C41">
              <w:trPr>
                <w:jc w:val="center"/>
              </w:trPr>
              <w:tc>
                <w:tcPr>
                  <w:tcW w:w="192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II</w:t>
                  </w:r>
                </w:p>
              </w:tc>
              <w:tc>
                <w:tcPr>
                  <w:tcW w:w="4325"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високонебезпечні</w:t>
                  </w:r>
                </w:p>
              </w:tc>
              <w:tc>
                <w:tcPr>
                  <w:tcW w:w="152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57,14</w:t>
                  </w:r>
                </w:p>
              </w:tc>
            </w:tr>
            <w:tr w:rsidR="00CA6C41">
              <w:trPr>
                <w:jc w:val="center"/>
              </w:trPr>
              <w:tc>
                <w:tcPr>
                  <w:tcW w:w="192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III</w:t>
                  </w:r>
                </w:p>
              </w:tc>
              <w:tc>
                <w:tcPr>
                  <w:tcW w:w="4325"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помірно небезпечні</w:t>
                  </w:r>
                </w:p>
              </w:tc>
              <w:tc>
                <w:tcPr>
                  <w:tcW w:w="152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14,33</w:t>
                  </w:r>
                </w:p>
              </w:tc>
            </w:tr>
            <w:tr w:rsidR="00CA6C41">
              <w:trPr>
                <w:jc w:val="center"/>
              </w:trPr>
              <w:tc>
                <w:tcPr>
                  <w:tcW w:w="192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IV</w:t>
                  </w:r>
                </w:p>
              </w:tc>
              <w:tc>
                <w:tcPr>
                  <w:tcW w:w="4325"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малонебезпечні</w:t>
                  </w:r>
                </w:p>
              </w:tc>
              <w:tc>
                <w:tcPr>
                  <w:tcW w:w="152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5,58</w:t>
                  </w:r>
                </w:p>
              </w:tc>
            </w:tr>
            <w:tr w:rsidR="00CA6C41">
              <w:trPr>
                <w:jc w:val="center"/>
              </w:trPr>
              <w:tc>
                <w:tcPr>
                  <w:tcW w:w="1928" w:type="dxa"/>
                  <w:shd w:val="clear" w:color="auto" w:fill="auto"/>
                  <w:tcMar>
                    <w:top w:w="30" w:type="dxa"/>
                    <w:left w:w="30" w:type="dxa"/>
                    <w:bottom w:w="30" w:type="dxa"/>
                    <w:right w:w="3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4325"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малонебезпечні нетоксичні відходи гірничої промисловості</w:t>
                  </w:r>
                </w:p>
              </w:tc>
              <w:tc>
                <w:tcPr>
                  <w:tcW w:w="1523"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0,55</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730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247.</w:t>
            </w:r>
            <w:r>
              <w:rPr>
                <w:rFonts w:ascii="Times New Roman" w:eastAsia="Times New Roman" w:hAnsi="Times New Roman" w:cs="Times New Roman"/>
                <w:sz w:val="28"/>
                <w:szCs w:val="28"/>
              </w:rPr>
              <w:t> Ставки податку за утворення радіоактивних відходів (включаючи вже накопичені)</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Pr>
                <w:rFonts w:ascii="Times New Roman" w:eastAsia="Times New Roman" w:hAnsi="Times New Roman" w:cs="Times New Roman"/>
                <w:b/>
                <w:sz w:val="28"/>
                <w:szCs w:val="28"/>
              </w:rPr>
              <w:t>0,0127</w:t>
            </w:r>
            <w:r>
              <w:rPr>
                <w:rFonts w:ascii="Times New Roman" w:eastAsia="Times New Roman" w:hAnsi="Times New Roman" w:cs="Times New Roman"/>
                <w:sz w:val="28"/>
                <w:szCs w:val="28"/>
              </w:rPr>
              <w:t xml:space="preserve"> гривні у розрахунку на 1 кВт-год виробленої електричної енергії.</w:t>
            </w:r>
          </w:p>
        </w:tc>
        <w:tc>
          <w:tcPr>
            <w:tcW w:w="800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247.</w:t>
            </w:r>
            <w:r>
              <w:rPr>
                <w:rFonts w:ascii="Times New Roman" w:eastAsia="Times New Roman" w:hAnsi="Times New Roman" w:cs="Times New Roman"/>
                <w:sz w:val="28"/>
                <w:szCs w:val="28"/>
              </w:rPr>
              <w:t> Ставки податку за утворення радіоактивних відходів (включаючи вже накопичені)</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Pr>
                <w:rFonts w:ascii="Times New Roman" w:eastAsia="Times New Roman" w:hAnsi="Times New Roman" w:cs="Times New Roman"/>
                <w:b/>
                <w:sz w:val="28"/>
                <w:szCs w:val="28"/>
              </w:rPr>
              <w:t>0,0142</w:t>
            </w:r>
            <w:r>
              <w:rPr>
                <w:rFonts w:ascii="Times New Roman" w:eastAsia="Times New Roman" w:hAnsi="Times New Roman" w:cs="Times New Roman"/>
                <w:sz w:val="28"/>
                <w:szCs w:val="28"/>
              </w:rPr>
              <w:t xml:space="preserve"> гривні у розрахунку на 1 кВт-год виробленої електричної енергії.</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c>
      </w:tr>
      <w:tr w:rsidR="00CA6C41">
        <w:tc>
          <w:tcPr>
            <w:tcW w:w="730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248.</w:t>
            </w:r>
            <w:r>
              <w:rPr>
                <w:rFonts w:ascii="Times New Roman" w:eastAsia="Times New Roman" w:hAnsi="Times New Roman" w:cs="Times New Roman"/>
                <w:sz w:val="28"/>
                <w:szCs w:val="28"/>
              </w:rPr>
              <w:t> Ставки податку за тимчасове зберігання радіоактивних відходів їх виробниками понад установлений особливими умовами ліцензії строк</w:t>
            </w:r>
          </w:p>
          <w:p w:rsidR="00CA6C41" w:rsidRDefault="00CA6C41">
            <w:pPr>
              <w:pBdr>
                <w:top w:val="nil"/>
                <w:left w:val="nil"/>
                <w:bottom w:val="nil"/>
                <w:right w:val="nil"/>
                <w:between w:val="nil"/>
              </w:pBdr>
              <w:spacing w:after="0" w:line="240" w:lineRule="auto"/>
              <w:ind w:firstLine="306"/>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Style w:val="afffffff4"/>
              <w:tblW w:w="707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9"/>
              <w:gridCol w:w="2671"/>
              <w:gridCol w:w="2499"/>
            </w:tblGrid>
            <w:tr w:rsidR="00CA6C41">
              <w:trPr>
                <w:jc w:val="center"/>
              </w:trPr>
              <w:tc>
                <w:tcPr>
                  <w:tcW w:w="190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Категорія відходів</w:t>
                  </w:r>
                </w:p>
              </w:tc>
              <w:tc>
                <w:tcPr>
                  <w:tcW w:w="267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Ставка податку за тимчасове зберігання радіоактивних відходів (крім відходів, представлених як джерела іонізуючого </w:t>
                  </w:r>
                  <w:r>
                    <w:rPr>
                      <w:rFonts w:ascii="Times New Roman" w:eastAsia="Times New Roman" w:hAnsi="Times New Roman" w:cs="Times New Roman"/>
                      <w:sz w:val="28"/>
                      <w:szCs w:val="28"/>
                    </w:rPr>
                    <w:lastRenderedPageBreak/>
                    <w:t>випромінювання),</w:t>
                  </w:r>
                  <w:r>
                    <w:rPr>
                      <w:rFonts w:ascii="Times New Roman" w:eastAsia="Times New Roman" w:hAnsi="Times New Roman" w:cs="Times New Roman"/>
                      <w:sz w:val="28"/>
                      <w:szCs w:val="28"/>
                    </w:rPr>
                    <w:br/>
                    <w:t>гривень за 1 куб. метр</w:t>
                  </w:r>
                </w:p>
              </w:tc>
              <w:tc>
                <w:tcPr>
                  <w:tcW w:w="249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Ставка податку за тимчасове зберігання радіоактивних відходів, представлених як джерела </w:t>
                  </w:r>
                  <w:r>
                    <w:rPr>
                      <w:rFonts w:ascii="Times New Roman" w:eastAsia="Times New Roman" w:hAnsi="Times New Roman" w:cs="Times New Roman"/>
                      <w:sz w:val="28"/>
                      <w:szCs w:val="28"/>
                    </w:rPr>
                    <w:lastRenderedPageBreak/>
                    <w:t>іонізуючого випромінювання,</w:t>
                  </w:r>
                  <w:r>
                    <w:rPr>
                      <w:rFonts w:ascii="Times New Roman" w:eastAsia="Times New Roman" w:hAnsi="Times New Roman" w:cs="Times New Roman"/>
                      <w:sz w:val="28"/>
                      <w:szCs w:val="28"/>
                    </w:rPr>
                    <w:br/>
                    <w:t>гривень за 1 куб. сантиметр</w:t>
                  </w:r>
                </w:p>
              </w:tc>
            </w:tr>
            <w:tr w:rsidR="00CA6C41">
              <w:trPr>
                <w:jc w:val="center"/>
              </w:trPr>
              <w:tc>
                <w:tcPr>
                  <w:tcW w:w="190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Високоактивні</w:t>
                  </w:r>
                </w:p>
              </w:tc>
              <w:tc>
                <w:tcPr>
                  <w:tcW w:w="267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602418,72</w:t>
                  </w:r>
                </w:p>
              </w:tc>
              <w:tc>
                <w:tcPr>
                  <w:tcW w:w="249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20080,63</w:t>
                  </w:r>
                </w:p>
              </w:tc>
            </w:tr>
            <w:tr w:rsidR="00CA6C41">
              <w:trPr>
                <w:jc w:val="center"/>
              </w:trPr>
              <w:tc>
                <w:tcPr>
                  <w:tcW w:w="190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Середньоактивні та низькоактивні</w:t>
                  </w:r>
                </w:p>
              </w:tc>
              <w:tc>
                <w:tcPr>
                  <w:tcW w:w="267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11245,14</w:t>
                  </w:r>
                </w:p>
              </w:tc>
              <w:tc>
                <w:tcPr>
                  <w:tcW w:w="249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4016,11.</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800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248.</w:t>
            </w:r>
            <w:r>
              <w:rPr>
                <w:rFonts w:ascii="Times New Roman" w:eastAsia="Times New Roman" w:hAnsi="Times New Roman" w:cs="Times New Roman"/>
                <w:sz w:val="28"/>
                <w:szCs w:val="28"/>
              </w:rPr>
              <w:t> Ставки податку за тимчасове зберігання радіоактивних відходів їх виробниками понад установлений особливими умовами ліцензії строк</w:t>
            </w:r>
          </w:p>
          <w:p w:rsidR="00CA6C41" w:rsidRDefault="00CA6C41">
            <w:pPr>
              <w:pBdr>
                <w:top w:val="nil"/>
                <w:left w:val="nil"/>
                <w:bottom w:val="nil"/>
                <w:right w:val="nil"/>
                <w:between w:val="nil"/>
              </w:pBdr>
              <w:spacing w:after="0" w:line="240" w:lineRule="auto"/>
              <w:ind w:firstLine="32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Style w:val="afffffff5"/>
              <w:tblW w:w="7777"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9"/>
              <w:gridCol w:w="3016"/>
              <w:gridCol w:w="2802"/>
            </w:tblGrid>
            <w:tr w:rsidR="00CA6C41">
              <w:trPr>
                <w:jc w:val="center"/>
              </w:trPr>
              <w:tc>
                <w:tcPr>
                  <w:tcW w:w="195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Категорія відходів</w:t>
                  </w:r>
                </w:p>
              </w:tc>
              <w:tc>
                <w:tcPr>
                  <w:tcW w:w="3016"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Ставка податку за тимчасове зберігання радіоактивних відходів (крім відходів, представлених як джерела іонізуючого </w:t>
                  </w:r>
                  <w:r>
                    <w:rPr>
                      <w:rFonts w:ascii="Times New Roman" w:eastAsia="Times New Roman" w:hAnsi="Times New Roman" w:cs="Times New Roman"/>
                      <w:sz w:val="28"/>
                      <w:szCs w:val="28"/>
                    </w:rPr>
                    <w:lastRenderedPageBreak/>
                    <w:t>випромінювання),</w:t>
                  </w:r>
                  <w:r>
                    <w:rPr>
                      <w:rFonts w:ascii="Times New Roman" w:eastAsia="Times New Roman" w:hAnsi="Times New Roman" w:cs="Times New Roman"/>
                      <w:sz w:val="28"/>
                      <w:szCs w:val="28"/>
                    </w:rPr>
                    <w:br/>
                    <w:t>гривень за 1 куб. метр</w:t>
                  </w:r>
                </w:p>
              </w:tc>
              <w:tc>
                <w:tcPr>
                  <w:tcW w:w="280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Ставка податку за тимчасове зберігання радіоактивних відходів, представлених як джерела іонізуючого випромінювання,</w:t>
                  </w:r>
                  <w:r>
                    <w:rPr>
                      <w:rFonts w:ascii="Times New Roman" w:eastAsia="Times New Roman" w:hAnsi="Times New Roman" w:cs="Times New Roman"/>
                      <w:sz w:val="28"/>
                      <w:szCs w:val="28"/>
                    </w:rPr>
                    <w:br/>
                  </w:r>
                  <w:r>
                    <w:rPr>
                      <w:rFonts w:ascii="Times New Roman" w:eastAsia="Times New Roman" w:hAnsi="Times New Roman" w:cs="Times New Roman"/>
                      <w:sz w:val="28"/>
                      <w:szCs w:val="28"/>
                    </w:rPr>
                    <w:lastRenderedPageBreak/>
                    <w:t>гривень за 1 куб. сантиметр</w:t>
                  </w:r>
                </w:p>
              </w:tc>
            </w:tr>
            <w:tr w:rsidR="00CA6C41">
              <w:trPr>
                <w:jc w:val="center"/>
              </w:trPr>
              <w:tc>
                <w:tcPr>
                  <w:tcW w:w="195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Високоактивні</w:t>
                  </w:r>
                </w:p>
              </w:tc>
              <w:tc>
                <w:tcPr>
                  <w:tcW w:w="3016"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672299,29</w:t>
                  </w:r>
                </w:p>
              </w:tc>
              <w:tc>
                <w:tcPr>
                  <w:tcW w:w="280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22409,98</w:t>
                  </w:r>
                </w:p>
              </w:tc>
            </w:tr>
            <w:tr w:rsidR="00CA6C41">
              <w:trPr>
                <w:jc w:val="center"/>
              </w:trPr>
              <w:tc>
                <w:tcPr>
                  <w:tcW w:w="195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Середньоактивні та низькоактивні</w:t>
                  </w:r>
                </w:p>
              </w:tc>
              <w:tc>
                <w:tcPr>
                  <w:tcW w:w="3016"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12549,58</w:t>
                  </w:r>
                </w:p>
              </w:tc>
              <w:tc>
                <w:tcPr>
                  <w:tcW w:w="280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4481,98.</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bl>
    <w:p w:rsidR="00CA6C41" w:rsidRDefault="00CA6C41">
      <w:pPr>
        <w:pBdr>
          <w:top w:val="nil"/>
          <w:left w:val="nil"/>
          <w:bottom w:val="nil"/>
          <w:right w:val="nil"/>
          <w:between w:val="nil"/>
        </w:pBdr>
        <w:rPr>
          <w:rFonts w:ascii="Times New Roman" w:eastAsia="Times New Roman" w:hAnsi="Times New Roman" w:cs="Times New Roman"/>
          <w:b/>
          <w:sz w:val="28"/>
          <w:szCs w:val="28"/>
        </w:rPr>
      </w:pPr>
    </w:p>
    <w:tbl>
      <w:tblPr>
        <w:tblStyle w:val="afffffff6"/>
        <w:tblW w:w="1526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45"/>
        <w:gridCol w:w="8319"/>
      </w:tblGrid>
      <w:tr w:rsidR="00CA6C41">
        <w:tc>
          <w:tcPr>
            <w:tcW w:w="694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2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IX. РЕНТНА ПЛАТА</w:t>
            </w:r>
          </w:p>
        </w:tc>
        <w:tc>
          <w:tcPr>
            <w:tcW w:w="8319" w:type="dxa"/>
            <w:shd w:val="clear" w:color="auto" w:fill="auto"/>
            <w:tcMar>
              <w:top w:w="0" w:type="dxa"/>
              <w:left w:w="108" w:type="dxa"/>
              <w:bottom w:w="0" w:type="dxa"/>
              <w:right w:w="108" w:type="dxa"/>
            </w:tcMar>
          </w:tcPr>
          <w:p w:rsidR="00CA6C41" w:rsidRDefault="00CA6C41">
            <w:pPr>
              <w:pBdr>
                <w:top w:val="nil"/>
                <w:left w:val="nil"/>
                <w:bottom w:val="nil"/>
                <w:right w:val="nil"/>
                <w:between w:val="nil"/>
              </w:pBdr>
              <w:spacing w:after="0" w:line="240" w:lineRule="auto"/>
              <w:ind w:firstLine="321"/>
              <w:jc w:val="both"/>
              <w:rPr>
                <w:rFonts w:ascii="Times New Roman" w:eastAsia="Times New Roman" w:hAnsi="Times New Roman" w:cs="Times New Roman"/>
                <w:b/>
                <w:sz w:val="28"/>
                <w:szCs w:val="28"/>
              </w:rPr>
            </w:pPr>
          </w:p>
        </w:tc>
      </w:tr>
      <w:tr w:rsidR="00CA6C41">
        <w:tc>
          <w:tcPr>
            <w:tcW w:w="6945" w:type="dxa"/>
            <w:shd w:val="clear" w:color="auto" w:fill="auto"/>
            <w:tcMar>
              <w:top w:w="0" w:type="dxa"/>
              <w:left w:w="108" w:type="dxa"/>
              <w:bottom w:w="0" w:type="dxa"/>
              <w:right w:w="108" w:type="dxa"/>
            </w:tcMar>
          </w:tcPr>
          <w:p w:rsidR="00CA6C41" w:rsidRDefault="00CA6C41">
            <w:pPr>
              <w:pBdr>
                <w:top w:val="nil"/>
                <w:left w:val="nil"/>
                <w:bottom w:val="nil"/>
                <w:right w:val="nil"/>
                <w:between w:val="nil"/>
              </w:pBdr>
              <w:spacing w:after="0" w:line="240" w:lineRule="auto"/>
              <w:ind w:firstLine="321"/>
              <w:jc w:val="both"/>
              <w:rPr>
                <w:rFonts w:ascii="Times New Roman" w:eastAsia="Times New Roman" w:hAnsi="Times New Roman" w:cs="Times New Roman"/>
                <w:b/>
                <w:sz w:val="28"/>
                <w:szCs w:val="28"/>
              </w:rPr>
            </w:pPr>
          </w:p>
        </w:tc>
        <w:tc>
          <w:tcPr>
            <w:tcW w:w="8319" w:type="dxa"/>
            <w:shd w:val="clear" w:color="auto" w:fill="auto"/>
            <w:tcMar>
              <w:top w:w="0" w:type="dxa"/>
              <w:left w:w="108" w:type="dxa"/>
              <w:bottom w:w="0" w:type="dxa"/>
              <w:right w:w="108" w:type="dxa"/>
            </w:tcMar>
          </w:tcPr>
          <w:p w:rsidR="00CA6C41" w:rsidRDefault="00CA6C41">
            <w:pPr>
              <w:pBdr>
                <w:top w:val="nil"/>
                <w:left w:val="nil"/>
                <w:bottom w:val="nil"/>
                <w:right w:val="nil"/>
                <w:between w:val="nil"/>
              </w:pBdr>
              <w:spacing w:after="0" w:line="240" w:lineRule="auto"/>
              <w:ind w:firstLine="321"/>
              <w:jc w:val="both"/>
              <w:rPr>
                <w:rFonts w:ascii="Times New Roman" w:eastAsia="Times New Roman" w:hAnsi="Times New Roman" w:cs="Times New Roman"/>
                <w:b/>
                <w:sz w:val="28"/>
                <w:szCs w:val="28"/>
              </w:rPr>
            </w:pPr>
          </w:p>
        </w:tc>
      </w:tr>
      <w:tr w:rsidR="00CA6C41">
        <w:tc>
          <w:tcPr>
            <w:tcW w:w="694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251. Склад рентної плати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 Рентна плата складається з:</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251.1.1. рентної плати за користування надрами для видобування корисних копалин;</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251.1.2. рентної плати за користування надрами в цілях, не пов’язаних з видобуванням корисних копалин;</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251.1.3. рентної плати за користування радіочастотним ресурсом України;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251.1.4. рентної плати за спеціальне використання води;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251.1.5. рентної плати за спеціальне використання лісових ресурсів;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251.1.6.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tc>
        <w:tc>
          <w:tcPr>
            <w:tcW w:w="8319"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251. Склад рентної плати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 Рентна плата складається з:</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251.1.1. рентної плати за користування надрами для видобування корисних копалин;</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251.1.2. рентної плати за користування надрами в цілях, не пов’язаних з видобуванням корисних копалин;</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251.1.3. рентної плати за користування радіочастотним ресурсом України;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251.1.4. рентної плати за спеціальне використання води;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Виключити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251.1.6.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tc>
      </w:tr>
      <w:tr w:rsidR="00CA6C41">
        <w:tc>
          <w:tcPr>
            <w:tcW w:w="694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2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253. </w:t>
            </w:r>
            <w:r>
              <w:rPr>
                <w:rFonts w:ascii="Times New Roman" w:eastAsia="Times New Roman" w:hAnsi="Times New Roman" w:cs="Times New Roman"/>
                <w:sz w:val="28"/>
                <w:szCs w:val="28"/>
              </w:rPr>
              <w:t>Рентна плата за користування надрами в цілях, не пов'язаних з видобуванням корисних копалин</w:t>
            </w:r>
          </w:p>
        </w:tc>
        <w:tc>
          <w:tcPr>
            <w:tcW w:w="8319"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2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253. </w:t>
            </w:r>
            <w:r>
              <w:rPr>
                <w:rFonts w:ascii="Times New Roman" w:eastAsia="Times New Roman" w:hAnsi="Times New Roman" w:cs="Times New Roman"/>
                <w:sz w:val="28"/>
                <w:szCs w:val="28"/>
              </w:rPr>
              <w:t>Рентна плата за користування надрами в цілях, не пов’язаних з видобуванням корисних копалин</w:t>
            </w:r>
          </w:p>
        </w:tc>
      </w:tr>
      <w:tr w:rsidR="00CA6C41">
        <w:tc>
          <w:tcPr>
            <w:tcW w:w="694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bl>
            <w:tblPr>
              <w:tblStyle w:val="afffffff7"/>
              <w:tblW w:w="6723"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4"/>
              <w:gridCol w:w="1872"/>
              <w:gridCol w:w="1217"/>
              <w:gridCol w:w="1690"/>
            </w:tblGrid>
            <w:tr w:rsidR="00CA6C41">
              <w:trPr>
                <w:jc w:val="center"/>
              </w:trPr>
              <w:tc>
                <w:tcPr>
                  <w:tcW w:w="194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bookmarkStart w:id="13" w:name="bookmark=id.xvir7l" w:colFirst="0" w:colLast="0"/>
                  <w:bookmarkEnd w:id="13"/>
                  <w:r>
                    <w:rPr>
                      <w:rFonts w:ascii="Times New Roman" w:eastAsia="Times New Roman" w:hAnsi="Times New Roman" w:cs="Times New Roman"/>
                      <w:sz w:val="28"/>
                      <w:szCs w:val="28"/>
                    </w:rPr>
                    <w:t>Характер користування надрами</w:t>
                  </w:r>
                </w:p>
              </w:tc>
              <w:tc>
                <w:tcPr>
                  <w:tcW w:w="187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Вид користування надрами</w:t>
                  </w:r>
                </w:p>
              </w:tc>
              <w:tc>
                <w:tcPr>
                  <w:tcW w:w="121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Одиниця виміру</w:t>
                  </w:r>
                </w:p>
              </w:tc>
              <w:tc>
                <w:tcPr>
                  <w:tcW w:w="169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Ставка рентної плати за користування надрами в цілях, не пов’язаних з видобуванням корисних копалин, за одиницю обсягу користування надрами, </w:t>
                  </w:r>
                  <w:r>
                    <w:rPr>
                      <w:rFonts w:ascii="Times New Roman" w:eastAsia="Times New Roman" w:hAnsi="Times New Roman" w:cs="Times New Roman"/>
                      <w:sz w:val="28"/>
                      <w:szCs w:val="28"/>
                    </w:rPr>
                    <w:lastRenderedPageBreak/>
                    <w:t>гривень на рік</w:t>
                  </w:r>
                </w:p>
              </w:tc>
            </w:tr>
            <w:tr w:rsidR="00CA6C41">
              <w:trPr>
                <w:jc w:val="center"/>
              </w:trPr>
              <w:tc>
                <w:tcPr>
                  <w:tcW w:w="194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Використання підземного простору надр - пористих чи тріщинуватих геологічних утворень (пластів-колекторів)</w:t>
                  </w:r>
                </w:p>
              </w:tc>
              <w:tc>
                <w:tcPr>
                  <w:tcW w:w="187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зберігання природного газу та газоподібних продуктів</w:t>
                  </w:r>
                </w:p>
              </w:tc>
              <w:tc>
                <w:tcPr>
                  <w:tcW w:w="121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тис. куб. метрів активного об’єму</w:t>
                  </w:r>
                </w:p>
              </w:tc>
              <w:tc>
                <w:tcPr>
                  <w:tcW w:w="169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0,49</w:t>
                  </w:r>
                </w:p>
              </w:tc>
            </w:tr>
            <w:tr w:rsidR="00CA6C41">
              <w:trPr>
                <w:jc w:val="center"/>
              </w:trPr>
              <w:tc>
                <w:tcPr>
                  <w:tcW w:w="194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187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зберігання нафти та інших рідких нафтопродуктів</w:t>
                  </w: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c>
              <w:tc>
                <w:tcPr>
                  <w:tcW w:w="121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куб. метрів</w:t>
                  </w:r>
                </w:p>
              </w:tc>
              <w:tc>
                <w:tcPr>
                  <w:tcW w:w="169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0,49</w:t>
                  </w:r>
                </w:p>
              </w:tc>
            </w:tr>
            <w:tr w:rsidR="00CA6C41">
              <w:trPr>
                <w:jc w:val="center"/>
              </w:trPr>
              <w:tc>
                <w:tcPr>
                  <w:tcW w:w="1944" w:type="dxa"/>
                  <w:shd w:val="clear" w:color="auto" w:fill="auto"/>
                  <w:tcMar>
                    <w:top w:w="30" w:type="dxa"/>
                    <w:left w:w="30" w:type="dxa"/>
                    <w:bottom w:w="30" w:type="dxa"/>
                    <w:right w:w="30"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187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витримування виноматеріалів, виробництво </w:t>
                  </w:r>
                  <w:r>
                    <w:rPr>
                      <w:rFonts w:ascii="Times New Roman" w:eastAsia="Times New Roman" w:hAnsi="Times New Roman" w:cs="Times New Roman"/>
                      <w:sz w:val="28"/>
                      <w:szCs w:val="28"/>
                    </w:rPr>
                    <w:lastRenderedPageBreak/>
                    <w:t>і зберігання винопродукції</w:t>
                  </w:r>
                </w:p>
              </w:tc>
              <w:tc>
                <w:tcPr>
                  <w:tcW w:w="121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кв. метрів</w:t>
                  </w:r>
                </w:p>
              </w:tc>
              <w:tc>
                <w:tcPr>
                  <w:tcW w:w="169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1,39</w:t>
                  </w:r>
                </w:p>
              </w:tc>
            </w:tr>
            <w:tr w:rsidR="00CA6C41">
              <w:trPr>
                <w:jc w:val="center"/>
              </w:trPr>
              <w:tc>
                <w:tcPr>
                  <w:tcW w:w="1944" w:type="dxa"/>
                  <w:shd w:val="clear" w:color="auto" w:fill="auto"/>
                  <w:tcMar>
                    <w:top w:w="30" w:type="dxa"/>
                    <w:left w:w="30" w:type="dxa"/>
                    <w:bottom w:w="30" w:type="dxa"/>
                    <w:right w:w="30"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187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вирощування грибів, овочів, квітів та інших рослин</w:t>
                  </w:r>
                </w:p>
              </w:tc>
              <w:tc>
                <w:tcPr>
                  <w:tcW w:w="121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69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0,79</w:t>
                  </w:r>
                </w:p>
              </w:tc>
            </w:tr>
            <w:tr w:rsidR="00CA6C41">
              <w:trPr>
                <w:jc w:val="center"/>
              </w:trPr>
              <w:tc>
                <w:tcPr>
                  <w:tcW w:w="1944" w:type="dxa"/>
                  <w:shd w:val="clear" w:color="auto" w:fill="auto"/>
                  <w:tcMar>
                    <w:top w:w="30" w:type="dxa"/>
                    <w:left w:w="30" w:type="dxa"/>
                    <w:bottom w:w="30" w:type="dxa"/>
                    <w:right w:w="30"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187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зберігання харчових продуктів, промислових та інших товарів, речовин і матеріалів</w:t>
                  </w:r>
                </w:p>
              </w:tc>
              <w:tc>
                <w:tcPr>
                  <w:tcW w:w="121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69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0,6</w:t>
                  </w:r>
                </w:p>
              </w:tc>
            </w:tr>
            <w:tr w:rsidR="00CA6C41">
              <w:trPr>
                <w:jc w:val="center"/>
              </w:trPr>
              <w:tc>
                <w:tcPr>
                  <w:tcW w:w="1944" w:type="dxa"/>
                  <w:shd w:val="clear" w:color="auto" w:fill="auto"/>
                  <w:tcMar>
                    <w:top w:w="30" w:type="dxa"/>
                    <w:left w:w="30" w:type="dxa"/>
                    <w:bottom w:w="30" w:type="dxa"/>
                    <w:right w:w="30"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187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провадження іншої господарської діяльності</w:t>
                  </w:r>
                </w:p>
              </w:tc>
              <w:tc>
                <w:tcPr>
                  <w:tcW w:w="121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69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1,95.</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8319"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bl>
            <w:tblPr>
              <w:tblStyle w:val="afffffff8"/>
              <w:tblW w:w="8072"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9"/>
              <w:gridCol w:w="1691"/>
              <w:gridCol w:w="1098"/>
              <w:gridCol w:w="3524"/>
            </w:tblGrid>
            <w:tr w:rsidR="00CA6C41">
              <w:trPr>
                <w:jc w:val="center"/>
              </w:trPr>
              <w:tc>
                <w:tcPr>
                  <w:tcW w:w="175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 користування надрами</w:t>
                  </w:r>
                </w:p>
              </w:tc>
              <w:tc>
                <w:tcPr>
                  <w:tcW w:w="169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Вид користування надрами</w:t>
                  </w:r>
                </w:p>
              </w:tc>
              <w:tc>
                <w:tcPr>
                  <w:tcW w:w="109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Одиниця виміру</w:t>
                  </w:r>
                </w:p>
              </w:tc>
              <w:tc>
                <w:tcPr>
                  <w:tcW w:w="35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CA6C41">
              <w:trPr>
                <w:jc w:val="center"/>
              </w:trPr>
              <w:tc>
                <w:tcPr>
                  <w:tcW w:w="175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Використання підземного простору надр – пористих чи тріщинуватих геологічних </w:t>
                  </w:r>
                  <w:r>
                    <w:rPr>
                      <w:rFonts w:ascii="Times New Roman" w:eastAsia="Times New Roman" w:hAnsi="Times New Roman" w:cs="Times New Roman"/>
                      <w:sz w:val="28"/>
                      <w:szCs w:val="28"/>
                    </w:rPr>
                    <w:lastRenderedPageBreak/>
                    <w:t>утворень (пластів-колекторів)</w:t>
                  </w:r>
                </w:p>
              </w:tc>
              <w:tc>
                <w:tcPr>
                  <w:tcW w:w="169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зберігання природного газу та газоподібних продуктів</w:t>
                  </w:r>
                </w:p>
              </w:tc>
              <w:tc>
                <w:tcPr>
                  <w:tcW w:w="109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тис. куб. метрів активного об’єму</w:t>
                  </w:r>
                </w:p>
              </w:tc>
              <w:tc>
                <w:tcPr>
                  <w:tcW w:w="35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0,55</w:t>
                  </w:r>
                </w:p>
              </w:tc>
            </w:tr>
            <w:tr w:rsidR="00CA6C41">
              <w:trPr>
                <w:jc w:val="center"/>
              </w:trPr>
              <w:tc>
                <w:tcPr>
                  <w:tcW w:w="1759"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169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зберігання нафти та інших рідких нафтопродуктів</w:t>
                  </w: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c>
              <w:tc>
                <w:tcPr>
                  <w:tcW w:w="109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куб. метрів</w:t>
                  </w:r>
                </w:p>
              </w:tc>
              <w:tc>
                <w:tcPr>
                  <w:tcW w:w="35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0,55</w:t>
                  </w:r>
                </w:p>
              </w:tc>
            </w:tr>
            <w:tr w:rsidR="00CA6C41">
              <w:trPr>
                <w:jc w:val="center"/>
              </w:trPr>
              <w:tc>
                <w:tcPr>
                  <w:tcW w:w="1759" w:type="dxa"/>
                  <w:shd w:val="clear" w:color="auto" w:fill="auto"/>
                  <w:tcMar>
                    <w:top w:w="30" w:type="dxa"/>
                    <w:left w:w="30" w:type="dxa"/>
                    <w:bottom w:w="30" w:type="dxa"/>
                    <w:right w:w="30"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169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витримування виноматеріалів, виробництво і зберігання винопродукції</w:t>
                  </w:r>
                </w:p>
              </w:tc>
              <w:tc>
                <w:tcPr>
                  <w:tcW w:w="109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кв. метрів</w:t>
                  </w:r>
                </w:p>
              </w:tc>
              <w:tc>
                <w:tcPr>
                  <w:tcW w:w="35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1,56</w:t>
                  </w:r>
                </w:p>
              </w:tc>
            </w:tr>
            <w:tr w:rsidR="00CA6C41">
              <w:trPr>
                <w:jc w:val="center"/>
              </w:trPr>
              <w:tc>
                <w:tcPr>
                  <w:tcW w:w="1759" w:type="dxa"/>
                  <w:shd w:val="clear" w:color="auto" w:fill="auto"/>
                  <w:tcMar>
                    <w:top w:w="30" w:type="dxa"/>
                    <w:left w:w="30" w:type="dxa"/>
                    <w:bottom w:w="30" w:type="dxa"/>
                    <w:right w:w="30"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169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вирощування грибів, овочів, квітів </w:t>
                  </w:r>
                  <w:r>
                    <w:rPr>
                      <w:rFonts w:ascii="Times New Roman" w:eastAsia="Times New Roman" w:hAnsi="Times New Roman" w:cs="Times New Roman"/>
                      <w:sz w:val="28"/>
                      <w:szCs w:val="28"/>
                    </w:rPr>
                    <w:lastRenderedPageBreak/>
                    <w:t>та інших рослин</w:t>
                  </w:r>
                </w:p>
              </w:tc>
              <w:tc>
                <w:tcPr>
                  <w:tcW w:w="109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tc>
              <w:tc>
                <w:tcPr>
                  <w:tcW w:w="35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0,88</w:t>
                  </w:r>
                </w:p>
              </w:tc>
            </w:tr>
            <w:tr w:rsidR="00CA6C41">
              <w:trPr>
                <w:jc w:val="center"/>
              </w:trPr>
              <w:tc>
                <w:tcPr>
                  <w:tcW w:w="1759" w:type="dxa"/>
                  <w:shd w:val="clear" w:color="auto" w:fill="auto"/>
                  <w:tcMar>
                    <w:top w:w="30" w:type="dxa"/>
                    <w:left w:w="30" w:type="dxa"/>
                    <w:bottom w:w="30" w:type="dxa"/>
                    <w:right w:w="30"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169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зберігання харчових продуктів, промислових та інших товарів, речовин і матеріалів</w:t>
                  </w:r>
                </w:p>
              </w:tc>
              <w:tc>
                <w:tcPr>
                  <w:tcW w:w="109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35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0,67</w:t>
                  </w:r>
                </w:p>
              </w:tc>
            </w:tr>
            <w:tr w:rsidR="00CA6C41">
              <w:trPr>
                <w:jc w:val="center"/>
              </w:trPr>
              <w:tc>
                <w:tcPr>
                  <w:tcW w:w="1759" w:type="dxa"/>
                  <w:shd w:val="clear" w:color="auto" w:fill="auto"/>
                  <w:tcMar>
                    <w:top w:w="30" w:type="dxa"/>
                    <w:left w:w="30" w:type="dxa"/>
                    <w:bottom w:w="30" w:type="dxa"/>
                    <w:right w:w="30"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1691"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провадження іншої господарської діяльності</w:t>
                  </w:r>
                </w:p>
              </w:tc>
              <w:tc>
                <w:tcPr>
                  <w:tcW w:w="1098"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35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2,18.</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bl>
    <w:p w:rsidR="00CA6C41" w:rsidRDefault="00CA6C41">
      <w:pPr>
        <w:pBdr>
          <w:top w:val="nil"/>
          <w:left w:val="nil"/>
          <w:bottom w:val="nil"/>
          <w:right w:val="nil"/>
          <w:between w:val="nil"/>
        </w:pBdr>
        <w:rPr>
          <w:rFonts w:ascii="Times New Roman" w:eastAsia="Times New Roman" w:hAnsi="Times New Roman" w:cs="Times New Roman"/>
          <w:b/>
          <w:sz w:val="28"/>
          <w:szCs w:val="28"/>
        </w:rPr>
      </w:pPr>
    </w:p>
    <w:tbl>
      <w:tblPr>
        <w:tblStyle w:val="afffffff9"/>
        <w:tblW w:w="151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62"/>
        <w:gridCol w:w="7704"/>
      </w:tblGrid>
      <w:tr w:rsidR="00CA6C41">
        <w:tc>
          <w:tcPr>
            <w:tcW w:w="746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254. </w:t>
            </w:r>
            <w:r>
              <w:rPr>
                <w:rFonts w:ascii="Times New Roman" w:eastAsia="Times New Roman" w:hAnsi="Times New Roman" w:cs="Times New Roman"/>
                <w:sz w:val="28"/>
                <w:szCs w:val="28"/>
              </w:rPr>
              <w:t>Рентна плата за користування радіочастотним ресурсом України</w:t>
            </w:r>
          </w:p>
        </w:tc>
        <w:tc>
          <w:tcPr>
            <w:tcW w:w="770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254. </w:t>
            </w:r>
            <w:r>
              <w:rPr>
                <w:rFonts w:ascii="Times New Roman" w:eastAsia="Times New Roman" w:hAnsi="Times New Roman" w:cs="Times New Roman"/>
                <w:sz w:val="28"/>
                <w:szCs w:val="28"/>
              </w:rPr>
              <w:t>Рентна плата за користування радіочастотним ресурсом України</w:t>
            </w:r>
          </w:p>
        </w:tc>
      </w:tr>
      <w:tr w:rsidR="00CA6C41">
        <w:tc>
          <w:tcPr>
            <w:tcW w:w="746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254.4. Ставки рентної плати за користування радіочастотним ресурсом України встановлюються в таких розмірах:</w:t>
            </w:r>
          </w:p>
          <w:tbl>
            <w:tblPr>
              <w:tblStyle w:val="afffffffa"/>
              <w:tblW w:w="72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28"/>
              <w:gridCol w:w="2985"/>
              <w:gridCol w:w="1295"/>
              <w:gridCol w:w="1622"/>
            </w:tblGrid>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bookmarkStart w:id="14" w:name="bookmark=id.3hv69ve" w:colFirst="0" w:colLast="0"/>
                  <w:bookmarkEnd w:id="14"/>
                  <w:r>
                    <w:rPr>
                      <w:rFonts w:ascii="Times New Roman" w:eastAsia="Times New Roman" w:hAnsi="Times New Roman" w:cs="Times New Roman"/>
                      <w:sz w:val="28"/>
                      <w:szCs w:val="28"/>
                    </w:rPr>
                    <w:t>Вид радіозв’язку</w:t>
                  </w:r>
                </w:p>
              </w:tc>
              <w:tc>
                <w:tcPr>
                  <w:tcW w:w="2985" w:type="dxa"/>
                  <w:shd w:val="clear" w:color="auto" w:fill="auto"/>
                  <w:tcMar>
                    <w:top w:w="15" w:type="dxa"/>
                    <w:left w:w="15" w:type="dxa"/>
                    <w:bottom w:w="15" w:type="dxa"/>
                    <w:right w:w="15"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Діапазон радіочастот</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Ставка рентної плати за 1 МГц смуги радіочастот </w:t>
                  </w:r>
                  <w:r>
                    <w:rPr>
                      <w:rFonts w:ascii="Times New Roman" w:eastAsia="Times New Roman" w:hAnsi="Times New Roman" w:cs="Times New Roman"/>
                      <w:sz w:val="28"/>
                      <w:szCs w:val="28"/>
                    </w:rPr>
                    <w:lastRenderedPageBreak/>
                    <w:t>на місяць, гривень</w:t>
                  </w: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Радіорелейний зв’язок фіксованої радіослужби</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0,03-300 ГГц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1,06</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фіксованої, рухомої сухопутної радіослужб</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0,03-470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1037,5</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морської радіослужби</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0,03-470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518,75</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у системі охоронної та охоронно-пожежної сигналізації</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30-470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1037,5</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з використанням радіоподовжувачів</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30-470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520,37</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у системі передавання даних з використанням шумоподібних сигналів</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1427-2400 МГц</w:t>
                  </w:r>
                  <w:r>
                    <w:rPr>
                      <w:rFonts w:ascii="Times New Roman" w:eastAsia="Times New Roman" w:hAnsi="Times New Roman" w:cs="Times New Roman"/>
                      <w:sz w:val="28"/>
                      <w:szCs w:val="28"/>
                    </w:rPr>
                    <w:br/>
                    <w:t>2400-2483,5 МГц</w:t>
                  </w:r>
                  <w:r>
                    <w:rPr>
                      <w:rFonts w:ascii="Times New Roman" w:eastAsia="Times New Roman" w:hAnsi="Times New Roman" w:cs="Times New Roman"/>
                      <w:sz w:val="28"/>
                      <w:szCs w:val="28"/>
                    </w:rPr>
                    <w:br/>
                    <w:t>5150-5850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26,211</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у системі з фіксованим абонентським радіодоступом</w:t>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t>стандарту DECT</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30-3000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52,36</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7.</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Транкінговий радіозв’язок</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30-470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3217,19</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Пошуковий радіозв’язок</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30-960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41499,7</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Радіолокаційна та радіонавігаційна радіослужби</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30-3000 МГц</w:t>
                  </w:r>
                  <w:r>
                    <w:rPr>
                      <w:rFonts w:ascii="Times New Roman" w:eastAsia="Times New Roman" w:hAnsi="Times New Roman" w:cs="Times New Roman"/>
                      <w:sz w:val="28"/>
                      <w:szCs w:val="28"/>
                    </w:rPr>
                    <w:br/>
                    <w:t>3-30 ГГц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104,71</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супутникової рухомої та фіксованої радіослужб</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30-3000 МГц</w:t>
                  </w:r>
                  <w:r>
                    <w:rPr>
                      <w:rFonts w:ascii="Times New Roman" w:eastAsia="Times New Roman" w:hAnsi="Times New Roman" w:cs="Times New Roman"/>
                      <w:sz w:val="28"/>
                      <w:szCs w:val="28"/>
                    </w:rPr>
                    <w:br/>
                    <w:t>3-30 ГГц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68,73</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Стільниковий радіозв’язок</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300-791 МГц</w:t>
                  </w:r>
                  <w:r>
                    <w:rPr>
                      <w:rFonts w:ascii="Times New Roman" w:eastAsia="Times New Roman" w:hAnsi="Times New Roman" w:cs="Times New Roman"/>
                      <w:sz w:val="28"/>
                      <w:szCs w:val="28"/>
                    </w:rPr>
                    <w:br/>
                    <w:t>821-832 МГц</w:t>
                  </w:r>
                  <w:r>
                    <w:rPr>
                      <w:rFonts w:ascii="Times New Roman" w:eastAsia="Times New Roman" w:hAnsi="Times New Roman" w:cs="Times New Roman"/>
                      <w:sz w:val="28"/>
                      <w:szCs w:val="28"/>
                    </w:rPr>
                    <w:br/>
                    <w:t>862-880 МГц</w:t>
                  </w:r>
                  <w:r>
                    <w:rPr>
                      <w:rFonts w:ascii="Times New Roman" w:eastAsia="Times New Roman" w:hAnsi="Times New Roman" w:cs="Times New Roman"/>
                      <w:sz w:val="28"/>
                      <w:szCs w:val="28"/>
                    </w:rPr>
                    <w:br/>
                    <w:t>915-925 МГц</w:t>
                  </w:r>
                  <w:r>
                    <w:rPr>
                      <w:rFonts w:ascii="Times New Roman" w:eastAsia="Times New Roman" w:hAnsi="Times New Roman" w:cs="Times New Roman"/>
                      <w:sz w:val="28"/>
                      <w:szCs w:val="28"/>
                    </w:rPr>
                    <w:br/>
                    <w:t>960-1710 МГц</w:t>
                  </w:r>
                  <w:r>
                    <w:rPr>
                      <w:rFonts w:ascii="Times New Roman" w:eastAsia="Times New Roman" w:hAnsi="Times New Roman" w:cs="Times New Roman"/>
                      <w:sz w:val="28"/>
                      <w:szCs w:val="28"/>
                    </w:rPr>
                    <w:br/>
                    <w:t>1785-1805 МГц</w:t>
                  </w:r>
                  <w:r>
                    <w:rPr>
                      <w:rFonts w:ascii="Times New Roman" w:eastAsia="Times New Roman" w:hAnsi="Times New Roman" w:cs="Times New Roman"/>
                      <w:sz w:val="28"/>
                      <w:szCs w:val="28"/>
                    </w:rPr>
                    <w:br/>
                    <w:t>1880-1920 МГц</w:t>
                  </w:r>
                  <w:r>
                    <w:rPr>
                      <w:rFonts w:ascii="Times New Roman" w:eastAsia="Times New Roman" w:hAnsi="Times New Roman" w:cs="Times New Roman"/>
                      <w:sz w:val="28"/>
                      <w:szCs w:val="28"/>
                    </w:rPr>
                    <w:br/>
                    <w:t>1980-2110 МГц</w:t>
                  </w:r>
                  <w:r>
                    <w:rPr>
                      <w:rFonts w:ascii="Times New Roman" w:eastAsia="Times New Roman" w:hAnsi="Times New Roman" w:cs="Times New Roman"/>
                      <w:sz w:val="28"/>
                      <w:szCs w:val="28"/>
                    </w:rPr>
                    <w:br/>
                    <w:t>2170-2200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vertAlign w:val="superscript"/>
                    </w:rPr>
                  </w:pPr>
                  <w:r>
                    <w:rPr>
                      <w:rFonts w:ascii="Times New Roman" w:eastAsia="Times New Roman" w:hAnsi="Times New Roman" w:cs="Times New Roman"/>
                      <w:b/>
                      <w:sz w:val="28"/>
                      <w:szCs w:val="28"/>
                    </w:rPr>
                    <w:t>23085,25</w:t>
                  </w:r>
                  <w:r>
                    <w:rPr>
                      <w:rFonts w:ascii="Times New Roman" w:eastAsia="Times New Roman" w:hAnsi="Times New Roman" w:cs="Times New Roman"/>
                      <w:b/>
                      <w:sz w:val="28"/>
                      <w:szCs w:val="28"/>
                      <w:vertAlign w:val="superscript"/>
                    </w:rPr>
                    <w:t>1</w:t>
                  </w:r>
                </w:p>
              </w:tc>
            </w:tr>
            <w:tr w:rsidR="00CA6C41">
              <w:tc>
                <w:tcPr>
                  <w:tcW w:w="1328" w:type="dxa"/>
                  <w:shd w:val="clear" w:color="auto" w:fill="auto"/>
                  <w:tcMar>
                    <w:top w:w="15" w:type="dxa"/>
                    <w:left w:w="15" w:type="dxa"/>
                    <w:bottom w:w="15" w:type="dxa"/>
                    <w:right w:w="15"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vertAlign w:val="superscript"/>
                    </w:rPr>
                  </w:pPr>
                </w:p>
              </w:tc>
              <w:tc>
                <w:tcPr>
                  <w:tcW w:w="298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vertAlign w:val="superscript"/>
                    </w:rPr>
                  </w:pP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791-821 МГц</w:t>
                  </w:r>
                  <w:r>
                    <w:rPr>
                      <w:rFonts w:ascii="Times New Roman" w:eastAsia="Times New Roman" w:hAnsi="Times New Roman" w:cs="Times New Roman"/>
                      <w:sz w:val="28"/>
                      <w:szCs w:val="28"/>
                    </w:rPr>
                    <w:br/>
                  </w:r>
                  <w:r>
                    <w:rPr>
                      <w:rFonts w:ascii="Times New Roman" w:eastAsia="Times New Roman" w:hAnsi="Times New Roman" w:cs="Times New Roman"/>
                      <w:sz w:val="28"/>
                      <w:szCs w:val="28"/>
                    </w:rPr>
                    <w:lastRenderedPageBreak/>
                    <w:t>832-862 МГц</w:t>
                  </w:r>
                  <w:r>
                    <w:rPr>
                      <w:rFonts w:ascii="Times New Roman" w:eastAsia="Times New Roman" w:hAnsi="Times New Roman" w:cs="Times New Roman"/>
                      <w:sz w:val="28"/>
                      <w:szCs w:val="28"/>
                    </w:rPr>
                    <w:br/>
                    <w:t>880-915 МГц</w:t>
                  </w:r>
                  <w:r>
                    <w:rPr>
                      <w:rFonts w:ascii="Times New Roman" w:eastAsia="Times New Roman" w:hAnsi="Times New Roman" w:cs="Times New Roman"/>
                      <w:sz w:val="28"/>
                      <w:szCs w:val="28"/>
                    </w:rPr>
                    <w:br/>
                    <w:t>925-960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vertAlign w:val="superscript"/>
                    </w:rPr>
                  </w:pPr>
                  <w:r>
                    <w:rPr>
                      <w:rFonts w:ascii="Times New Roman" w:eastAsia="Times New Roman" w:hAnsi="Times New Roman" w:cs="Times New Roman"/>
                      <w:b/>
                      <w:sz w:val="28"/>
                      <w:szCs w:val="28"/>
                    </w:rPr>
                    <w:lastRenderedPageBreak/>
                    <w:t>23085,25</w:t>
                  </w:r>
                  <w:r>
                    <w:rPr>
                      <w:rFonts w:ascii="Times New Roman" w:eastAsia="Times New Roman" w:hAnsi="Times New Roman" w:cs="Times New Roman"/>
                      <w:b/>
                      <w:sz w:val="28"/>
                      <w:szCs w:val="28"/>
                      <w:vertAlign w:val="superscript"/>
                    </w:rPr>
                    <w:t>2, 3, 4</w:t>
                  </w:r>
                </w:p>
              </w:tc>
            </w:tr>
            <w:tr w:rsidR="00CA6C41">
              <w:tc>
                <w:tcPr>
                  <w:tcW w:w="1328" w:type="dxa"/>
                  <w:shd w:val="clear" w:color="auto" w:fill="auto"/>
                  <w:tcMar>
                    <w:top w:w="15" w:type="dxa"/>
                    <w:left w:w="15" w:type="dxa"/>
                    <w:bottom w:w="15" w:type="dxa"/>
                    <w:right w:w="15"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vertAlign w:val="superscript"/>
                    </w:rPr>
                  </w:pPr>
                </w:p>
              </w:tc>
              <w:tc>
                <w:tcPr>
                  <w:tcW w:w="298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vertAlign w:val="superscript"/>
                    </w:rPr>
                  </w:pP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1710-1785 МГц</w:t>
                  </w:r>
                  <w:r>
                    <w:rPr>
                      <w:rFonts w:ascii="Times New Roman" w:eastAsia="Times New Roman" w:hAnsi="Times New Roman" w:cs="Times New Roman"/>
                      <w:sz w:val="28"/>
                      <w:szCs w:val="28"/>
                    </w:rPr>
                    <w:br/>
                    <w:t>1805-1880 МГц</w:t>
                  </w:r>
                  <w:r>
                    <w:rPr>
                      <w:rFonts w:ascii="Times New Roman" w:eastAsia="Times New Roman" w:hAnsi="Times New Roman" w:cs="Times New Roman"/>
                      <w:sz w:val="28"/>
                      <w:szCs w:val="28"/>
                    </w:rPr>
                    <w:br/>
                    <w:t>1920-1980 МГц</w:t>
                  </w:r>
                  <w:r>
                    <w:rPr>
                      <w:rFonts w:ascii="Times New Roman" w:eastAsia="Times New Roman" w:hAnsi="Times New Roman" w:cs="Times New Roman"/>
                      <w:sz w:val="28"/>
                      <w:szCs w:val="28"/>
                    </w:rPr>
                    <w:br/>
                    <w:t>2110-2170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vertAlign w:val="superscript"/>
                    </w:rPr>
                  </w:pPr>
                  <w:r>
                    <w:rPr>
                      <w:rFonts w:ascii="Times New Roman" w:eastAsia="Times New Roman" w:hAnsi="Times New Roman" w:cs="Times New Roman"/>
                      <w:b/>
                      <w:sz w:val="28"/>
                      <w:szCs w:val="28"/>
                    </w:rPr>
                    <w:t>23085,25</w:t>
                  </w:r>
                  <w:r>
                    <w:rPr>
                      <w:rFonts w:ascii="Times New Roman" w:eastAsia="Times New Roman" w:hAnsi="Times New Roman" w:cs="Times New Roman"/>
                      <w:b/>
                      <w:sz w:val="28"/>
                      <w:szCs w:val="28"/>
                      <w:vertAlign w:val="superscript"/>
                    </w:rPr>
                    <w:t>2, 5, 6</w:t>
                  </w:r>
                </w:p>
              </w:tc>
            </w:tr>
            <w:tr w:rsidR="00CA6C41">
              <w:tc>
                <w:tcPr>
                  <w:tcW w:w="1328" w:type="dxa"/>
                  <w:shd w:val="clear" w:color="auto" w:fill="auto"/>
                  <w:tcMar>
                    <w:top w:w="15" w:type="dxa"/>
                    <w:left w:w="15" w:type="dxa"/>
                    <w:bottom w:w="15" w:type="dxa"/>
                    <w:right w:w="15"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vertAlign w:val="superscript"/>
                    </w:rPr>
                  </w:pPr>
                </w:p>
              </w:tc>
              <w:tc>
                <w:tcPr>
                  <w:tcW w:w="298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vertAlign w:val="superscript"/>
                    </w:rPr>
                  </w:pP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2510-2545 МГц</w:t>
                  </w:r>
                  <w:r>
                    <w:rPr>
                      <w:rFonts w:ascii="Times New Roman" w:eastAsia="Times New Roman" w:hAnsi="Times New Roman" w:cs="Times New Roman"/>
                      <w:sz w:val="28"/>
                      <w:szCs w:val="28"/>
                    </w:rPr>
                    <w:br/>
                    <w:t>2565-2570 МГц</w:t>
                  </w:r>
                  <w:r>
                    <w:rPr>
                      <w:rFonts w:ascii="Times New Roman" w:eastAsia="Times New Roman" w:hAnsi="Times New Roman" w:cs="Times New Roman"/>
                      <w:sz w:val="28"/>
                      <w:szCs w:val="28"/>
                    </w:rPr>
                    <w:br/>
                    <w:t>2630-2665 МГц</w:t>
                  </w:r>
                  <w:r>
                    <w:rPr>
                      <w:rFonts w:ascii="Times New Roman" w:eastAsia="Times New Roman" w:hAnsi="Times New Roman" w:cs="Times New Roman"/>
                      <w:sz w:val="28"/>
                      <w:szCs w:val="28"/>
                    </w:rPr>
                    <w:br/>
                    <w:t>2685-2690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vertAlign w:val="superscript"/>
                    </w:rPr>
                  </w:pPr>
                  <w:r>
                    <w:rPr>
                      <w:rFonts w:ascii="Times New Roman" w:eastAsia="Times New Roman" w:hAnsi="Times New Roman" w:cs="Times New Roman"/>
                      <w:b/>
                      <w:sz w:val="28"/>
                      <w:szCs w:val="28"/>
                    </w:rPr>
                    <w:t>3000,00</w:t>
                  </w:r>
                  <w:r>
                    <w:rPr>
                      <w:rFonts w:ascii="Times New Roman" w:eastAsia="Times New Roman" w:hAnsi="Times New Roman" w:cs="Times New Roman"/>
                      <w:b/>
                      <w:sz w:val="28"/>
                      <w:szCs w:val="28"/>
                      <w:vertAlign w:val="superscript"/>
                    </w:rPr>
                    <w:t>2, 7, 8</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Радіозв’язок у багатоканальних розподільчих системах для передавання та ретрансляції телевізійного зображення, </w:t>
                  </w:r>
                  <w:r>
                    <w:rPr>
                      <w:rFonts w:ascii="Times New Roman" w:eastAsia="Times New Roman" w:hAnsi="Times New Roman" w:cs="Times New Roman"/>
                      <w:sz w:val="28"/>
                      <w:szCs w:val="28"/>
                    </w:rPr>
                    <w:lastRenderedPageBreak/>
                    <w:t>передавання звуку, цифрової інформації</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2000-2300 МГц</w:t>
                  </w:r>
                  <w:r>
                    <w:rPr>
                      <w:rFonts w:ascii="Times New Roman" w:eastAsia="Times New Roman" w:hAnsi="Times New Roman" w:cs="Times New Roman"/>
                      <w:sz w:val="28"/>
                      <w:szCs w:val="28"/>
                    </w:rPr>
                    <w:br/>
                    <w:t>2400-2510 МГц</w:t>
                  </w:r>
                  <w:r>
                    <w:rPr>
                      <w:rFonts w:ascii="Times New Roman" w:eastAsia="Times New Roman" w:hAnsi="Times New Roman" w:cs="Times New Roman"/>
                      <w:sz w:val="28"/>
                      <w:szCs w:val="28"/>
                    </w:rPr>
                    <w:br/>
                    <w:t>2545-2565 МГц</w:t>
                  </w:r>
                  <w:r>
                    <w:rPr>
                      <w:rFonts w:ascii="Times New Roman" w:eastAsia="Times New Roman" w:hAnsi="Times New Roman" w:cs="Times New Roman"/>
                      <w:sz w:val="28"/>
                      <w:szCs w:val="28"/>
                    </w:rPr>
                    <w:br/>
                    <w:t>2570-2575 МГц</w:t>
                  </w:r>
                  <w:r>
                    <w:rPr>
                      <w:rFonts w:ascii="Times New Roman" w:eastAsia="Times New Roman" w:hAnsi="Times New Roman" w:cs="Times New Roman"/>
                      <w:sz w:val="28"/>
                      <w:szCs w:val="28"/>
                    </w:rPr>
                    <w:br/>
                  </w:r>
                  <w:r>
                    <w:rPr>
                      <w:rFonts w:ascii="Times New Roman" w:eastAsia="Times New Roman" w:hAnsi="Times New Roman" w:cs="Times New Roman"/>
                      <w:sz w:val="28"/>
                      <w:szCs w:val="28"/>
                    </w:rPr>
                    <w:lastRenderedPageBreak/>
                    <w:t>2610-2630 МГц</w:t>
                  </w:r>
                  <w:r>
                    <w:rPr>
                      <w:rFonts w:ascii="Times New Roman" w:eastAsia="Times New Roman" w:hAnsi="Times New Roman" w:cs="Times New Roman"/>
                      <w:sz w:val="28"/>
                      <w:szCs w:val="28"/>
                    </w:rPr>
                    <w:br/>
                    <w:t>2665-2685 МГц</w:t>
                  </w:r>
                  <w:r>
                    <w:rPr>
                      <w:rFonts w:ascii="Times New Roman" w:eastAsia="Times New Roman" w:hAnsi="Times New Roman" w:cs="Times New Roman"/>
                      <w:sz w:val="28"/>
                      <w:szCs w:val="28"/>
                    </w:rPr>
                    <w:br/>
                    <w:t>2690-3400 МГц</w:t>
                  </w:r>
                  <w:r>
                    <w:rPr>
                      <w:rFonts w:ascii="Times New Roman" w:eastAsia="Times New Roman" w:hAnsi="Times New Roman" w:cs="Times New Roman"/>
                      <w:sz w:val="28"/>
                      <w:szCs w:val="28"/>
                    </w:rPr>
                    <w:br/>
                    <w:t>3800-7000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vertAlign w:val="superscript"/>
                    </w:rPr>
                  </w:pPr>
                  <w:r>
                    <w:rPr>
                      <w:rFonts w:ascii="Times New Roman" w:eastAsia="Times New Roman" w:hAnsi="Times New Roman" w:cs="Times New Roman"/>
                      <w:b/>
                      <w:sz w:val="28"/>
                      <w:szCs w:val="28"/>
                    </w:rPr>
                    <w:lastRenderedPageBreak/>
                    <w:t>45,83</w:t>
                  </w:r>
                  <w:r>
                    <w:rPr>
                      <w:rFonts w:ascii="Times New Roman" w:eastAsia="Times New Roman" w:hAnsi="Times New Roman" w:cs="Times New Roman"/>
                      <w:b/>
                      <w:sz w:val="28"/>
                      <w:szCs w:val="28"/>
                      <w:vertAlign w:val="superscript"/>
                    </w:rPr>
                    <w:t>1</w:t>
                  </w:r>
                </w:p>
              </w:tc>
            </w:tr>
            <w:tr w:rsidR="00CA6C41">
              <w:tc>
                <w:tcPr>
                  <w:tcW w:w="1328" w:type="dxa"/>
                  <w:shd w:val="clear" w:color="auto" w:fill="auto"/>
                  <w:tcMar>
                    <w:top w:w="15" w:type="dxa"/>
                    <w:left w:w="15" w:type="dxa"/>
                    <w:bottom w:w="15" w:type="dxa"/>
                    <w:right w:w="15"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vertAlign w:val="superscript"/>
                    </w:rPr>
                  </w:pPr>
                </w:p>
              </w:tc>
              <w:tc>
                <w:tcPr>
                  <w:tcW w:w="298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vertAlign w:val="superscript"/>
                    </w:rPr>
                  </w:pP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10-42,5 ГГц</w:t>
                  </w: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vertAlign w:val="superscript"/>
                    </w:rPr>
                  </w:pPr>
                  <w:r>
                    <w:rPr>
                      <w:rFonts w:ascii="Times New Roman" w:eastAsia="Times New Roman" w:hAnsi="Times New Roman" w:cs="Times New Roman"/>
                      <w:b/>
                      <w:sz w:val="28"/>
                      <w:szCs w:val="28"/>
                    </w:rPr>
                    <w:t>16,37</w:t>
                  </w:r>
                  <w:r>
                    <w:rPr>
                      <w:rFonts w:ascii="Times New Roman" w:eastAsia="Times New Roman" w:hAnsi="Times New Roman" w:cs="Times New Roman"/>
                      <w:b/>
                      <w:sz w:val="28"/>
                      <w:szCs w:val="28"/>
                      <w:vertAlign w:val="superscript"/>
                    </w:rPr>
                    <w:t>1</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звуку залежно від потужності:</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 кГц-30 МГц</w:t>
                  </w:r>
                </w:p>
              </w:tc>
              <w:tc>
                <w:tcPr>
                  <w:tcW w:w="1622"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1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1243,67</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10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1868,81</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100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2644,49</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500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3112,48</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501 кВт і вище</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5171,08</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та ретрансляція телевізійного зображення залежно від потужності:</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30-300 МГц</w:t>
                  </w:r>
                </w:p>
              </w:tc>
              <w:tc>
                <w:tcPr>
                  <w:tcW w:w="1622"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 до 10 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52,36</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100 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157,11</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Вт до 1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258,55</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5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415,67</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5,1 до 20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778,95</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20,1 кВт і вище</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1037,5</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звуку залежно від потужності:</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66-74 МГц</w:t>
                  </w:r>
                  <w:r>
                    <w:rPr>
                      <w:rFonts w:ascii="Times New Roman" w:eastAsia="Times New Roman" w:hAnsi="Times New Roman" w:cs="Times New Roman"/>
                      <w:sz w:val="28"/>
                      <w:szCs w:val="28"/>
                    </w:rPr>
                    <w:br/>
                    <w:t>87,5-108 МГц</w:t>
                  </w:r>
                </w:p>
              </w:tc>
              <w:tc>
                <w:tcPr>
                  <w:tcW w:w="1622"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100 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389,47</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Вт до 1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778,95</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10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1243,67</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кВт і вище</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1557,85</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та ретрансляція телевізійного зображення залежно від потужності:</w:t>
                  </w: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300-880 МГц</w:t>
                  </w:r>
                </w:p>
              </w:tc>
              <w:tc>
                <w:tcPr>
                  <w:tcW w:w="1622"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10 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36,01</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100 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72</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Вт до 1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157,11</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5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310,96</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5,1 до 20 кВт включно</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621,84</w:t>
                  </w:r>
                </w:p>
              </w:tc>
            </w:tr>
            <w:tr w:rsidR="00CA6C41">
              <w:tc>
                <w:tcPr>
                  <w:tcW w:w="1328"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20,1 кВт і вище</w:t>
                  </w:r>
                </w:p>
              </w:tc>
              <w:tc>
                <w:tcPr>
                  <w:tcW w:w="129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778,95</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Види радіозв’язку (незалежно від служби, системи, радіотехнології, радіоелектронних засобів, випромінювальних пристроїв)</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2300-2400 МГц</w:t>
                  </w:r>
                  <w:r>
                    <w:rPr>
                      <w:rFonts w:ascii="Times New Roman" w:eastAsia="Times New Roman" w:hAnsi="Times New Roman" w:cs="Times New Roman"/>
                      <w:sz w:val="28"/>
                      <w:szCs w:val="28"/>
                    </w:rPr>
                    <w:br/>
                    <w:t>2575-2610 МГц</w:t>
                  </w:r>
                  <w:r>
                    <w:rPr>
                      <w:rFonts w:ascii="Times New Roman" w:eastAsia="Times New Roman" w:hAnsi="Times New Roman" w:cs="Times New Roman"/>
                      <w:sz w:val="28"/>
                      <w:szCs w:val="28"/>
                    </w:rPr>
                    <w:br/>
                    <w:t>3400-3800 МГц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3000,00</w:t>
                  </w:r>
                </w:p>
              </w:tc>
            </w:tr>
            <w:tr w:rsidR="00CA6C41">
              <w:tc>
                <w:tcPr>
                  <w:tcW w:w="1328"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c>
                <w:tcPr>
                  <w:tcW w:w="298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Види радіозв’язку (служби, системи, радіотехнології, радіоелектронні засоби, випромінювальні пристрої), що не зазначені у пунктах 1-16</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 пункту 254.4 цієї статті</w:t>
                  </w:r>
                </w:p>
              </w:tc>
              <w:tc>
                <w:tcPr>
                  <w:tcW w:w="129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 кГц-400 ГГц</w:t>
                  </w:r>
                </w:p>
              </w:tc>
              <w:tc>
                <w:tcPr>
                  <w:tcW w:w="1622"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1557,85</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770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254.4. Ставки рентної плати за користування радіочастотним ресурсом України встановлюються в таких розмірах:</w:t>
            </w:r>
          </w:p>
          <w:tbl>
            <w:tblPr>
              <w:tblStyle w:val="afffffffb"/>
              <w:tblW w:w="74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3"/>
              <w:gridCol w:w="3147"/>
              <w:gridCol w:w="1305"/>
              <w:gridCol w:w="1687"/>
            </w:tblGrid>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Вид радіозв’язку</w:t>
                  </w:r>
                </w:p>
              </w:tc>
              <w:tc>
                <w:tcPr>
                  <w:tcW w:w="3147" w:type="dxa"/>
                  <w:shd w:val="clear" w:color="auto" w:fill="auto"/>
                  <w:tcMar>
                    <w:top w:w="15" w:type="dxa"/>
                    <w:left w:w="15" w:type="dxa"/>
                    <w:bottom w:w="15" w:type="dxa"/>
                    <w:right w:w="15"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Діапазон радіочастот</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Ставка рентної плати за 1 МГц смуги радіочастот </w:t>
                  </w:r>
                  <w:r>
                    <w:rPr>
                      <w:rFonts w:ascii="Times New Roman" w:eastAsia="Times New Roman" w:hAnsi="Times New Roman" w:cs="Times New Roman"/>
                      <w:sz w:val="28"/>
                      <w:szCs w:val="28"/>
                    </w:rPr>
                    <w:lastRenderedPageBreak/>
                    <w:t>на місяць, гривень</w:t>
                  </w: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Радіорелейний зв’язок фіксованої радіослужби</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0,03-300 ГГц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1,06</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фіксованої, рухомої сухопутної радіослужб</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0,03-470 МГц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1037,5</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морської радіослужби</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0,03-470 МГц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518,75</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у системі охоронної та охоронно-пожежної сигналізації</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30-470 МГц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1037,5</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з використанням радіоподовжувачів</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30-470 МГц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520,37</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у системі передавання даних з використанням шумоподібних сигналів</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1427-2400 МГц</w:t>
                  </w:r>
                  <w:r>
                    <w:rPr>
                      <w:rFonts w:ascii="Times New Roman" w:eastAsia="Times New Roman" w:hAnsi="Times New Roman" w:cs="Times New Roman"/>
                      <w:sz w:val="28"/>
                      <w:szCs w:val="28"/>
                    </w:rPr>
                    <w:br/>
                    <w:t>2400-2483,5 МГц</w:t>
                  </w:r>
                  <w:r>
                    <w:rPr>
                      <w:rFonts w:ascii="Times New Roman" w:eastAsia="Times New Roman" w:hAnsi="Times New Roman" w:cs="Times New Roman"/>
                      <w:sz w:val="28"/>
                      <w:szCs w:val="28"/>
                    </w:rPr>
                    <w:br/>
                    <w:t>5150-5850 МГц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26,21</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у системі з фіксованим абонентським радіодоступом</w:t>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t>стандарту DECT</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30-3000 МГц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52,36</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7.</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Транкінговий радіозв’язок</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30-470 МГц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3217,19</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Пошуковий радіозв’язок</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30-960 МГц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41499,7</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Радіолокаційна та радіонавігаційна радіослужби</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30-3000 МГц</w:t>
                  </w:r>
                  <w:r>
                    <w:rPr>
                      <w:rFonts w:ascii="Times New Roman" w:eastAsia="Times New Roman" w:hAnsi="Times New Roman" w:cs="Times New Roman"/>
                      <w:sz w:val="28"/>
                      <w:szCs w:val="28"/>
                    </w:rPr>
                    <w:br/>
                    <w:t>3-30 ГГц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104,71</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Радіозв’язок супутникової рухомої та фіксованої радіослужб</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30-3000 МГц</w:t>
                  </w:r>
                  <w:r>
                    <w:rPr>
                      <w:rFonts w:ascii="Times New Roman" w:eastAsia="Times New Roman" w:hAnsi="Times New Roman" w:cs="Times New Roman"/>
                      <w:sz w:val="28"/>
                      <w:szCs w:val="28"/>
                    </w:rPr>
                    <w:br/>
                    <w:t>3-30 ГГц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68,73</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Стільниковий радіозв’язок</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300-791 МГц</w:t>
                  </w:r>
                  <w:r>
                    <w:rPr>
                      <w:rFonts w:ascii="Times New Roman" w:eastAsia="Times New Roman" w:hAnsi="Times New Roman" w:cs="Times New Roman"/>
                      <w:sz w:val="28"/>
                      <w:szCs w:val="28"/>
                    </w:rPr>
                    <w:br/>
                    <w:t>821-832 МГц</w:t>
                  </w:r>
                  <w:r>
                    <w:rPr>
                      <w:rFonts w:ascii="Times New Roman" w:eastAsia="Times New Roman" w:hAnsi="Times New Roman" w:cs="Times New Roman"/>
                      <w:sz w:val="28"/>
                      <w:szCs w:val="28"/>
                    </w:rPr>
                    <w:br/>
                    <w:t>862-880 МГц</w:t>
                  </w:r>
                  <w:r>
                    <w:rPr>
                      <w:rFonts w:ascii="Times New Roman" w:eastAsia="Times New Roman" w:hAnsi="Times New Roman" w:cs="Times New Roman"/>
                      <w:sz w:val="28"/>
                      <w:szCs w:val="28"/>
                    </w:rPr>
                    <w:br/>
                    <w:t>915-925 МГц</w:t>
                  </w:r>
                  <w:r>
                    <w:rPr>
                      <w:rFonts w:ascii="Times New Roman" w:eastAsia="Times New Roman" w:hAnsi="Times New Roman" w:cs="Times New Roman"/>
                      <w:sz w:val="28"/>
                      <w:szCs w:val="28"/>
                    </w:rPr>
                    <w:br/>
                    <w:t>960-1710 МГц</w:t>
                  </w:r>
                  <w:r>
                    <w:rPr>
                      <w:rFonts w:ascii="Times New Roman" w:eastAsia="Times New Roman" w:hAnsi="Times New Roman" w:cs="Times New Roman"/>
                      <w:sz w:val="28"/>
                      <w:szCs w:val="28"/>
                    </w:rPr>
                    <w:br/>
                    <w:t>1785-1805 МГц</w:t>
                  </w:r>
                  <w:r>
                    <w:rPr>
                      <w:rFonts w:ascii="Times New Roman" w:eastAsia="Times New Roman" w:hAnsi="Times New Roman" w:cs="Times New Roman"/>
                      <w:sz w:val="28"/>
                      <w:szCs w:val="28"/>
                    </w:rPr>
                    <w:br/>
                    <w:t>1880-1920 МГц</w:t>
                  </w:r>
                  <w:r>
                    <w:rPr>
                      <w:rFonts w:ascii="Times New Roman" w:eastAsia="Times New Roman" w:hAnsi="Times New Roman" w:cs="Times New Roman"/>
                      <w:sz w:val="28"/>
                      <w:szCs w:val="28"/>
                    </w:rPr>
                    <w:br/>
                    <w:t>1980-2110 МГц</w:t>
                  </w:r>
                  <w:r>
                    <w:rPr>
                      <w:rFonts w:ascii="Times New Roman" w:eastAsia="Times New Roman" w:hAnsi="Times New Roman" w:cs="Times New Roman"/>
                      <w:sz w:val="28"/>
                      <w:szCs w:val="28"/>
                    </w:rPr>
                    <w:br/>
                    <w:t>2170-2200 МГц</w:t>
                  </w:r>
                </w:p>
              </w:tc>
              <w:tc>
                <w:tcPr>
                  <w:tcW w:w="1687"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23085,25</w:t>
                  </w: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1333" w:type="dxa"/>
                  <w:shd w:val="clear" w:color="auto" w:fill="auto"/>
                  <w:tcMar>
                    <w:top w:w="15" w:type="dxa"/>
                    <w:left w:w="15" w:type="dxa"/>
                    <w:bottom w:w="15" w:type="dxa"/>
                    <w:right w:w="15"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3147"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rPr>
                  </w:pP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791-821 МГц</w:t>
                  </w:r>
                  <w:r>
                    <w:rPr>
                      <w:rFonts w:ascii="Times New Roman" w:eastAsia="Times New Roman" w:hAnsi="Times New Roman" w:cs="Times New Roman"/>
                      <w:sz w:val="28"/>
                      <w:szCs w:val="28"/>
                    </w:rPr>
                    <w:br/>
                    <w:t>832-862 МГц</w:t>
                  </w:r>
                  <w:r>
                    <w:rPr>
                      <w:rFonts w:ascii="Times New Roman" w:eastAsia="Times New Roman" w:hAnsi="Times New Roman" w:cs="Times New Roman"/>
                      <w:sz w:val="28"/>
                      <w:szCs w:val="28"/>
                    </w:rPr>
                    <w:br/>
                    <w:t>880-915 МГц</w:t>
                  </w:r>
                  <w:r>
                    <w:rPr>
                      <w:rFonts w:ascii="Times New Roman" w:eastAsia="Times New Roman" w:hAnsi="Times New Roman" w:cs="Times New Roman"/>
                      <w:sz w:val="28"/>
                      <w:szCs w:val="28"/>
                    </w:rPr>
                    <w:br/>
                    <w:t>925-960 МГц</w:t>
                  </w:r>
                </w:p>
              </w:tc>
              <w:tc>
                <w:tcPr>
                  <w:tcW w:w="1687"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23085,25</w:t>
                  </w: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1333" w:type="dxa"/>
                  <w:shd w:val="clear" w:color="auto" w:fill="auto"/>
                  <w:tcMar>
                    <w:top w:w="15" w:type="dxa"/>
                    <w:left w:w="15" w:type="dxa"/>
                    <w:bottom w:w="15" w:type="dxa"/>
                    <w:right w:w="15"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3147"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rPr>
                  </w:pP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1710-1785 МГц</w:t>
                  </w:r>
                  <w:r>
                    <w:rPr>
                      <w:rFonts w:ascii="Times New Roman" w:eastAsia="Times New Roman" w:hAnsi="Times New Roman" w:cs="Times New Roman"/>
                      <w:sz w:val="28"/>
                      <w:szCs w:val="28"/>
                    </w:rPr>
                    <w:br/>
                    <w:t>1805-1880 МГц</w:t>
                  </w:r>
                  <w:r>
                    <w:rPr>
                      <w:rFonts w:ascii="Times New Roman" w:eastAsia="Times New Roman" w:hAnsi="Times New Roman" w:cs="Times New Roman"/>
                      <w:sz w:val="28"/>
                      <w:szCs w:val="28"/>
                    </w:rPr>
                    <w:br/>
                    <w:t>1920-1980 МГц</w:t>
                  </w:r>
                  <w:r>
                    <w:rPr>
                      <w:rFonts w:ascii="Times New Roman" w:eastAsia="Times New Roman" w:hAnsi="Times New Roman" w:cs="Times New Roman"/>
                      <w:sz w:val="28"/>
                      <w:szCs w:val="28"/>
                    </w:rPr>
                    <w:br/>
                    <w:t>2110-2170 МГц</w:t>
                  </w:r>
                </w:p>
              </w:tc>
              <w:tc>
                <w:tcPr>
                  <w:tcW w:w="1687"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23085,25</w:t>
                  </w: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1333" w:type="dxa"/>
                  <w:shd w:val="clear" w:color="auto" w:fill="auto"/>
                  <w:tcMar>
                    <w:top w:w="15" w:type="dxa"/>
                    <w:left w:w="15" w:type="dxa"/>
                    <w:bottom w:w="15" w:type="dxa"/>
                    <w:right w:w="15"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3147"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rPr>
                  </w:pP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2510-2545 МГц</w:t>
                  </w:r>
                  <w:r>
                    <w:rPr>
                      <w:rFonts w:ascii="Times New Roman" w:eastAsia="Times New Roman" w:hAnsi="Times New Roman" w:cs="Times New Roman"/>
                      <w:sz w:val="28"/>
                      <w:szCs w:val="28"/>
                    </w:rPr>
                    <w:br/>
                    <w:t>2565-2570 МГц</w:t>
                  </w:r>
                  <w:r>
                    <w:rPr>
                      <w:rFonts w:ascii="Times New Roman" w:eastAsia="Times New Roman" w:hAnsi="Times New Roman" w:cs="Times New Roman"/>
                      <w:sz w:val="28"/>
                      <w:szCs w:val="28"/>
                    </w:rPr>
                    <w:br/>
                    <w:t>2630-2665 МГц</w:t>
                  </w:r>
                  <w:r>
                    <w:rPr>
                      <w:rFonts w:ascii="Times New Roman" w:eastAsia="Times New Roman" w:hAnsi="Times New Roman" w:cs="Times New Roman"/>
                      <w:sz w:val="28"/>
                      <w:szCs w:val="28"/>
                    </w:rPr>
                    <w:br/>
                    <w:t>2685-2690 МГц</w:t>
                  </w:r>
                </w:p>
              </w:tc>
              <w:tc>
                <w:tcPr>
                  <w:tcW w:w="1687"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3000,00</w:t>
                  </w: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Радіозв’язок у багатоканальних розподільчих системах для передавання та </w:t>
                  </w:r>
                  <w:r>
                    <w:rPr>
                      <w:rFonts w:ascii="Times New Roman" w:eastAsia="Times New Roman" w:hAnsi="Times New Roman" w:cs="Times New Roman"/>
                      <w:sz w:val="28"/>
                      <w:szCs w:val="28"/>
                    </w:rPr>
                    <w:lastRenderedPageBreak/>
                    <w:t>ретрансляції телевізійного зображення, передавання звуку, цифрової інформації</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2000-2300 МГц</w:t>
                  </w:r>
                  <w:r>
                    <w:rPr>
                      <w:rFonts w:ascii="Times New Roman" w:eastAsia="Times New Roman" w:hAnsi="Times New Roman" w:cs="Times New Roman"/>
                      <w:sz w:val="28"/>
                      <w:szCs w:val="28"/>
                    </w:rPr>
                    <w:br/>
                    <w:t>2400-2510 МГц</w:t>
                  </w:r>
                  <w:r>
                    <w:rPr>
                      <w:rFonts w:ascii="Times New Roman" w:eastAsia="Times New Roman" w:hAnsi="Times New Roman" w:cs="Times New Roman"/>
                      <w:sz w:val="28"/>
                      <w:szCs w:val="28"/>
                    </w:rPr>
                    <w:br/>
                  </w:r>
                  <w:r>
                    <w:rPr>
                      <w:rFonts w:ascii="Times New Roman" w:eastAsia="Times New Roman" w:hAnsi="Times New Roman" w:cs="Times New Roman"/>
                      <w:sz w:val="28"/>
                      <w:szCs w:val="28"/>
                    </w:rPr>
                    <w:lastRenderedPageBreak/>
                    <w:t>2545-2565 МГц</w:t>
                  </w:r>
                  <w:r>
                    <w:rPr>
                      <w:rFonts w:ascii="Times New Roman" w:eastAsia="Times New Roman" w:hAnsi="Times New Roman" w:cs="Times New Roman"/>
                      <w:sz w:val="28"/>
                      <w:szCs w:val="28"/>
                    </w:rPr>
                    <w:br/>
                    <w:t>2570-2575 МГц</w:t>
                  </w:r>
                  <w:r>
                    <w:rPr>
                      <w:rFonts w:ascii="Times New Roman" w:eastAsia="Times New Roman" w:hAnsi="Times New Roman" w:cs="Times New Roman"/>
                      <w:sz w:val="28"/>
                      <w:szCs w:val="28"/>
                    </w:rPr>
                    <w:br/>
                    <w:t>2610-2630 МГц</w:t>
                  </w:r>
                  <w:r>
                    <w:rPr>
                      <w:rFonts w:ascii="Times New Roman" w:eastAsia="Times New Roman" w:hAnsi="Times New Roman" w:cs="Times New Roman"/>
                      <w:sz w:val="28"/>
                      <w:szCs w:val="28"/>
                    </w:rPr>
                    <w:br/>
                    <w:t>2665-2685 МГц</w:t>
                  </w:r>
                  <w:r>
                    <w:rPr>
                      <w:rFonts w:ascii="Times New Roman" w:eastAsia="Times New Roman" w:hAnsi="Times New Roman" w:cs="Times New Roman"/>
                      <w:sz w:val="28"/>
                      <w:szCs w:val="28"/>
                    </w:rPr>
                    <w:br/>
                    <w:t>2690-3400 МГц</w:t>
                  </w:r>
                  <w:r>
                    <w:rPr>
                      <w:rFonts w:ascii="Times New Roman" w:eastAsia="Times New Roman" w:hAnsi="Times New Roman" w:cs="Times New Roman"/>
                      <w:sz w:val="28"/>
                      <w:szCs w:val="28"/>
                    </w:rPr>
                    <w:br/>
                    <w:t>3800-7000 МГц</w:t>
                  </w:r>
                </w:p>
              </w:tc>
              <w:tc>
                <w:tcPr>
                  <w:tcW w:w="1687"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45,83</w:t>
                  </w: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1333" w:type="dxa"/>
                  <w:shd w:val="clear" w:color="auto" w:fill="auto"/>
                  <w:tcMar>
                    <w:top w:w="15" w:type="dxa"/>
                    <w:left w:w="15" w:type="dxa"/>
                    <w:bottom w:w="15" w:type="dxa"/>
                    <w:right w:w="15"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3147"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rPr>
                  </w:pP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10-42,5 ГГц</w:t>
                  </w:r>
                </w:p>
              </w:tc>
              <w:tc>
                <w:tcPr>
                  <w:tcW w:w="1687"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16,37</w:t>
                  </w: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звуку залежно від потужності:</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 кГц-30 МГц</w:t>
                  </w:r>
                </w:p>
              </w:tc>
              <w:tc>
                <w:tcPr>
                  <w:tcW w:w="1687"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1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1243,67</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10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1868,81</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100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2644,49</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500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3112,48</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501 кВт і вище</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5171,08</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та ретрансляція телевізійного зображення залежно від потужності:</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30-300 МГц</w:t>
                  </w:r>
                </w:p>
              </w:tc>
              <w:tc>
                <w:tcPr>
                  <w:tcW w:w="1687"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 до 10 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52,36</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100 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157,11</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Вт до 1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258,55</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5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415,67</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5,1 до 20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778,95</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20,1 кВт і вище</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1037,5</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звуку залежно від потужності:</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66-74 МГц</w:t>
                  </w:r>
                  <w:r>
                    <w:rPr>
                      <w:rFonts w:ascii="Times New Roman" w:eastAsia="Times New Roman" w:hAnsi="Times New Roman" w:cs="Times New Roman"/>
                      <w:sz w:val="28"/>
                      <w:szCs w:val="28"/>
                    </w:rPr>
                    <w:br/>
                    <w:t>87,5-108 МГц</w:t>
                  </w:r>
                </w:p>
              </w:tc>
              <w:tc>
                <w:tcPr>
                  <w:tcW w:w="1687"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100 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389,47</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Вт до 1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778,95</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10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1243,67</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кВт і вище</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1557,85</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Передавання та ретрансляція телевізійного зображення залежно від потужності:</w:t>
                  </w: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300-880 МГц</w:t>
                  </w:r>
                </w:p>
              </w:tc>
              <w:tc>
                <w:tcPr>
                  <w:tcW w:w="1687"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 10 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36,01</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до 100 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72</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101 Вт до 1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157,11</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1,1 до 5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310,96</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5,1 до 20 кВт включно</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621,84</w:t>
                  </w:r>
                </w:p>
              </w:tc>
            </w:tr>
            <w:tr w:rsidR="00CA6C41">
              <w:tc>
                <w:tcPr>
                  <w:tcW w:w="1333"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від 20,1 кВт і вище</w:t>
                  </w:r>
                </w:p>
              </w:tc>
              <w:tc>
                <w:tcPr>
                  <w:tcW w:w="1305" w:type="dxa"/>
                  <w:shd w:val="clear" w:color="auto" w:fill="auto"/>
                  <w:tcMar>
                    <w:top w:w="15" w:type="dxa"/>
                    <w:left w:w="15" w:type="dxa"/>
                    <w:bottom w:w="15" w:type="dxa"/>
                    <w:right w:w="15" w:type="dxa"/>
                  </w:tcMar>
                </w:tcPr>
                <w:p w:rsidR="00CA6C41" w:rsidRDefault="00CA6C4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778,95</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Види радіозв’язку (незалежно від служби, системи, радіотехнології, радіоелектронних засобів, випромінювальних пристроїв)</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2300-2400 МГц</w:t>
                  </w:r>
                  <w:r>
                    <w:rPr>
                      <w:rFonts w:ascii="Times New Roman" w:eastAsia="Times New Roman" w:hAnsi="Times New Roman" w:cs="Times New Roman"/>
                      <w:sz w:val="28"/>
                      <w:szCs w:val="28"/>
                    </w:rPr>
                    <w:br/>
                    <w:t>2575-2610 МГц</w:t>
                  </w:r>
                  <w:r>
                    <w:rPr>
                      <w:rFonts w:ascii="Times New Roman" w:eastAsia="Times New Roman" w:hAnsi="Times New Roman" w:cs="Times New Roman"/>
                      <w:sz w:val="28"/>
                      <w:szCs w:val="28"/>
                    </w:rPr>
                    <w:br/>
                    <w:t>3400-3800 МГц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3000,00</w:t>
                  </w:r>
                </w:p>
              </w:tc>
            </w:tr>
            <w:tr w:rsidR="00CA6C41">
              <w:tc>
                <w:tcPr>
                  <w:tcW w:w="1333"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c>
                <w:tcPr>
                  <w:tcW w:w="314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Види радіозв’язку (служби, системи, радіотехнології, радіоелектронні засоби, випромінювальні пристрої), що не зазначені у пунктах 1-16</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 пункту 254.4 цієї статті</w:t>
                  </w:r>
                </w:p>
              </w:tc>
              <w:tc>
                <w:tcPr>
                  <w:tcW w:w="1305"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 кГц-400 ГГц</w:t>
                  </w:r>
                </w:p>
              </w:tc>
              <w:tc>
                <w:tcPr>
                  <w:tcW w:w="1687" w:type="dxa"/>
                  <w:shd w:val="clear" w:color="auto" w:fill="auto"/>
                  <w:tcMar>
                    <w:top w:w="15" w:type="dxa"/>
                    <w:left w:w="15" w:type="dxa"/>
                    <w:bottom w:w="15" w:type="dxa"/>
                    <w:right w:w="15"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1557,85</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c>
      </w:tr>
      <w:tr w:rsidR="00CA6C41">
        <w:tc>
          <w:tcPr>
            <w:tcW w:w="746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vertAlign w:val="superscript"/>
              </w:rPr>
              <w:lastRenderedPageBreak/>
              <w:t>-1</w:t>
            </w:r>
            <w:r>
              <w:rPr>
                <w:rFonts w:ascii="Times New Roman" w:eastAsia="Times New Roman" w:hAnsi="Times New Roman" w:cs="Times New Roman"/>
                <w:b/>
                <w:sz w:val="28"/>
                <w:szCs w:val="28"/>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vertAlign w:val="superscript"/>
              </w:rPr>
              <w:lastRenderedPageBreak/>
              <w:t>-2</w:t>
            </w:r>
            <w:r>
              <w:rPr>
                <w:rFonts w:ascii="Times New Roman" w:eastAsia="Times New Roman" w:hAnsi="Times New Roman" w:cs="Times New Roman"/>
                <w:b/>
                <w:sz w:val="28"/>
                <w:szCs w:val="28"/>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vertAlign w:val="superscript"/>
              </w:rPr>
              <w:t>-3</w:t>
            </w:r>
            <w:r>
              <w:rPr>
                <w:rFonts w:ascii="Times New Roman" w:eastAsia="Times New Roman" w:hAnsi="Times New Roman" w:cs="Times New Roman"/>
                <w:b/>
                <w:sz w:val="28"/>
                <w:szCs w:val="28"/>
              </w:rPr>
              <w:t>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bookmarkStart w:id="15" w:name="bookmark=id.1baon6m" w:colFirst="0" w:colLast="0"/>
            <w:bookmarkEnd w:id="15"/>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vertAlign w:val="superscript"/>
              </w:rPr>
              <w:t>-5</w:t>
            </w:r>
            <w:r>
              <w:rPr>
                <w:rFonts w:ascii="Times New Roman" w:eastAsia="Times New Roman" w:hAnsi="Times New Roman" w:cs="Times New Roman"/>
                <w:b/>
                <w:sz w:val="28"/>
                <w:szCs w:val="28"/>
              </w:rPr>
              <w:t>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vertAlign w:val="superscript"/>
              </w:rPr>
              <w:t>-6</w:t>
            </w:r>
            <w:r>
              <w:rPr>
                <w:rFonts w:ascii="Times New Roman" w:eastAsia="Times New Roman" w:hAnsi="Times New Roman" w:cs="Times New Roman"/>
                <w:b/>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w:t>
            </w:r>
            <w:r>
              <w:rPr>
                <w:rFonts w:ascii="Times New Roman" w:eastAsia="Times New Roman" w:hAnsi="Times New Roman" w:cs="Times New Roman"/>
                <w:b/>
                <w:sz w:val="28"/>
                <w:szCs w:val="28"/>
              </w:rPr>
              <w:lastRenderedPageBreak/>
              <w:t>радіочастотного ресурсу, застосовується понижувальний коефіцієнт 0,75.</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vertAlign w:val="superscript"/>
              </w:rPr>
              <w:t>-7</w:t>
            </w:r>
            <w:r>
              <w:rPr>
                <w:rFonts w:ascii="Times New Roman" w:eastAsia="Times New Roman" w:hAnsi="Times New Roman" w:cs="Times New Roman"/>
                <w:b/>
                <w:sz w:val="28"/>
                <w:szCs w:val="28"/>
              </w:rPr>
              <w:t>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vertAlign w:val="superscript"/>
              </w:rPr>
              <w:t>-8</w:t>
            </w:r>
            <w:r>
              <w:rPr>
                <w:rFonts w:ascii="Times New Roman" w:eastAsia="Times New Roman" w:hAnsi="Times New Roman" w:cs="Times New Roman"/>
                <w:b/>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w:t>
            </w:r>
            <w:r>
              <w:rPr>
                <w:rFonts w:ascii="Times New Roman" w:eastAsia="Times New Roman" w:hAnsi="Times New Roman" w:cs="Times New Roman"/>
                <w:sz w:val="28"/>
                <w:szCs w:val="28"/>
              </w:rPr>
              <w:lastRenderedPageBreak/>
              <w:t>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w:t>
            </w:r>
            <w:r>
              <w:rPr>
                <w:rFonts w:ascii="Times New Roman" w:eastAsia="Times New Roman" w:hAnsi="Times New Roman" w:cs="Times New Roman"/>
                <w:b/>
                <w:sz w:val="28"/>
                <w:szCs w:val="28"/>
              </w:rPr>
              <w:t xml:space="preserve">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w:t>
            </w:r>
            <w:r>
              <w:rPr>
                <w:rFonts w:ascii="Times New Roman" w:eastAsia="Times New Roman" w:hAnsi="Times New Roman" w:cs="Times New Roman"/>
                <w:sz w:val="28"/>
                <w:szCs w:val="28"/>
              </w:rPr>
              <w:t xml:space="preserve">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c>
        <w:tc>
          <w:tcPr>
            <w:tcW w:w="770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Виключити</w:t>
            </w: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c>
      </w:tr>
    </w:tbl>
    <w:p w:rsidR="00CA6C41" w:rsidRDefault="00CA6C41">
      <w:pPr>
        <w:pBdr>
          <w:top w:val="nil"/>
          <w:left w:val="nil"/>
          <w:bottom w:val="nil"/>
          <w:right w:val="nil"/>
          <w:between w:val="nil"/>
        </w:pBdr>
        <w:spacing w:before="240"/>
        <w:rPr>
          <w:rFonts w:ascii="Times New Roman" w:eastAsia="Times New Roman" w:hAnsi="Times New Roman" w:cs="Times New Roman"/>
          <w:sz w:val="28"/>
          <w:szCs w:val="28"/>
        </w:rPr>
      </w:pPr>
    </w:p>
    <w:tbl>
      <w:tblPr>
        <w:tblStyle w:val="afffffffc"/>
        <w:tblW w:w="153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60"/>
        <w:gridCol w:w="7450"/>
      </w:tblGrid>
      <w:tr w:rsidR="00CA6C41">
        <w:tc>
          <w:tcPr>
            <w:tcW w:w="786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0" w:line="240" w:lineRule="auto"/>
              <w:ind w:firstLine="31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255. </w:t>
            </w:r>
            <w:r>
              <w:rPr>
                <w:rFonts w:ascii="Times New Roman" w:eastAsia="Times New Roman" w:hAnsi="Times New Roman" w:cs="Times New Roman"/>
                <w:sz w:val="28"/>
                <w:szCs w:val="28"/>
              </w:rPr>
              <w:t>Рентна плата за спеціальне використання води</w:t>
            </w:r>
          </w:p>
        </w:tc>
        <w:tc>
          <w:tcPr>
            <w:tcW w:w="74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0" w:line="240" w:lineRule="auto"/>
              <w:ind w:firstLine="31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255. </w:t>
            </w:r>
            <w:r>
              <w:rPr>
                <w:rFonts w:ascii="Times New Roman" w:eastAsia="Times New Roman" w:hAnsi="Times New Roman" w:cs="Times New Roman"/>
                <w:sz w:val="28"/>
                <w:szCs w:val="28"/>
              </w:rPr>
              <w:t>Рентна плата за спеціальне використання води</w:t>
            </w:r>
          </w:p>
        </w:tc>
      </w:tr>
      <w:tr w:rsidR="00CA6C41">
        <w:tc>
          <w:tcPr>
            <w:tcW w:w="786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 Ставки рентної плати за спеціальне використання води встановлюються у таких розмірах:</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255.5.1. за спеціальне використання поверхневих вод:</w:t>
            </w:r>
          </w:p>
        </w:tc>
        <w:tc>
          <w:tcPr>
            <w:tcW w:w="74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 Ставки рентної плати за спеціальне використання води встановлюються у таких розмірах:</w:t>
            </w:r>
          </w:p>
          <w:p w:rsidR="00CA6C41" w:rsidRDefault="00FC4AC1">
            <w:pPr>
              <w:pBdr>
                <w:top w:val="nil"/>
                <w:left w:val="nil"/>
                <w:bottom w:val="nil"/>
                <w:right w:val="nil"/>
                <w:between w:val="nil"/>
              </w:pBd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255.5.1. за спеціальне використання поверхневих вод:</w:t>
            </w:r>
          </w:p>
        </w:tc>
      </w:tr>
      <w:tr w:rsidR="00CA6C41">
        <w:tc>
          <w:tcPr>
            <w:tcW w:w="7860" w:type="dxa"/>
            <w:shd w:val="clear" w:color="auto" w:fill="auto"/>
            <w:tcMar>
              <w:top w:w="0" w:type="dxa"/>
              <w:left w:w="108" w:type="dxa"/>
              <w:bottom w:w="0" w:type="dxa"/>
              <w:right w:w="108"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bl>
            <w:tblPr>
              <w:tblStyle w:val="afffffffd"/>
              <w:tblW w:w="763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92"/>
              <w:gridCol w:w="2442"/>
            </w:tblGrid>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Басейни річок, включаючи притоки всіх порядків</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Ставка рентної плати, гривень</w:t>
                  </w:r>
                  <w:r>
                    <w:rPr>
                      <w:rFonts w:ascii="Times New Roman" w:eastAsia="Times New Roman" w:hAnsi="Times New Roman" w:cs="Times New Roman"/>
                      <w:b/>
                      <w:sz w:val="28"/>
                      <w:szCs w:val="28"/>
                    </w:rPr>
                    <w:br/>
                    <w:t>за 100 куб. метрів</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Дніпра на північ від м. Києва (Прип’яті та Десни), включаючи м. Київ</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58,17</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Дніпра на південь від м. Києва (без Інгульця)</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55,33</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Інгульця</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84,39</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Сіверського Дінця</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113,45</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Південного Бугу (без Інгулу)</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63,97</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Інгулу</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78,49</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Дністра</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34,85</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Вісли та Західного Бугу</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34,85</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Пруту та Сірету</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26,17</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Тиси</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26,17</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Дунаю</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23,32</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Річок Криму</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116,32</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Річок Приазов’я</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139,66</w:t>
                  </w:r>
                </w:p>
              </w:tc>
            </w:tr>
            <w:tr w:rsidR="00CA6C41">
              <w:trPr>
                <w:jc w:val="center"/>
              </w:trPr>
              <w:tc>
                <w:tcPr>
                  <w:tcW w:w="519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Інших водних об’єктів</w:t>
                  </w:r>
                </w:p>
              </w:tc>
              <w:tc>
                <w:tcPr>
                  <w:tcW w:w="2442"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63,97;</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7450" w:type="dxa"/>
            <w:shd w:val="clear" w:color="auto" w:fill="auto"/>
            <w:tcMar>
              <w:top w:w="0" w:type="dxa"/>
              <w:left w:w="108" w:type="dxa"/>
              <w:bottom w:w="0" w:type="dxa"/>
              <w:right w:w="108" w:type="dxa"/>
            </w:tcMar>
          </w:tcPr>
          <w:p w:rsidR="00CA6C41" w:rsidRDefault="00CA6C41">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bl>
            <w:tblPr>
              <w:tblStyle w:val="afffffffe"/>
              <w:tblW w:w="722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23"/>
              <w:gridCol w:w="3901"/>
            </w:tblGrid>
            <w:tr w:rsidR="00CA6C41">
              <w:tc>
                <w:tcPr>
                  <w:tcW w:w="3323"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Район річкових басейнів </w:t>
                  </w:r>
                </w:p>
              </w:tc>
              <w:tc>
                <w:tcPr>
                  <w:tcW w:w="3901"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Ставка рентної плати, гривень за 100 куб. метрів</w:t>
                  </w:r>
                </w:p>
              </w:tc>
            </w:tr>
            <w:tr w:rsidR="00CA6C41">
              <w:tc>
                <w:tcPr>
                  <w:tcW w:w="3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 басейну річки Дніпро</w:t>
                  </w:r>
                </w:p>
              </w:tc>
              <w:tc>
                <w:tcPr>
                  <w:tcW w:w="3901"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73,88</w:t>
                  </w:r>
                </w:p>
              </w:tc>
            </w:tr>
            <w:tr w:rsidR="00CA6C41">
              <w:tc>
                <w:tcPr>
                  <w:tcW w:w="3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 басейну річки Дністер</w:t>
                  </w:r>
                </w:p>
              </w:tc>
              <w:tc>
                <w:tcPr>
                  <w:tcW w:w="3901"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39,03</w:t>
                  </w:r>
                </w:p>
              </w:tc>
            </w:tr>
            <w:tr w:rsidR="00CA6C41">
              <w:tc>
                <w:tcPr>
                  <w:tcW w:w="3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Район басейну річки Дунай</w:t>
                  </w:r>
                </w:p>
              </w:tc>
              <w:tc>
                <w:tcPr>
                  <w:tcW w:w="3901"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29,31</w:t>
                  </w:r>
                </w:p>
              </w:tc>
            </w:tr>
            <w:tr w:rsidR="00CA6C41">
              <w:tc>
                <w:tcPr>
                  <w:tcW w:w="3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 басейну річки Південний Буг</w:t>
                  </w:r>
                </w:p>
              </w:tc>
              <w:tc>
                <w:tcPr>
                  <w:tcW w:w="3901"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87,91</w:t>
                  </w:r>
                </w:p>
              </w:tc>
            </w:tr>
            <w:tr w:rsidR="00CA6C41">
              <w:tc>
                <w:tcPr>
                  <w:tcW w:w="3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 басейну річки Дон</w:t>
                  </w:r>
                </w:p>
              </w:tc>
              <w:tc>
                <w:tcPr>
                  <w:tcW w:w="3901"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127,06</w:t>
                  </w:r>
                </w:p>
              </w:tc>
            </w:tr>
            <w:tr w:rsidR="00CA6C41">
              <w:tc>
                <w:tcPr>
                  <w:tcW w:w="3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 басейну річки Вісла</w:t>
                  </w:r>
                </w:p>
              </w:tc>
              <w:tc>
                <w:tcPr>
                  <w:tcW w:w="3901"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39,03</w:t>
                  </w:r>
                </w:p>
              </w:tc>
            </w:tr>
            <w:tr w:rsidR="00CA6C41">
              <w:tc>
                <w:tcPr>
                  <w:tcW w:w="3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 басейну річок Криму</w:t>
                  </w:r>
                </w:p>
              </w:tc>
              <w:tc>
                <w:tcPr>
                  <w:tcW w:w="3901"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130,28</w:t>
                  </w:r>
                </w:p>
              </w:tc>
            </w:tr>
            <w:tr w:rsidR="00CA6C41">
              <w:tc>
                <w:tcPr>
                  <w:tcW w:w="3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 басейну річок Причорномор’я</w:t>
                  </w:r>
                </w:p>
              </w:tc>
              <w:tc>
                <w:tcPr>
                  <w:tcW w:w="3901"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156,42</w:t>
                  </w:r>
                </w:p>
              </w:tc>
            </w:tr>
            <w:tr w:rsidR="00CA6C41">
              <w:tc>
                <w:tcPr>
                  <w:tcW w:w="332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 басейну річок Приазов’я</w:t>
                  </w:r>
                </w:p>
              </w:tc>
              <w:tc>
                <w:tcPr>
                  <w:tcW w:w="3901" w:type="dxa"/>
                  <w:shd w:val="clear" w:color="auto" w:fill="auto"/>
                  <w:tcMar>
                    <w:top w:w="0" w:type="dxa"/>
                    <w:left w:w="108" w:type="dxa"/>
                    <w:bottom w:w="0" w:type="dxa"/>
                    <w:right w:w="108" w:type="dxa"/>
                  </w:tcMar>
                  <w:vAlign w:val="cente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156,42</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786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255.5.2. за спеціальне використання підземних вод:</w:t>
            </w:r>
          </w:p>
          <w:tbl>
            <w:tblPr>
              <w:tblStyle w:val="affffffff"/>
              <w:tblW w:w="763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24"/>
              <w:gridCol w:w="1310"/>
            </w:tblGrid>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bookmarkStart w:id="16" w:name="bookmark=id.1302m92" w:colFirst="0" w:colLast="0"/>
                  <w:bookmarkEnd w:id="16"/>
                  <w:r>
                    <w:rPr>
                      <w:rFonts w:ascii="Times New Roman" w:eastAsia="Times New Roman" w:hAnsi="Times New Roman" w:cs="Times New Roman"/>
                      <w:sz w:val="28"/>
                      <w:szCs w:val="28"/>
                    </w:rPr>
                    <w:t>Найменування регіону</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рентної плати,</w:t>
                  </w:r>
                  <w:r>
                    <w:rPr>
                      <w:rFonts w:ascii="Times New Roman" w:eastAsia="Times New Roman" w:hAnsi="Times New Roman" w:cs="Times New Roman"/>
                      <w:sz w:val="28"/>
                      <w:szCs w:val="28"/>
                    </w:rPr>
                    <w:br/>
                    <w:t>гривень за 100 куб. метрів</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Автономна Республіка Крим (крім м. Севастополя)</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107,58</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 Севастополь</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107,58</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Область:</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Вінницька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92,98</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Волинська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96,04</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Дніпропетровська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81,48</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Донецька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110,56</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Житомирська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92,98</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Закарпатська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61,09</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Запорізька: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Веселівський, Мелітопольський, Приазовський, Якимівський райони</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92,98</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84,39</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Івано-Франківська: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Богородчанський, Верховинський, Долинський, Косівський, Надвірнянський, Рожнятівський райони</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145,42</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81,48</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Київська: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67,59</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79,75</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Кіровоградська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107,58</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Львівська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84,39</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Луганська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122,13</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Миколаївська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122,13</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Одеська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101,8</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Полтавська: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62,9</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70,1</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Рівненська: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Володимирецький, Здолбунівський, Костопільський, Рівненський, Сарненський, Острозький райони</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75,03</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87,16</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Сумська: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Глухівський, Сумський, Роменський, Шосткинський райони</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70,1</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79,83</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Тернопільська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113,45</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Харківська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87,21</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Херсонська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87,21</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Хмельницька: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Деражнянський, Красилівський, Летичівський, Старокостянтинівський, Хмельницький, Полонський, Шепетівський райони</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72,74</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110,56</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Черкаська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62,9</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Чернівецька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101,8</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Чернігівська:</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Городнянський, Корюківський, Ічнянський, Сосницький, Сновський, Талалаївський райони</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87,21</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68,19</w:t>
                  </w:r>
                </w:p>
              </w:tc>
            </w:tr>
            <w:tr w:rsidR="00CA6C41">
              <w:trPr>
                <w:jc w:val="center"/>
              </w:trPr>
              <w:tc>
                <w:tcPr>
                  <w:tcW w:w="6324"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 Київ</w:t>
                  </w:r>
                </w:p>
              </w:tc>
              <w:tc>
                <w:tcPr>
                  <w:tcW w:w="1310"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86,9;</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74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255.5.2. за спеціальне використання підземних вод:</w:t>
            </w:r>
          </w:p>
          <w:tbl>
            <w:tblPr>
              <w:tblStyle w:val="affffffff0"/>
              <w:tblW w:w="722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57"/>
              <w:gridCol w:w="1267"/>
            </w:tblGrid>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Найменування регіону</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рентної плати,</w:t>
                  </w:r>
                  <w:r>
                    <w:rPr>
                      <w:rFonts w:ascii="Times New Roman" w:eastAsia="Times New Roman" w:hAnsi="Times New Roman" w:cs="Times New Roman"/>
                      <w:sz w:val="28"/>
                      <w:szCs w:val="28"/>
                    </w:rPr>
                    <w:br/>
                    <w:t>гривень за 100 куб. метрів</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Автономна Республіка Крим (крім м. Севастополя)</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120,49</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 Севастополь</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120,49</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Область:</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Вінницька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104,14</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Волинська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107,56</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Дніпропетровська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91,26</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Донецька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123,83</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Житомирська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104,14</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Закарпатська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68,42</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Запорізька: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Веселівський, Мелітопольський, Приазовський, Якимівський райони</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104,14</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94,52</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Івано-Франківська: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Богородчанський, Верховинський, Долинський, Косівський, Надвірнянський, Рожнятівський райони</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162,87</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91,26</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Київська: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75,7</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89,32</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Кіровоградська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120,49</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Львівська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94,52</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Луганська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136,79</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Миколаївська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136,79</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Одеська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114,02</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Полтавська: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70,45</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78,51</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Рівненська: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Володимирецький, Здолбунівський, Костопільський, Рівненський, Сарненський, Острозький райони</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84,03</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97,62</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Сумська: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Глухівський, Сумський, Роменський, Шосткинський райони</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78,51</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89,41</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Тернопільська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127,06</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Харківська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before="40"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97,68</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Херсонська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97,68</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Хмельницька: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Деражнянський, Красилівський, Летичівський, Старокостянтинівський, Хмельницький, Полонський, Шепетівський райони</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81,47</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123,83</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Черкаська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70,45</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Чернівецька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114,02</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Чернігівська:</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Городнянський, Корюківський, Ічнянський, Сосницький, Сновський, Талалаївський райони</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97,68</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адміністративно-територіальні одиниці області</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76,37</w:t>
                  </w:r>
                </w:p>
              </w:tc>
            </w:tr>
            <w:tr w:rsidR="00CA6C41">
              <w:trPr>
                <w:jc w:val="center"/>
              </w:trPr>
              <w:tc>
                <w:tcPr>
                  <w:tcW w:w="595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 Київ</w:t>
                  </w:r>
                </w:p>
              </w:tc>
              <w:tc>
                <w:tcPr>
                  <w:tcW w:w="1267" w:type="dxa"/>
                  <w:shd w:val="clear" w:color="auto" w:fill="auto"/>
                  <w:tcMar>
                    <w:top w:w="30" w:type="dxa"/>
                    <w:left w:w="30" w:type="dxa"/>
                    <w:bottom w:w="30" w:type="dxa"/>
                    <w:right w:w="3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97,33;</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786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255.5.3. для потреб гідроенергетики - </w:t>
            </w:r>
            <w:r>
              <w:rPr>
                <w:rFonts w:ascii="Times New Roman" w:eastAsia="Times New Roman" w:hAnsi="Times New Roman" w:cs="Times New Roman"/>
                <w:b/>
                <w:sz w:val="28"/>
                <w:szCs w:val="28"/>
              </w:rPr>
              <w:t>11,31</w:t>
            </w:r>
            <w:r>
              <w:rPr>
                <w:rFonts w:ascii="Times New Roman" w:eastAsia="Times New Roman" w:hAnsi="Times New Roman" w:cs="Times New Roman"/>
                <w:sz w:val="28"/>
                <w:szCs w:val="28"/>
              </w:rPr>
              <w:t xml:space="preserve"> гривні за 10 тис. куб. метрів води, пропущеної через турбіни гідроелектростанцій;</w:t>
            </w:r>
          </w:p>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255.5.4. для потреб водного транспорту з усіх річок, крім Дунаю:</w:t>
            </w:r>
          </w:p>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вантажного самохідного і несамохідного флоту, що експлуатується, - </w:t>
            </w:r>
            <w:r>
              <w:rPr>
                <w:rFonts w:ascii="Times New Roman" w:eastAsia="Times New Roman" w:hAnsi="Times New Roman" w:cs="Times New Roman"/>
                <w:b/>
                <w:sz w:val="28"/>
                <w:szCs w:val="28"/>
              </w:rPr>
              <w:t>0,1938</w:t>
            </w:r>
            <w:r>
              <w:rPr>
                <w:rFonts w:ascii="Times New Roman" w:eastAsia="Times New Roman" w:hAnsi="Times New Roman" w:cs="Times New Roman"/>
                <w:sz w:val="28"/>
                <w:szCs w:val="28"/>
              </w:rPr>
              <w:t xml:space="preserve"> гривні за 1 тоннаж-добу експлуатації;</w:t>
            </w:r>
          </w:p>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пасажирського флоту, що експлуатується, - </w:t>
            </w:r>
            <w:r>
              <w:rPr>
                <w:rFonts w:ascii="Times New Roman" w:eastAsia="Times New Roman" w:hAnsi="Times New Roman" w:cs="Times New Roman"/>
                <w:b/>
                <w:sz w:val="28"/>
                <w:szCs w:val="28"/>
              </w:rPr>
              <w:t>0,0215</w:t>
            </w:r>
            <w:r>
              <w:rPr>
                <w:rFonts w:ascii="Times New Roman" w:eastAsia="Times New Roman" w:hAnsi="Times New Roman" w:cs="Times New Roman"/>
                <w:sz w:val="28"/>
                <w:szCs w:val="28"/>
              </w:rPr>
              <w:t xml:space="preserve"> гривні за 1 місце-добу експлуатації;</w:t>
            </w:r>
          </w:p>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255.5.5. для потреб рибництва:</w:t>
            </w:r>
          </w:p>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59,36</w:t>
            </w:r>
            <w:r>
              <w:rPr>
                <w:rFonts w:ascii="Times New Roman" w:eastAsia="Times New Roman" w:hAnsi="Times New Roman" w:cs="Times New Roman"/>
                <w:sz w:val="28"/>
                <w:szCs w:val="28"/>
              </w:rPr>
              <w:t xml:space="preserve"> гривні за 10 тис. куб. метрів поверхневої води;</w:t>
            </w:r>
          </w:p>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71,36</w:t>
            </w:r>
            <w:r>
              <w:rPr>
                <w:rFonts w:ascii="Times New Roman" w:eastAsia="Times New Roman" w:hAnsi="Times New Roman" w:cs="Times New Roman"/>
                <w:sz w:val="28"/>
                <w:szCs w:val="28"/>
              </w:rPr>
              <w:t xml:space="preserve"> гривні за 10 тис. куб. метрів підземної води;</w:t>
            </w:r>
          </w:p>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255.5.6. за воду, що входить виключно до складу напоїв:</w:t>
            </w:r>
          </w:p>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55,21</w:t>
            </w:r>
            <w:r>
              <w:rPr>
                <w:rFonts w:ascii="Times New Roman" w:eastAsia="Times New Roman" w:hAnsi="Times New Roman" w:cs="Times New Roman"/>
                <w:sz w:val="28"/>
                <w:szCs w:val="28"/>
              </w:rPr>
              <w:t xml:space="preserve"> гривні за 1 куб. метр поверхневої води;</w:t>
            </w:r>
          </w:p>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64,39</w:t>
            </w:r>
            <w:r>
              <w:rPr>
                <w:rFonts w:ascii="Times New Roman" w:eastAsia="Times New Roman" w:hAnsi="Times New Roman" w:cs="Times New Roman"/>
                <w:sz w:val="28"/>
                <w:szCs w:val="28"/>
              </w:rPr>
              <w:t xml:space="preserve"> гривні за 1 куб. метр підземної води;</w:t>
            </w:r>
          </w:p>
          <w:p w:rsidR="00CA6C41" w:rsidRDefault="00FC4AC1">
            <w:pPr>
              <w:pBdr>
                <w:top w:val="nil"/>
                <w:left w:val="nil"/>
                <w:bottom w:val="nil"/>
                <w:right w:val="nil"/>
                <w:between w:val="nil"/>
              </w:pBdr>
              <w:spacing w:after="0" w:line="240" w:lineRule="auto"/>
              <w:ind w:firstLine="2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255.5.7. за шахтну, кар’єрну та дренажну воду - </w:t>
            </w:r>
            <w:r>
              <w:rPr>
                <w:rFonts w:ascii="Times New Roman" w:eastAsia="Times New Roman" w:hAnsi="Times New Roman" w:cs="Times New Roman"/>
                <w:b/>
                <w:sz w:val="28"/>
                <w:szCs w:val="28"/>
              </w:rPr>
              <w:t>12,79</w:t>
            </w:r>
            <w:r>
              <w:rPr>
                <w:rFonts w:ascii="Times New Roman" w:eastAsia="Times New Roman" w:hAnsi="Times New Roman" w:cs="Times New Roman"/>
                <w:sz w:val="28"/>
                <w:szCs w:val="28"/>
              </w:rPr>
              <w:t xml:space="preserve"> гривні за 100 куб. метрів води.</w:t>
            </w:r>
          </w:p>
        </w:tc>
        <w:tc>
          <w:tcPr>
            <w:tcW w:w="74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255.5.3. для потреб гідроенергетики  - </w:t>
            </w:r>
            <w:r>
              <w:rPr>
                <w:rFonts w:ascii="Times New Roman" w:eastAsia="Times New Roman" w:hAnsi="Times New Roman" w:cs="Times New Roman"/>
                <w:b/>
                <w:sz w:val="28"/>
                <w:szCs w:val="28"/>
              </w:rPr>
              <w:t>12,67</w:t>
            </w:r>
            <w:r>
              <w:rPr>
                <w:rFonts w:ascii="Times New Roman" w:eastAsia="Times New Roman" w:hAnsi="Times New Roman" w:cs="Times New Roman"/>
                <w:sz w:val="28"/>
                <w:szCs w:val="28"/>
              </w:rPr>
              <w:t xml:space="preserve"> гривні за 10 тис. куб. метрів води, пропущеної через турбіни гідроелектростанцій;</w:t>
            </w:r>
          </w:p>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255.5.4. для потреб водного транспорту з усіх річок, крім Дунаю:</w:t>
            </w:r>
          </w:p>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вантажного самохідного і несамохідного флоту, що експлуатується, - </w:t>
            </w:r>
            <w:r>
              <w:rPr>
                <w:rFonts w:ascii="Times New Roman" w:eastAsia="Times New Roman" w:hAnsi="Times New Roman" w:cs="Times New Roman"/>
                <w:b/>
                <w:sz w:val="28"/>
                <w:szCs w:val="28"/>
              </w:rPr>
              <w:t>0,2171</w:t>
            </w:r>
            <w:r>
              <w:rPr>
                <w:rFonts w:ascii="Times New Roman" w:eastAsia="Times New Roman" w:hAnsi="Times New Roman" w:cs="Times New Roman"/>
                <w:sz w:val="28"/>
                <w:szCs w:val="28"/>
              </w:rPr>
              <w:t xml:space="preserve"> гривні за 1 тоннаж-добу експлуатації;</w:t>
            </w:r>
          </w:p>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пасажирського флоту, що експлуатується, - </w:t>
            </w:r>
            <w:r>
              <w:rPr>
                <w:rFonts w:ascii="Times New Roman" w:eastAsia="Times New Roman" w:hAnsi="Times New Roman" w:cs="Times New Roman"/>
                <w:b/>
                <w:sz w:val="28"/>
                <w:szCs w:val="28"/>
              </w:rPr>
              <w:t>0,0241</w:t>
            </w:r>
            <w:r>
              <w:rPr>
                <w:rFonts w:ascii="Times New Roman" w:eastAsia="Times New Roman" w:hAnsi="Times New Roman" w:cs="Times New Roman"/>
                <w:sz w:val="28"/>
                <w:szCs w:val="28"/>
              </w:rPr>
              <w:t xml:space="preserve"> гривні за 1 місце-добу експлуатації;</w:t>
            </w:r>
          </w:p>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255.5.5. для потреб рибництва:</w:t>
            </w:r>
          </w:p>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66,48</w:t>
            </w:r>
            <w:r>
              <w:rPr>
                <w:rFonts w:ascii="Times New Roman" w:eastAsia="Times New Roman" w:hAnsi="Times New Roman" w:cs="Times New Roman"/>
                <w:sz w:val="28"/>
                <w:szCs w:val="28"/>
              </w:rPr>
              <w:t xml:space="preserve"> гривні за 10 тис. куб. метрів поверхневої води;</w:t>
            </w:r>
          </w:p>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79,92</w:t>
            </w:r>
            <w:r>
              <w:rPr>
                <w:rFonts w:ascii="Times New Roman" w:eastAsia="Times New Roman" w:hAnsi="Times New Roman" w:cs="Times New Roman"/>
                <w:sz w:val="28"/>
                <w:szCs w:val="28"/>
              </w:rPr>
              <w:t xml:space="preserve"> гривні за 10 тис куб. метрів підземної води;</w:t>
            </w:r>
          </w:p>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255.5.6. за воду, що входить виключно до складу напоїв:</w:t>
            </w:r>
          </w:p>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61,84</w:t>
            </w:r>
            <w:r>
              <w:rPr>
                <w:rFonts w:ascii="Times New Roman" w:eastAsia="Times New Roman" w:hAnsi="Times New Roman" w:cs="Times New Roman"/>
                <w:sz w:val="28"/>
                <w:szCs w:val="28"/>
              </w:rPr>
              <w:t xml:space="preserve"> гривні за 1 куб. метр поверхневої води;</w:t>
            </w:r>
          </w:p>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72,12</w:t>
            </w:r>
            <w:r>
              <w:rPr>
                <w:rFonts w:ascii="Times New Roman" w:eastAsia="Times New Roman" w:hAnsi="Times New Roman" w:cs="Times New Roman"/>
                <w:sz w:val="28"/>
                <w:szCs w:val="28"/>
              </w:rPr>
              <w:t xml:space="preserve"> гривні за 1 куб. метр підземної води;</w:t>
            </w:r>
          </w:p>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255.5.7. за шахтну, кар’єрну та дренажну воду  - </w:t>
            </w:r>
            <w:r>
              <w:rPr>
                <w:rFonts w:ascii="Times New Roman" w:eastAsia="Times New Roman" w:hAnsi="Times New Roman" w:cs="Times New Roman"/>
                <w:b/>
                <w:sz w:val="28"/>
                <w:szCs w:val="28"/>
              </w:rPr>
              <w:t>14,32</w:t>
            </w:r>
            <w:r>
              <w:rPr>
                <w:rFonts w:ascii="Times New Roman" w:eastAsia="Times New Roman" w:hAnsi="Times New Roman" w:cs="Times New Roman"/>
                <w:sz w:val="28"/>
                <w:szCs w:val="28"/>
              </w:rPr>
              <w:t xml:space="preserve"> гривні за 100 куб. метрів води.</w:t>
            </w:r>
          </w:p>
        </w:tc>
      </w:tr>
      <w:tr w:rsidR="00CA6C41">
        <w:tc>
          <w:tcPr>
            <w:tcW w:w="786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255.8. За умови використання води з лиманів платниками рентної плати застосовується ставка рентної плати, встановлена за спеціальне використання поверхневих вод відповідно до показника «Інші водні об’єкти», зазначеного у підпункті 255.5.1 пункту 255.5 цієї статті.</w:t>
            </w:r>
          </w:p>
        </w:tc>
        <w:tc>
          <w:tcPr>
            <w:tcW w:w="745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Виключити</w:t>
            </w:r>
          </w:p>
        </w:tc>
      </w:tr>
    </w:tbl>
    <w:p w:rsidR="00CA6C41" w:rsidRDefault="00CA6C41">
      <w:pPr>
        <w:pBdr>
          <w:top w:val="nil"/>
          <w:left w:val="nil"/>
          <w:bottom w:val="nil"/>
          <w:right w:val="nil"/>
          <w:between w:val="nil"/>
        </w:pBdr>
        <w:spacing w:after="0"/>
        <w:rPr>
          <w:rFonts w:ascii="Times New Roman" w:eastAsia="Times New Roman" w:hAnsi="Times New Roman" w:cs="Times New Roman"/>
          <w:b/>
          <w:sz w:val="28"/>
          <w:szCs w:val="28"/>
        </w:rPr>
      </w:pPr>
    </w:p>
    <w:tbl>
      <w:tblPr>
        <w:tblStyle w:val="affffffff1"/>
        <w:tblW w:w="153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5"/>
        <w:gridCol w:w="7355"/>
      </w:tblGrid>
      <w:tr w:rsidR="00CA6C41">
        <w:tc>
          <w:tcPr>
            <w:tcW w:w="79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256. Рентна плата за спеціальне використання лісових ресурсів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256.1. Платниками рентної плати за спеціальне використання лісових ресурсів є лісокористувачі - юридичні особи, їх філії, відділення, інші відокремлені підрозділи, що не мають статусу юридичної особи, постійні представництва нерезидентів, які отримують доходи з джерел їх походження з України або виконують агентські (представницькі) функції стосовно таких нерезидентів або їх засновників, фізичні особи (крім фізичних осіб, які мають право безоплатно без видачі спеціального дозволу використовувати лісові ресурси відповідно до лісового законодавства), а також фізичні особи - підприємці, які здійснюють спеціальне використання лісових ресурсів на підставі спеціального дозволу (лісорубного квитка або лісового квитка) або відповідно до умов договору довгострокового тимчасового користування лісами.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256.2. Об’єктом оподаткування рентною платою за спеціальне використання лісових ресурсів є:</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256.2.1. деревина, заготовлена в порядку рубок головного користування;</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256.2.2. деревина, заготовлена під час проведення заходів: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щодо поліпшення якісного складу лісів, їх оздоровлення, посилення захисних властивостей (у деревостанах віком понад 40 років - рубки догляду за лісом, вибіркові санітарні рубки, вибіркові лісовідновні рубки, рубки, пов’язані з реконструкцією, ландшафтні рубки і рубки переформування; незалежно від віку деревостанів - суцільні санітарні та суцільні лісовідновні рубки);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розчищення лісових ділянок, вкритих лісовою рослинністю, у зв’язку з будівництвом гідровузлів, трубопроводів, шляхів тощо;</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256.2.3. другорядні лісові матеріали (заготівля живиці, пнів, лубу та кори, деревної зелені, деревних соків та інших другорядних лісових матеріалів, передбачених нормативно-правовими актами з ведення лісового господарства);</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256.2.4. побічні лісові користування (заготівля сіна, випасання худоби, заготівля дикорослих плодів, горіхів, грибів, ягід, лікарських рослин, збирання лісової підстилки, </w:t>
            </w:r>
            <w:r>
              <w:rPr>
                <w:rFonts w:ascii="Times New Roman" w:eastAsia="Times New Roman" w:hAnsi="Times New Roman" w:cs="Times New Roman"/>
                <w:b/>
                <w:sz w:val="28"/>
                <w:szCs w:val="28"/>
              </w:rPr>
              <w:lastRenderedPageBreak/>
              <w:t>заготівля очерету та інших побічних лісових користувань, передбачених нормативно-правовими актами з ведення лісового господарства);</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256.2.5. використання корисних властивостей лісів для культурно-оздоровчих, рекреаційних, спортивних, туристичних і освітньо-виховних цілей та проведення науково-дослідних робіт.</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256.3. Ставки рентної плати за спеціальне використання лісових ресурсів встановлюються у таких розмірах:</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256.3.1. за заготівлю деревини основних лісових порід:</w:t>
            </w:r>
          </w:p>
          <w:tbl>
            <w:tblPr>
              <w:tblStyle w:val="affffffff2"/>
              <w:tblW w:w="77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6"/>
              <w:gridCol w:w="2014"/>
              <w:gridCol w:w="1107"/>
              <w:gridCol w:w="847"/>
              <w:gridCol w:w="1331"/>
            </w:tblGrid>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Найменування лісової породи</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Ставка за 1 щільний куб. метр деревини, гривень</w:t>
                  </w:r>
                </w:p>
              </w:tc>
              <w:tc>
                <w:tcPr>
                  <w:tcW w:w="110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84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1331"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r>
            <w:tr w:rsidR="00CA6C41">
              <w:tc>
                <w:tcPr>
                  <w:tcW w:w="2436"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ділової (без кори)</w:t>
                  </w:r>
                </w:p>
              </w:tc>
              <w:tc>
                <w:tcPr>
                  <w:tcW w:w="110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84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дров’яної (з корою)</w:t>
                  </w:r>
                </w:p>
              </w:tc>
            </w:tr>
            <w:tr w:rsidR="00CA6C41">
              <w:tc>
                <w:tcPr>
                  <w:tcW w:w="2436"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великої</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середньої</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дрібної</w:t>
                  </w:r>
                </w:p>
              </w:tc>
              <w:tc>
                <w:tcPr>
                  <w:tcW w:w="1331"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Перший пояс лісів</w:t>
                  </w:r>
                </w:p>
              </w:tc>
              <w:tc>
                <w:tcPr>
                  <w:tcW w:w="2014"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110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84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1331"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Сосна</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266,03</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171,35</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66,08</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7,20</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Модрина</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118,40</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102,35</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38,93</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Ялина, ялиця</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244,79</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209,43</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80,16</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9,06</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Дуб (крім дуба коркового)</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699,03</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334,04</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112,28</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11,76</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Ясен, клен (крім явора)</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262,11</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222,75</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112,28</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11,76</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Бук</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502,47</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321,92</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107,76</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9,98</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Береза, вільха чорна, граб звичайний, в’яз, липа</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38,03</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33,98</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25,79</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Осика, вільха сіра, тополя</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23,13</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19,01</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15,02</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6,35</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Другий пояс лісів</w:t>
                  </w:r>
                </w:p>
              </w:tc>
              <w:tc>
                <w:tcPr>
                  <w:tcW w:w="2014"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110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84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1331"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Сосна</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223,61</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144,75</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56,12</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6,35</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Модрина</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102,35</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86,54</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33,47</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8,18</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Ялина, ялиця</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206,81</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176,55</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68,55</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7,74</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Дуб (крім дуба коркового)</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590,37</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285,26</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94,11</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Ясен, клен (крім явора)</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221,36</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190,14</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94,11</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Бук</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426,50</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273,02</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91,47</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8,18</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Береза, вільха чорна, граб звичайний, в’яз, липа</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32,61</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27,20</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21,72</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7,20</w:t>
                  </w:r>
                </w:p>
              </w:tc>
            </w:tr>
            <w:tr w:rsidR="00CA6C41">
              <w:tc>
                <w:tcPr>
                  <w:tcW w:w="243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Осика, вільха сіра, тополя</w:t>
                  </w:r>
                </w:p>
              </w:tc>
              <w:tc>
                <w:tcPr>
                  <w:tcW w:w="2014"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19,01</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17,66</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13,59</w:t>
                  </w:r>
                </w:p>
              </w:tc>
              <w:tc>
                <w:tcPr>
                  <w:tcW w:w="1331"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5,42;</w:t>
                  </w:r>
                </w:p>
              </w:tc>
            </w:tr>
          </w:tbl>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256.3.2. за заготівлю деревини неосновних лісових порід:</w:t>
            </w:r>
          </w:p>
          <w:tbl>
            <w:tblPr>
              <w:tblStyle w:val="affffffff3"/>
              <w:tblW w:w="77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86"/>
              <w:gridCol w:w="1573"/>
              <w:gridCol w:w="1107"/>
              <w:gridCol w:w="847"/>
              <w:gridCol w:w="1222"/>
            </w:tblGrid>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Найменування лісової породи</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Ставка за 1 щільний куб. метр </w:t>
                  </w:r>
                  <w:r>
                    <w:rPr>
                      <w:rFonts w:ascii="Times New Roman" w:eastAsia="Times New Roman" w:hAnsi="Times New Roman" w:cs="Times New Roman"/>
                      <w:b/>
                      <w:sz w:val="28"/>
                      <w:szCs w:val="28"/>
                    </w:rPr>
                    <w:lastRenderedPageBreak/>
                    <w:t>деревини, гривень</w:t>
                  </w:r>
                </w:p>
              </w:tc>
              <w:tc>
                <w:tcPr>
                  <w:tcW w:w="110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84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1222"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r>
            <w:tr w:rsidR="00CA6C41">
              <w:tc>
                <w:tcPr>
                  <w:tcW w:w="2986"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ділової (без кори)</w:t>
                  </w:r>
                </w:p>
              </w:tc>
              <w:tc>
                <w:tcPr>
                  <w:tcW w:w="110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84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дров’яної (з корою)</w:t>
                  </w:r>
                </w:p>
              </w:tc>
            </w:tr>
            <w:tr w:rsidR="00CA6C41">
              <w:tc>
                <w:tcPr>
                  <w:tcW w:w="2986"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великої</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середньої</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дрібної</w:t>
                  </w:r>
                </w:p>
              </w:tc>
              <w:tc>
                <w:tcPr>
                  <w:tcW w:w="1222"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Перший пояс лісів</w:t>
                  </w:r>
                </w:p>
              </w:tc>
              <w:tc>
                <w:tcPr>
                  <w:tcW w:w="1573"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110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84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1222"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Самшит</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1223,63</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1045,74</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522,41</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11,76</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Бархат, горіх</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761,94</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651,90</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325,98</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11,76</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Груша, кизил, явір</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611,18</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522,90</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261,65</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11,76</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Абрикос, вишня, ялівець, обліпиха, слива (крім терну), </w:t>
                  </w:r>
                  <w:r>
                    <w:rPr>
                      <w:rFonts w:ascii="Times New Roman" w:eastAsia="Times New Roman" w:hAnsi="Times New Roman" w:cs="Times New Roman"/>
                      <w:b/>
                      <w:sz w:val="28"/>
                      <w:szCs w:val="28"/>
                    </w:rPr>
                    <w:lastRenderedPageBreak/>
                    <w:t>черешня, шовковиця, яблуня</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456,35</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389,79</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194,70</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11,76</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Каштан, дуб корковий</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381,60</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325,98</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162,96</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11,76</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Барбарис, гледичія, кипарис, шипшина</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304,22</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260,78</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130,37</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11,76</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Акація, бруслина, бирючина, глід, граб східний, тамарикс, калина, крушина, ліщина, горобина, бузок, скумпія, свидина, терен, черемха</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228,17</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195,57</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97,82</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11,76</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Верба, чагарники (крім зазначених в інших позиціях)</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76,04</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65,21</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32,61</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6,35</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Другий пояс лісів</w:t>
                  </w:r>
                </w:p>
              </w:tc>
              <w:tc>
                <w:tcPr>
                  <w:tcW w:w="1573"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c>
              <w:tc>
                <w:tcPr>
                  <w:tcW w:w="110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847"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c>
                <w:tcPr>
                  <w:tcW w:w="1222"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Самшит</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1036,26</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885,48</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443,67</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Бархат, горіх</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649,14</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554,16</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277,08</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Груша, кизил, явір</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518,76</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442,76</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221,84</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Абрикос, вишня, ялівець, обліпиха, слива (крім терну), черешня, шовковиця, яблуня</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388,44</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332,75</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166,53</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Каштан, дуб корковий</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324,56</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278,43</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138,53</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Барбарис, гледичія, кипарис, шипшина</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259,47</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221,36</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110,43</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Акація, бруслина, бирючина, глід, граб східний, тамарикс, калина, крушина, ліщина, горобина, бузок, скумпія, свидина, терен, черемха</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194,21</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165,72</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83,30</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8,99</w:t>
                  </w:r>
                </w:p>
              </w:tc>
            </w:tr>
            <w:tr w:rsidR="00CA6C41">
              <w:tc>
                <w:tcPr>
                  <w:tcW w:w="2986"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Верба, чагарники (крім зазначених в інших позиціях)</w:t>
                  </w:r>
                </w:p>
              </w:tc>
              <w:tc>
                <w:tcPr>
                  <w:tcW w:w="1573"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65,21</w:t>
                  </w:r>
                </w:p>
              </w:tc>
              <w:tc>
                <w:tcPr>
                  <w:tcW w:w="110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55,62</w:t>
                  </w:r>
                </w:p>
              </w:tc>
              <w:tc>
                <w:tcPr>
                  <w:tcW w:w="847"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28,10</w:t>
                  </w:r>
                </w:p>
              </w:tc>
              <w:tc>
                <w:tcPr>
                  <w:tcW w:w="1222" w:type="dxa"/>
                  <w:shd w:val="clear" w:color="auto" w:fill="auto"/>
                  <w:tcMar>
                    <w:top w:w="40" w:type="dxa"/>
                    <w:left w:w="40" w:type="dxa"/>
                    <w:bottom w:w="40" w:type="dxa"/>
                    <w:right w:w="4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5,42</w:t>
                  </w:r>
                </w:p>
              </w:tc>
            </w:tr>
          </w:tbl>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256.4. Ставки рентної плати, встановлені підпунктами 256.3.1 і 256.3.2 пункту 256.3 цієї статті, застосовуються при заготівлі деревини в порядку рубок головного користування та під час проведення заходів щодо поліпшення якісного складу лісів, їх оздоровлення, посилення захисних властивостей (у деревостанах віком понад 40 років - рубки догляду за лісом, вибіркові санітарні рубки, вибіркові лісовідновні рубки, рубки, пов’язані з реконструкцією, ландшафтні рубки і рубки переформування; незалежно від віку деревостанів - суцільні санітарні та суцільні лісовідновні рубки) та заходів з розчищення лісових ділянок, вкритих лісовою рослинністю, у зв’язку з будівництвом гідровузлів, трубопроводів, шляхів тощо.</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256.5. Ставки рентної плати за заготівлю деревини застосовуються з урахуванням розподілу лісів за поясами.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256.6. Розподіл лісів за поясами: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256.6.1. до першого поясу належать усі ліси, за винятком лісів Закарпатської, Івано-Франківської та Чернівецької областей і лісів гірської зони Львівської області;</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256.6.2. до другого поясу належать ліси Закарпатської, Івано-Франківської та Чернівецької областей і ліси гірської зони Львівської області.</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256.9. До великої деревини всіх лісових порід належать відрізки стовбура (у верхньому перетині без кори) діаметром від 25 сантиметрів і більше, до середньої - діаметром від 13 до 24 сантиметрів, до дрібної - діаметром від 3 до 12 сантиметрів.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дров’яної деревини належать сортименти, які можна використовувати для технологічних потреб, а також не придатні для промислової переробки (дрова паливні).</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 дров’яну деревину, використану для технологічних потреб, донараховується рентна плата за результатами фактичної заготівлі у розмірі 70 відсотків установлених підпунктами 256.3.1 і 256.3.2 пункту 256.3 цієї статті ставок рентної плати за ділову дрібну деревину відповідної лісової породи.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Ставки рентної плати за ділову і дров’яну деревину липи встановлені підпунктами 256.3.1 і 256.3.2 пункту 256.3 цієї статті без урахування кори, а за дров’яну деревину решти лісових порід - з корою.</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 ліквід з крони встановлюється рентна плата у розмірі 40 відсотків, а за порубкові залишки, що підлягають </w:t>
            </w:r>
            <w:r>
              <w:rPr>
                <w:rFonts w:ascii="Times New Roman" w:eastAsia="Times New Roman" w:hAnsi="Times New Roman" w:cs="Times New Roman"/>
                <w:b/>
                <w:sz w:val="28"/>
                <w:szCs w:val="28"/>
              </w:rPr>
              <w:lastRenderedPageBreak/>
              <w:t>використанню, - 20 відсотків ставок рентної плати за дров’яну деревину відповідної лісової породи.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 деревину, заготовлену під час вибіркових рубок головного користування ставки рентної плати знижуються на 20 відсотків, а заходів щодо поліпшення якісного складу лісів, їх оздоровлення, посилення захисних властивостей (у деревостанах віком понад 40 років - рубки догляду за лісом, вибіркові санітарні рубки, вибіркові лісовідновні рубки, рубки, пов’язані з реконструкцією, ландшафтні рубки і рубки переформування) - на 50 відсотків. Знижки у відсотках обчислюються за кожною ставкою рентної плати окремо.</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256.10. За заготівлю другорядних лісових матеріалів, здійснення побічних лісових користувань та використання корисних властивостей лісів ставки рентної плати встановлюються Верховною Радою Автономної Республіки Крим, обласними, Київською та Севастопольською міськими радами.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256.11. Порядок нарахування податкових зобов’язань з рентної плати за спеціальне використання лісових ресурсів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256.11.1. Сума рентної плати обчислюється суб’єктами лісових відносин, які видають спеціальні дозволи, і зазначається у таких дозволах.</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256.11.2. Сума рентної плати, зазначена в лісорубному та в лісовому квитках, підлягає перерахунку суб’єктом лісових відносин, який видає спеціальні дозволи, у разі коли: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загальна кількість фактично заготовленої деревини під час її відпуску з обліком за площею перевищує зазначену в лісорубному квитку та кількість більше ніж на 10 відсотків;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фактичний обсяг використання лісових ресурсів перевищує зазначений у лісовому квитку на весь обсяг такого перевищення.</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Підставою для перерахунку є спеціальні дозволи та акти огляду місць використання лісових ресурсів.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256.11.3. Суб’єктом лісових відносин, який видає спеціальні дозволи, перерахунок рентної плати за заготівлю деревини і заготівлю другорядних лісових матеріалів, побічні лісові користування та використання корисних властивостей лісів здійснюється також у разі:</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а) виправлення технічних помилок, які можуть бути допущені під час проведення матеріальної і грошової оцінки лісосік, другорядних лісових матеріалів, побічних лісових користувань та використання корисних властивостей лісів, відпущених за лісорубними квитками або лісовими квитками, неправильного застосування сортиментних таблиць, поясів, розрядів та ставок рентної плати, а також </w:t>
            </w:r>
            <w:r>
              <w:rPr>
                <w:rFonts w:ascii="Times New Roman" w:eastAsia="Times New Roman" w:hAnsi="Times New Roman" w:cs="Times New Roman"/>
                <w:b/>
                <w:sz w:val="28"/>
                <w:szCs w:val="28"/>
              </w:rPr>
              <w:lastRenderedPageBreak/>
              <w:t>виправлення арифметичних помилок, допущених під час підрахунків;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 анулювання лісорубного та/або лісового квитка у зв’язку з вилученням земель для інших потреб. В інших випадках анулювання або видачі дубліката лісорубного квитка та/або лісового квитка перерахунок рентної плати не здійснюється і вся нарахована за такими квитками сума рентної плати повністю сплачується до відповідних бюджетів;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 надання лісокористувачеві відстрочки: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 заготівлю деревини - сума рентної плати за заготівлю залишеної на пні деревини збільшується на 1,5 відсотка незалежно від строку, на який надано відстрочку;</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 вивезення деревини - сума рентної плати за невивезену вчасно деревину збільшується на 1,5 відсотка за кожний місяць відстрочки;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 додаткового продовження строку вивезення, але не більш як на три місяці. При цьому лісокористувачем сума рентної плати за обсяг невивезеної вчасно деревини збільшується на 5 відсотків за кожний місяць відстрочки.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256.11.4. Незалежно від способу обліку деревини, що відпускається на пні (за площею, пеньками, приблизною кількістю), лісокористувачі, які допустили неповну заготівлю деревини, що дозволена для вирубки за </w:t>
            </w:r>
            <w:r>
              <w:rPr>
                <w:rFonts w:ascii="Times New Roman" w:eastAsia="Times New Roman" w:hAnsi="Times New Roman" w:cs="Times New Roman"/>
                <w:b/>
                <w:sz w:val="28"/>
                <w:szCs w:val="28"/>
              </w:rPr>
              <w:lastRenderedPageBreak/>
              <w:t>виписаними лісорубними квитками, або взагалі її не проводили, рентну плату обчислюють і сплачують повністю за всю дозволену для заготівлі кількість деревини, що зазначена в дозволі.</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256.11.5. Лісокористувачі, у яких за результатами діяльності здійснюється перерахунок рентної плати, відображають донараховані суми рентної плати в податковій декларації.</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256.11.6. Лісокористувачі щокварталу складають податкову декларацію з рентної плати наростаючим підсумком з початку року, за винятком:</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 лісокористувачів, якими до отримання лісорубних та лісових квитків рентна плата вноситься в каси суб’єктів лісових відносин, які їх видають:</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фізичних осіб, а також фізичних осіб - підприємців, яким видано лісорубні та лісові квитки;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лісокористувачів (крім фізичних осіб, а також фізичних осіб - підприємців, яким видано лісові квитки), у яких сума рентної плати в лісорубному чи лісовому квитках не перевищує 25 відсотків однієї мінімальної заробітної плати, встановленої законом на 1 січня року, в якому сплачується рентна плата;</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б) лісокористувачів з іншої області, які сплачують рентну плату повністю до видачі їм спеціального дозволу за </w:t>
            </w:r>
            <w:r>
              <w:rPr>
                <w:rFonts w:ascii="Times New Roman" w:eastAsia="Times New Roman" w:hAnsi="Times New Roman" w:cs="Times New Roman"/>
                <w:b/>
                <w:sz w:val="28"/>
                <w:szCs w:val="28"/>
              </w:rPr>
              <w:lastRenderedPageBreak/>
              <w:t>місцезнаходженням лісової ділянки, на якій здійснюється заготівля деревини.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256.11.7. Про надходження суми рентної плати в касу суб’єкта лісових відносин, що видає спеціальні дозволи, у спеціально заведеній книзі робиться запис і лісокористувачеві видається квитанція. Одночасно в лісорубних та лісових квитках робиться позначка про сплату рентної плати в касу (зазначаються номер і дата квитанції про сплату).</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256.11.8. При отриманні дозволу в поточному році (або донарахуванні суми рентної плати) після чергового строку сплати рентної плати лісокористувачі сплачують усі суми рентної плати за строками, що минули.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256.12. Порядок подання декларації, строки сплати, відповідальність платників рентної плати та контроль за її справлянням визначено статтями 257 і 258 цього Кодексу.</w:t>
            </w:r>
          </w:p>
        </w:tc>
        <w:tc>
          <w:tcPr>
            <w:tcW w:w="73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Виключити</w:t>
            </w:r>
          </w:p>
        </w:tc>
      </w:tr>
      <w:tr w:rsidR="00CA6C41">
        <w:tc>
          <w:tcPr>
            <w:tcW w:w="79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Стаття 257. Подання декларації і строки сплати рентної плати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2</w:t>
            </w:r>
            <w:r>
              <w:rPr>
                <w:rFonts w:ascii="Times New Roman" w:eastAsia="Times New Roman" w:hAnsi="Times New Roman" w:cs="Times New Roman"/>
                <w:sz w:val="28"/>
                <w:szCs w:val="28"/>
              </w:rPr>
              <w:t xml:space="preserve">57.3. Платник рентної плати до закінчення визначеного розділом II цього Кодексу граничного строку подання податкових декларацій за податковий (звітний) період, </w:t>
            </w:r>
            <w:r>
              <w:rPr>
                <w:rFonts w:ascii="Times New Roman" w:eastAsia="Times New Roman" w:hAnsi="Times New Roman" w:cs="Times New Roman"/>
                <w:sz w:val="28"/>
                <w:szCs w:val="28"/>
              </w:rPr>
              <w:lastRenderedPageBreak/>
              <w:t>визначений цією статтею, подає до відповідного контролюючого органу за формою, встановленою у порядку, передбаченому статтею 46 цього Кодексу, податкову декларацію, яка містить додатки: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257.3.1. з рентної плати за користування надрами для видобування корисних копалин:</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 місцезнаходженням ділянки надр, з якої видобуті корисні копалини, у разі розміщення такої ділянки надр у межах території України;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 місцем обліку платника рентної плати у разі розміщення ділянки надр, з якої видобуто корисні копалини, в межах континентального шельфу та/або виключної (морської) економічної зони України;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257.3.2. з рентної плати за користування надрами в цілях, не пов’язаних з видобуванням корисних копалин - за місцезнаходженням ділянки надр;</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257.3.3. з рентної плати за користування радіочастотним ресурсом України - за місцем податкової реєстрації;</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257.3.4. з рентної плати за спеціальне використання води - за місцем податкової реєстрації;</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257.3.5. з рентної плати за спеціальне використання лісових ресурсів - за місцезнаходженням лісової ділянки;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257.3.6. з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 - за місцем його податкової реєстрації.</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257.5. Сума податкових зобов’язань з рентної плати, визначена у податковій декларації за податковий (звітний) період, сплачується платником до бюджету протягом 10 календарних днів після закінчення граничного строку подання такої податкової декларації.</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Рентна плата за спеціальне використання лісових ресурсів сплачується лісокористувачами щокварталу рівними частинами від суми рентної плати, зазначеної в спеціальних дозволах, виданих у відповідному календарному році, крім сум рентної плати, сплачених відповідно до підпунктів "а" і "б" підпункту 256.11.6 пункту 256.11 статті 256 цього Кодексу.</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w:t>
            </w:r>
          </w:p>
        </w:tc>
        <w:tc>
          <w:tcPr>
            <w:tcW w:w="73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Стаття 257. Подання декларації і строки сплати рентної плати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257.3. Платник рентної плати до закінчення визначеного розділом II цього Кодексу граничного строку подання податкових декларацій за податковий (звітний) період, </w:t>
            </w:r>
            <w:r>
              <w:rPr>
                <w:rFonts w:ascii="Times New Roman" w:eastAsia="Times New Roman" w:hAnsi="Times New Roman" w:cs="Times New Roman"/>
                <w:sz w:val="28"/>
                <w:szCs w:val="28"/>
              </w:rPr>
              <w:lastRenderedPageBreak/>
              <w:t>визначений цією статтею, подає до відповідного контролюючого органу за формою, встановленою у порядку, передбаченому статтею 46 цього Кодексу, податкову декларацію, яка містить додатки: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257.3.1. з рентної плати за користування надрами для видобування корисних копалин:</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 місцезнаходженням ділянки надр, з якої видобуті корисні копалини, у разі розміщення такої ділянки надр у межах території України;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 місцем обліку платника рентної плати у разі розміщення ділянки надр, з якої видобуто корисні копалини, в межах континентального шельфу та/або виключної (морської) економічної зони України;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257.3.2. з рентної плати за користування надрами в цілях, не пов’язаних з видобуванням корисних копалин - за місцезнаходженням ділянки надр;</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257.3.3. з рентної плати за користування радіочастотним ресурсом України - за місцем податкової реєстрації;</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257.3.4. з рентної плати за спеціальне використання води - за місцем податкової реєстрації;</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Виключено</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 xml:space="preserve"> </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257.3.6. з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 - за місцем його податкової реєстрації.</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257.5. Сума податкових зобов’язань з рентної плати, визначена у податковій декларації за податковий (звітний) період, сплачується платником до бюджету протягом 10 календарних днів після закінчення граничного строку подання такої податкової декларації.</w:t>
            </w:r>
          </w:p>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Виключено</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w:t>
            </w:r>
          </w:p>
        </w:tc>
      </w:tr>
      <w:tr w:rsidR="00CA6C41">
        <w:tc>
          <w:tcPr>
            <w:tcW w:w="79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Стаття 258. Відповідальність платників рентної плати та контроль за її справлянням</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258.2.6. Суб’єкти лісових відносин, які видають спеціальні дозволи, до 10 числа місяця, що настає за звітним кварталом, направляють контролюючим органам перелік лісокористувачів, яким видано лісорубні квитки та лісові квитки, за формою, встановленою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забезпечує формування державної політики у сфері лісового господарства.</w:t>
            </w:r>
          </w:p>
        </w:tc>
        <w:tc>
          <w:tcPr>
            <w:tcW w:w="73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Стаття 258. Відповідальність платників рентної плати та контроль за її справлянням</w:t>
            </w:r>
          </w:p>
          <w:p w:rsidR="00CA6C41" w:rsidRDefault="00FC4AC1">
            <w:pPr>
              <w:pBdr>
                <w:top w:val="nil"/>
                <w:left w:val="nil"/>
                <w:bottom w:val="nil"/>
                <w:right w:val="nil"/>
                <w:between w:val="nil"/>
              </w:pBdr>
              <w:spacing w:before="240" w:after="0" w:line="276"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w:t>
            </w:r>
          </w:p>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Виключено</w:t>
            </w:r>
          </w:p>
        </w:tc>
      </w:tr>
    </w:tbl>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highlight w:val="white"/>
        </w:rPr>
      </w:pPr>
    </w:p>
    <w:p w:rsidR="00CA6C41" w:rsidRDefault="00CA6C41">
      <w:pPr>
        <w:pBdr>
          <w:top w:val="nil"/>
          <w:left w:val="nil"/>
          <w:bottom w:val="nil"/>
          <w:right w:val="nil"/>
          <w:between w:val="nil"/>
        </w:pBdr>
        <w:spacing w:after="0" w:line="240" w:lineRule="auto"/>
        <w:ind w:right="-456"/>
        <w:rPr>
          <w:rFonts w:ascii="Times New Roman" w:eastAsia="Times New Roman" w:hAnsi="Times New Roman" w:cs="Times New Roman"/>
          <w:b/>
          <w:sz w:val="28"/>
          <w:szCs w:val="28"/>
          <w:highlight w:val="white"/>
        </w:rPr>
      </w:pPr>
    </w:p>
    <w:tbl>
      <w:tblPr>
        <w:tblStyle w:val="affffffff4"/>
        <w:tblW w:w="1545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84"/>
        <w:gridCol w:w="7867"/>
      </w:tblGrid>
      <w:tr w:rsidR="00CA6C41">
        <w:tc>
          <w:tcPr>
            <w:tcW w:w="15451" w:type="dxa"/>
            <w:gridSpan w:val="2"/>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XII. ПОДАТОК НА МАЙНО</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266.</w:t>
            </w:r>
            <w:r>
              <w:rPr>
                <w:rFonts w:ascii="Times New Roman" w:eastAsia="Times New Roman" w:hAnsi="Times New Roman" w:cs="Times New Roman"/>
                <w:sz w:val="28"/>
                <w:szCs w:val="28"/>
              </w:rPr>
              <w:t> Податок на нерухоме майно, відмінне від земельної ділянки</w:t>
            </w:r>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266.</w:t>
            </w:r>
            <w:r>
              <w:rPr>
                <w:rFonts w:ascii="Times New Roman" w:eastAsia="Times New Roman" w:hAnsi="Times New Roman" w:cs="Times New Roman"/>
                <w:sz w:val="28"/>
                <w:szCs w:val="28"/>
              </w:rPr>
              <w:t> Податок на нерухоме майно, відмінне від земельної ділянки</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266.2.2. Не є об’єктом оподаткування:</w:t>
            </w:r>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266.2.2. Не є об’єктом оподаткування: </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bookmarkStart w:id="17" w:name="bookmark=id.zu0gcz" w:colFirst="0" w:colLast="0"/>
            <w:bookmarkStart w:id="18" w:name="bookmark=id.1ljsd9k" w:colFirst="0" w:colLast="0"/>
            <w:bookmarkStart w:id="19" w:name="bookmark=id.2koq656" w:colFirst="0" w:colLast="0"/>
            <w:bookmarkStart w:id="20" w:name="bookmark=id.3s49zyc" w:colFirst="0" w:colLast="0"/>
            <w:bookmarkStart w:id="21" w:name="bookmark=id.279ka65" w:colFirst="0" w:colLast="0"/>
            <w:bookmarkStart w:id="22" w:name="bookmark=id.36ei31r" w:colFirst="0" w:colLast="0"/>
            <w:bookmarkStart w:id="23" w:name="bookmark=id.1yyy98l" w:colFirst="0" w:colLast="0"/>
            <w:bookmarkStart w:id="24" w:name="bookmark=id.2szc72q" w:colFirst="0" w:colLast="0"/>
            <w:bookmarkStart w:id="25" w:name="bookmark=id.45jfvxd" w:colFirst="0" w:colLast="0"/>
            <w:bookmarkStart w:id="26" w:name="bookmark=id.4du1wux" w:colFirst="0" w:colLast="0"/>
            <w:bookmarkStart w:id="27" w:name="bookmark=id.meukdy" w:colFirst="0" w:colLast="0"/>
            <w:bookmarkStart w:id="28" w:name="bookmark=id.184mhaj" w:colFirst="0" w:colLast="0"/>
            <w:bookmarkStart w:id="29" w:name="bookmark=id.3jtnz0s" w:colFirst="0" w:colLast="0"/>
            <w:bookmarkEnd w:id="17"/>
            <w:bookmarkEnd w:id="18"/>
            <w:bookmarkEnd w:id="19"/>
            <w:bookmarkEnd w:id="20"/>
            <w:bookmarkEnd w:id="21"/>
            <w:bookmarkEnd w:id="22"/>
            <w:bookmarkEnd w:id="23"/>
            <w:bookmarkEnd w:id="24"/>
            <w:bookmarkEnd w:id="25"/>
            <w:bookmarkEnd w:id="26"/>
            <w:bookmarkEnd w:id="27"/>
            <w:bookmarkEnd w:id="28"/>
            <w:bookmarkEnd w:id="29"/>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об’єкти житлової та нежитлової нерухомості, які розташовані в зонах відчуження та безумовного (обов’язкового) відселення, визначені законом, в тому числі їх частки;</w:t>
            </w:r>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об’єкти житлової та нежитлової нерухомості, які розташовані в зонах відчуження та безумовного (обов’язкового) відселення, визначені законом, в тому числі їх частки;</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right="-273"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будівлі дитячих будинків сімейного типу;</w:t>
            </w:r>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будівлі дитячих будинків сімейного типу;</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гуртожитки;</w:t>
            </w:r>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гуртожитки;</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6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ґ)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6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ґ)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6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дітям з інвалідністю, які виховуються одинокими матерями (батьками), але не більше одного такого об’єкта на дитину;</w:t>
            </w:r>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6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дітям з інвалідністю, які виховуються одинокими матерями (батьками), але не більше одного такого об’єкта на дитину;</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6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об’єкти нежитлової нерухомості, які використовуються суб’єктами господарювання малого та середнього бізнесу, що провадять свою діяльність у тимчасових спорудах для здійснення підприємницької діяльності та/або в малих архітектурних формах та на ринках;</w:t>
            </w:r>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6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 об’єкти нежитлової нерухомості, які використовуються суб’єктами господарювання малого та середнього бізнесу, що провадять свою діяльність у тимчасових спорудах для здійснення підприємницької діяльності та/або в малих архітектурних формах та на ринках;</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є) будівлі промисловості, віднесені до групи "Будівлі промислові та склади" (код 125) </w:t>
            </w:r>
            <w:hyperlink r:id="rId97">
              <w:r>
                <w:rPr>
                  <w:rFonts w:ascii="Times New Roman" w:eastAsia="Times New Roman" w:hAnsi="Times New Roman" w:cs="Times New Roman"/>
                  <w:sz w:val="28"/>
                  <w:szCs w:val="28"/>
                </w:rPr>
                <w:t>Державного класифікатора будівель та споруд ДК 018-2000</w:t>
              </w:r>
            </w:hyperlink>
            <w:r>
              <w:rPr>
                <w:rFonts w:ascii="Times New Roman" w:eastAsia="Times New Roman" w:hAnsi="Times New Roman" w:cs="Times New Roman"/>
                <w:sz w:val="28"/>
                <w:szCs w:val="28"/>
              </w:rPr>
              <w:t>, що використовуються за призначенням у господарській діяльності суб’єктів господарювання, основна діяльність яких класифікується у секціях B-F </w:t>
            </w:r>
            <w:hyperlink r:id="rId98">
              <w:r>
                <w:rPr>
                  <w:rFonts w:ascii="Times New Roman" w:eastAsia="Times New Roman" w:hAnsi="Times New Roman" w:cs="Times New Roman"/>
                  <w:sz w:val="28"/>
                  <w:szCs w:val="28"/>
                </w:rPr>
                <w:t>КВЕД ДК 009:2010</w:t>
              </w:r>
            </w:hyperlink>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та не здаються їх </w:t>
            </w:r>
            <w:r>
              <w:rPr>
                <w:rFonts w:ascii="Times New Roman" w:eastAsia="Times New Roman" w:hAnsi="Times New Roman" w:cs="Times New Roman"/>
                <w:sz w:val="28"/>
                <w:szCs w:val="28"/>
              </w:rPr>
              <w:t>власниками в оренду, лізинг, позичку;</w:t>
            </w:r>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є) будівлі промисловості, віднесені до групи "Будівлі промислові та склади" (код 125) </w:t>
            </w:r>
            <w:hyperlink r:id="rId99">
              <w:r>
                <w:rPr>
                  <w:rFonts w:ascii="Times New Roman" w:eastAsia="Times New Roman" w:hAnsi="Times New Roman" w:cs="Times New Roman"/>
                  <w:sz w:val="28"/>
                  <w:szCs w:val="28"/>
                </w:rPr>
                <w:t>Державного класифікатора будівель та споруд ДК 018-2000</w:t>
              </w:r>
            </w:hyperlink>
            <w:r>
              <w:rPr>
                <w:rFonts w:ascii="Times New Roman" w:eastAsia="Times New Roman" w:hAnsi="Times New Roman" w:cs="Times New Roman"/>
                <w:sz w:val="28"/>
                <w:szCs w:val="28"/>
              </w:rPr>
              <w:t>, що використовуються за призначенням у господарській діяльності суб’єктів господарювання, основна діяльність яких класифікується у секціях B-F </w:t>
            </w:r>
            <w:hyperlink r:id="rId100">
              <w:r>
                <w:rPr>
                  <w:rFonts w:ascii="Times New Roman" w:eastAsia="Times New Roman" w:hAnsi="Times New Roman" w:cs="Times New Roman"/>
                  <w:sz w:val="28"/>
                  <w:szCs w:val="28"/>
                </w:rPr>
                <w:t>КВЕД ДК 009:2010</w:t>
              </w:r>
            </w:hyperlink>
            <w:r>
              <w:rPr>
                <w:rFonts w:ascii="Times New Roman" w:eastAsia="Times New Roman" w:hAnsi="Times New Roman" w:cs="Times New Roman"/>
                <w:sz w:val="28"/>
                <w:szCs w:val="28"/>
              </w:rPr>
              <w:t xml:space="preserve">,  та не </w:t>
            </w:r>
            <w:r>
              <w:rPr>
                <w:rFonts w:ascii="Times New Roman" w:eastAsia="Times New Roman" w:hAnsi="Times New Roman" w:cs="Times New Roman"/>
                <w:b/>
                <w:sz w:val="28"/>
                <w:szCs w:val="28"/>
              </w:rPr>
              <w:t>надаються</w:t>
            </w:r>
            <w:r>
              <w:rPr>
                <w:rFonts w:ascii="Times New Roman" w:eastAsia="Times New Roman" w:hAnsi="Times New Roman" w:cs="Times New Roman"/>
                <w:sz w:val="28"/>
                <w:szCs w:val="28"/>
              </w:rPr>
              <w:t xml:space="preserve"> їх власниками в оренду, лізинг, позику, позичку. </w:t>
            </w:r>
          </w:p>
        </w:tc>
      </w:tr>
      <w:tr w:rsidR="00CA6C41">
        <w:tc>
          <w:tcPr>
            <w:tcW w:w="7584"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0" w:line="240" w:lineRule="auto"/>
              <w:ind w:firstLine="30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 будівлі, споруди сільськогосподарських товаровиробників (юридичних та фізичних осіб), віднесені до класу "Будівлі сільськогосподарського призначення, лісівництва та рибного господарства" (код 1271) Державного </w:t>
            </w:r>
            <w:r>
              <w:rPr>
                <w:rFonts w:ascii="Times New Roman" w:eastAsia="Times New Roman" w:hAnsi="Times New Roman" w:cs="Times New Roman"/>
                <w:sz w:val="28"/>
                <w:szCs w:val="28"/>
              </w:rPr>
              <w:lastRenderedPageBreak/>
              <w:t>класифікатора будівель та споруд </w:t>
            </w:r>
            <w:hyperlink r:id="rId101">
              <w:r>
                <w:rPr>
                  <w:rFonts w:ascii="Times New Roman" w:eastAsia="Times New Roman" w:hAnsi="Times New Roman" w:cs="Times New Roman"/>
                  <w:sz w:val="28"/>
                  <w:szCs w:val="28"/>
                </w:rPr>
                <w:t>ДК 018-2000</w:t>
              </w:r>
            </w:hyperlink>
            <w:r>
              <w:rPr>
                <w:rFonts w:ascii="Times New Roman" w:eastAsia="Times New Roman" w:hAnsi="Times New Roman" w:cs="Times New Roman"/>
                <w:b/>
                <w:sz w:val="28"/>
                <w:szCs w:val="28"/>
              </w:rPr>
              <w:t xml:space="preserve">, та не здаються </w:t>
            </w:r>
            <w:r>
              <w:rPr>
                <w:rFonts w:ascii="Times New Roman" w:eastAsia="Times New Roman" w:hAnsi="Times New Roman" w:cs="Times New Roman"/>
                <w:sz w:val="28"/>
                <w:szCs w:val="28"/>
              </w:rPr>
              <w:t>їх власниками в оренду, лізинг, позичку;</w:t>
            </w:r>
          </w:p>
        </w:tc>
        <w:tc>
          <w:tcPr>
            <w:tcW w:w="7867"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0" w:line="240" w:lineRule="auto"/>
              <w:ind w:firstLine="30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lastRenderedPageBreak/>
              <w:t xml:space="preserve">ж) будівлі, споруди сільськогосподарських товаровиробників (юридичних та фізичних осіб), віднесені до класу "Будівлі сільськогосподарського призначення, лісівництва та рибного господарства" (код 1271) Державного класифікатора будівель та </w:t>
            </w:r>
            <w:r>
              <w:rPr>
                <w:rFonts w:ascii="Times New Roman" w:eastAsia="Times New Roman" w:hAnsi="Times New Roman" w:cs="Times New Roman"/>
                <w:sz w:val="28"/>
                <w:szCs w:val="28"/>
              </w:rPr>
              <w:lastRenderedPageBreak/>
              <w:t>споруд </w:t>
            </w:r>
            <w:hyperlink r:id="rId102">
              <w:r>
                <w:rPr>
                  <w:rFonts w:ascii="Times New Roman" w:eastAsia="Times New Roman" w:hAnsi="Times New Roman" w:cs="Times New Roman"/>
                  <w:sz w:val="28"/>
                  <w:szCs w:val="28"/>
                </w:rPr>
                <w:t>ДК 018-2000</w:t>
              </w:r>
            </w:hyperlink>
            <w:r>
              <w:rPr>
                <w:rFonts w:ascii="Times New Roman" w:eastAsia="Times New Roman" w:hAnsi="Times New Roman" w:cs="Times New Roman"/>
                <w:sz w:val="28"/>
                <w:szCs w:val="28"/>
              </w:rPr>
              <w:t xml:space="preserve">,  та не </w:t>
            </w:r>
            <w:r>
              <w:rPr>
                <w:rFonts w:ascii="Times New Roman" w:eastAsia="Times New Roman" w:hAnsi="Times New Roman" w:cs="Times New Roman"/>
                <w:b/>
                <w:sz w:val="28"/>
                <w:szCs w:val="28"/>
              </w:rPr>
              <w:t>надаються</w:t>
            </w:r>
            <w:r>
              <w:rPr>
                <w:rFonts w:ascii="Times New Roman" w:eastAsia="Times New Roman" w:hAnsi="Times New Roman" w:cs="Times New Roman"/>
                <w:sz w:val="28"/>
                <w:szCs w:val="28"/>
              </w:rPr>
              <w:t xml:space="preserve"> їх власниками в оренду, лізинг, позику, позичку. </w:t>
            </w:r>
            <w:r>
              <w:rPr>
                <w:rFonts w:ascii="Times New Roman" w:eastAsia="Times New Roman" w:hAnsi="Times New Roman" w:cs="Times New Roman"/>
                <w:b/>
                <w:sz w:val="28"/>
                <w:szCs w:val="28"/>
              </w:rPr>
              <w:t>.</w:t>
            </w:r>
          </w:p>
          <w:p w:rsidR="00CA6C41" w:rsidRDefault="00CA6C41">
            <w:pPr>
              <w:pBdr>
                <w:top w:val="nil"/>
                <w:left w:val="nil"/>
                <w:bottom w:val="nil"/>
                <w:right w:val="nil"/>
                <w:between w:val="nil"/>
              </w:pBdr>
              <w:spacing w:before="120" w:after="0" w:line="240" w:lineRule="auto"/>
              <w:ind w:firstLine="306"/>
              <w:jc w:val="both"/>
              <w:rPr>
                <w:rFonts w:ascii="Times New Roman" w:eastAsia="Times New Roman" w:hAnsi="Times New Roman" w:cs="Times New Roman"/>
                <w:b/>
                <w:sz w:val="28"/>
                <w:szCs w:val="28"/>
              </w:rPr>
            </w:pPr>
          </w:p>
        </w:tc>
      </w:tr>
    </w:tbl>
    <w:p w:rsidR="00CA6C41" w:rsidRDefault="00CA6C41">
      <w:pPr>
        <w:pBdr>
          <w:top w:val="nil"/>
          <w:left w:val="nil"/>
          <w:bottom w:val="nil"/>
          <w:right w:val="nil"/>
          <w:between w:val="nil"/>
        </w:pBdr>
        <w:rPr>
          <w:rFonts w:ascii="Times New Roman" w:eastAsia="Times New Roman" w:hAnsi="Times New Roman" w:cs="Times New Roman"/>
          <w:b/>
          <w:sz w:val="28"/>
          <w:szCs w:val="28"/>
        </w:rPr>
      </w:pPr>
    </w:p>
    <w:tbl>
      <w:tblPr>
        <w:tblStyle w:val="affffffff5"/>
        <w:tblW w:w="1559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32"/>
        <w:gridCol w:w="7862"/>
      </w:tblGrid>
      <w:tr w:rsidR="00CA6C41">
        <w:tc>
          <w:tcPr>
            <w:tcW w:w="773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267. </w:t>
            </w:r>
            <w:r>
              <w:rPr>
                <w:rFonts w:ascii="Times New Roman" w:eastAsia="Times New Roman" w:hAnsi="Times New Roman" w:cs="Times New Roman"/>
                <w:sz w:val="28"/>
                <w:szCs w:val="28"/>
              </w:rPr>
              <w:t>Транспортний податок</w:t>
            </w:r>
          </w:p>
        </w:tc>
        <w:tc>
          <w:tcPr>
            <w:tcW w:w="786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267. </w:t>
            </w:r>
            <w:r>
              <w:rPr>
                <w:rFonts w:ascii="Times New Roman" w:eastAsia="Times New Roman" w:hAnsi="Times New Roman" w:cs="Times New Roman"/>
                <w:sz w:val="28"/>
                <w:szCs w:val="28"/>
              </w:rPr>
              <w:t>Транспортний податок</w:t>
            </w:r>
          </w:p>
        </w:tc>
      </w:tr>
      <w:tr w:rsidR="00CA6C41">
        <w:tc>
          <w:tcPr>
            <w:tcW w:w="773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rPr>
                <w:rFonts w:ascii="Times New Roman" w:eastAsia="Times New Roman" w:hAnsi="Times New Roman" w:cs="Times New Roman"/>
                <w:sz w:val="28"/>
                <w:szCs w:val="28"/>
              </w:rPr>
            </w:pPr>
            <w:r>
              <w:rPr>
                <w:rFonts w:ascii="Times New Roman" w:eastAsia="Times New Roman" w:hAnsi="Times New Roman" w:cs="Times New Roman"/>
                <w:sz w:val="28"/>
                <w:szCs w:val="28"/>
              </w:rPr>
              <w:t>267.2. Об’єкт оподаткування</w:t>
            </w: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267.2.1. Об’єктом оподаткування є легкові автомобілі, з року випуску яких минуло не більше п’яти років (включно) та середньоринкова вартість яких становить понад </w:t>
            </w:r>
            <w:r>
              <w:rPr>
                <w:rFonts w:ascii="Times New Roman" w:eastAsia="Times New Roman" w:hAnsi="Times New Roman" w:cs="Times New Roman"/>
                <w:b/>
                <w:sz w:val="28"/>
                <w:szCs w:val="28"/>
              </w:rPr>
              <w:t>375</w:t>
            </w:r>
            <w:r>
              <w:rPr>
                <w:rFonts w:ascii="Times New Roman" w:eastAsia="Times New Roman" w:hAnsi="Times New Roman" w:cs="Times New Roman"/>
                <w:sz w:val="28"/>
                <w:szCs w:val="28"/>
              </w:rPr>
              <w:t xml:space="preserve"> розмірів мінімальної заробітної плати, встановленої законом на 1 січня податкового (звітного) року.</w:t>
            </w: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Така вартість визначається центральним органом виконавчої влади, що забезпечує формування та реалізує державну політику економічного, соціального розвитку і торгівлі, за </w:t>
            </w:r>
            <w:hyperlink r:id="rId103" w:anchor="n9">
              <w:r>
                <w:rPr>
                  <w:rFonts w:ascii="Times New Roman" w:eastAsia="Times New Roman" w:hAnsi="Times New Roman" w:cs="Times New Roman"/>
                  <w:sz w:val="28"/>
                  <w:szCs w:val="28"/>
                </w:rPr>
                <w:t>методикою</w:t>
              </w:r>
            </w:hyperlink>
            <w:r>
              <w:rPr>
                <w:rFonts w:ascii="Times New Roman" w:eastAsia="Times New Roman" w:hAnsi="Times New Roman" w:cs="Times New Roman"/>
                <w:sz w:val="28"/>
                <w:szCs w:val="28"/>
              </w:rPr>
              <w:t>, затвердженою Кабінетом Міністрів України, станом на 1 січня податкового (звітного) року виходячи з марки, моделі, року випуску, об’єму циліндрів двигуна, типу пального";</w:t>
            </w: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соціального розвитку і торгівлі, на своєму офіційному веб-сайті розміщується перелік легкових автомобілів, з року випуску яких минуло не більше п’яти років (включно) та середньоринкова вартість яких становить понад </w:t>
            </w:r>
            <w:r>
              <w:rPr>
                <w:rFonts w:ascii="Times New Roman" w:eastAsia="Times New Roman" w:hAnsi="Times New Roman" w:cs="Times New Roman"/>
                <w:b/>
                <w:sz w:val="28"/>
                <w:szCs w:val="28"/>
              </w:rPr>
              <w:t>375</w:t>
            </w:r>
            <w:r>
              <w:rPr>
                <w:rFonts w:ascii="Times New Roman" w:eastAsia="Times New Roman" w:hAnsi="Times New Roman" w:cs="Times New Roman"/>
                <w:sz w:val="28"/>
                <w:szCs w:val="28"/>
              </w:rPr>
              <w:t xml:space="preserve"> розмірів мінімальної заробітної плати, встановленої законом на 1 січня податкового (звітного) року, який повинен містити такі дані щодо цих автомобілів: марка, модель, рік випуску, об’єм циліндрів двигуна, тип пального.</w:t>
            </w:r>
          </w:p>
          <w:p w:rsidR="00CA6C41" w:rsidRDefault="00CA6C4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p>
        </w:tc>
        <w:tc>
          <w:tcPr>
            <w:tcW w:w="786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rPr>
                <w:rFonts w:ascii="Times New Roman" w:eastAsia="Times New Roman" w:hAnsi="Times New Roman" w:cs="Times New Roman"/>
                <w:sz w:val="28"/>
                <w:szCs w:val="28"/>
              </w:rPr>
            </w:pPr>
            <w:r>
              <w:rPr>
                <w:rFonts w:ascii="Times New Roman" w:eastAsia="Times New Roman" w:hAnsi="Times New Roman" w:cs="Times New Roman"/>
                <w:sz w:val="28"/>
                <w:szCs w:val="28"/>
              </w:rPr>
              <w:t>267.2. Об’єкт оподаткування</w:t>
            </w: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267.2.1. Об’єктом оподаткування є легкові автомобілі, з року випуску яких минуло не більше п’яти років (включно) та середньоринкова вартість яких становить понад </w:t>
            </w:r>
            <w:r>
              <w:rPr>
                <w:rFonts w:ascii="Times New Roman" w:eastAsia="Times New Roman" w:hAnsi="Times New Roman" w:cs="Times New Roman"/>
                <w:b/>
                <w:sz w:val="28"/>
                <w:szCs w:val="28"/>
              </w:rPr>
              <w:t>200</w:t>
            </w:r>
            <w:r>
              <w:rPr>
                <w:rFonts w:ascii="Times New Roman" w:eastAsia="Times New Roman" w:hAnsi="Times New Roman" w:cs="Times New Roman"/>
                <w:sz w:val="28"/>
                <w:szCs w:val="28"/>
              </w:rPr>
              <w:t xml:space="preserve"> розмірів мінімальної заробітної плати, встановленої законом на 1 січня податкового (звітного) року.</w:t>
            </w: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Така вартість визначається центральним органом виконавчої влади, що забезпечує формування та реалізує державну політику економічного, соціального розвитку і торгівлі, за </w:t>
            </w:r>
            <w:hyperlink r:id="rId104" w:anchor="n9">
              <w:r>
                <w:rPr>
                  <w:rFonts w:ascii="Times New Roman" w:eastAsia="Times New Roman" w:hAnsi="Times New Roman" w:cs="Times New Roman"/>
                  <w:sz w:val="28"/>
                  <w:szCs w:val="28"/>
                </w:rPr>
                <w:t>методикою</w:t>
              </w:r>
            </w:hyperlink>
            <w:r>
              <w:rPr>
                <w:rFonts w:ascii="Times New Roman" w:eastAsia="Times New Roman" w:hAnsi="Times New Roman" w:cs="Times New Roman"/>
                <w:sz w:val="28"/>
                <w:szCs w:val="28"/>
              </w:rPr>
              <w:t>, затвердженою Кабінетом Міністрів України, станом на 1 січня податкового (звітного) року виходячи з марки, моделі, року випуску, об’єму циліндрів двигуна, типу пального";</w:t>
            </w: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соціального розвитку і торгівлі, на своєму офіційному веб-сайті розміщується перелік легкових автомобілів, з року випуску яких минуло не більше п’яти років (включно) та середньоринкова вартість яких становить понад </w:t>
            </w:r>
            <w:r>
              <w:rPr>
                <w:rFonts w:ascii="Times New Roman" w:eastAsia="Times New Roman" w:hAnsi="Times New Roman" w:cs="Times New Roman"/>
                <w:b/>
                <w:sz w:val="28"/>
                <w:szCs w:val="28"/>
              </w:rPr>
              <w:t xml:space="preserve">200 </w:t>
            </w:r>
            <w:r>
              <w:rPr>
                <w:rFonts w:ascii="Times New Roman" w:eastAsia="Times New Roman" w:hAnsi="Times New Roman" w:cs="Times New Roman"/>
                <w:sz w:val="28"/>
                <w:szCs w:val="28"/>
              </w:rPr>
              <w:t>розмірів мінімальної заробітної плати, встановленої законом на 1 січня податкового (звітного) року, який повинен містити такі дані щодо цих автомобілів: марка, модель, рік випуску, об’єм циліндрів двигуна, тип пального.</w:t>
            </w:r>
          </w:p>
          <w:p w:rsidR="00CA6C41" w:rsidRDefault="00CA6C4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p>
        </w:tc>
      </w:tr>
      <w:tr w:rsidR="00CA6C41">
        <w:tc>
          <w:tcPr>
            <w:tcW w:w="773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Стаття 271. База оподаткування земельним податком</w:t>
            </w:r>
          </w:p>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271.1. Базою оподаткування є:</w:t>
            </w:r>
          </w:p>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271.1.1. нормативна грошова оцінка земельних ділянок з урахуванням коефіцієнта індексації, визначеного відповідно до порядку, встановленого цим розділом;</w:t>
            </w:r>
          </w:p>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271.1.2. площа земельних ділянок, нормативну грошову оцінку яких не проведено.</w:t>
            </w:r>
          </w:p>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Відсутній </w:t>
            </w:r>
          </w:p>
        </w:tc>
        <w:tc>
          <w:tcPr>
            <w:tcW w:w="786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Стаття 271. База оподаткування земельним податком</w:t>
            </w:r>
          </w:p>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271.1. Базою оподаткування є:</w:t>
            </w:r>
          </w:p>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271.1.1. нормативна грошова оцінка земельних ділянок з урахуванням коефіцієнта індексації, визначеного відповідно до порядку, встановленого цим розділом;</w:t>
            </w:r>
          </w:p>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271.1.2. площа земельних ділянок, нормативну грошову оцінку яких не проведено;</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271.1.3.  для лісових земель та нелісових земель, які надані у встановленому порядку та використовуються для потреб лісового господарства – 10 відсотків від нормативної грошової оцінки багаторічних насаджень, оприлюдненої центральним органом виконавчої влади, який реалізує державну політику у сфері топографо-геодезичної і картографічної діяльності, земельних відносин, землеустрою, Державного земельного кадастру, державного нагляду (контролю) в агропромисловому комплексі в частині дотримання земельного законодавства, використання та охорони земель усіх категорій і форм власності, родючості ґрунтів.</w:t>
            </w:r>
          </w:p>
        </w:tc>
      </w:tr>
      <w:tr w:rsidR="00CA6C41">
        <w:tc>
          <w:tcPr>
            <w:tcW w:w="773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Стаття 273. Оподаткування земельних ділянок, наданих на землях лісогосподарського призначення (незалежно від місцезнаходження), земельним податком</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273.1. Податок за лісові землі складається із земельного податку та рентної плати, що визначається податковим законодавством.</w:t>
            </w:r>
          </w:p>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273.2. Ставки податку за один гектар нелісових земель, які надані у встановленому порядку та використовуються для потреб лісового господарства, встановлюються відповідно до статті 274 цього Кодексу.</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273.3. Ставки податку за один гектар лісових земель встановлюються відповідно до статей 274 та 277 цього Кодексу.</w:t>
            </w:r>
          </w:p>
        </w:tc>
        <w:tc>
          <w:tcPr>
            <w:tcW w:w="786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Стаття 273. Оподаткування земельних ділянок, наданих на землях лісогосподарського призначення (незалежно від місцезнаходження), земельним податком</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273.1. Суми земельного податку за лісові землі та нелісові землі, які надані у встановленому порядку та використовуються для потреб лісового господарства, визначаються платниками податку самостійно, виходячи з об'єктів оподаткування, бази оподаткування та ставок цього податку.</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Виключити.</w:t>
            </w:r>
          </w:p>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Виключити </w:t>
            </w:r>
          </w:p>
        </w:tc>
      </w:tr>
      <w:tr w:rsidR="00CA6C41">
        <w:tc>
          <w:tcPr>
            <w:tcW w:w="773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Стаття 274. Ставка земельного податку за земельні ділянки, нормативну грошову оцінку яких проведено (незалежно від місцезнаходження)</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274.1. Ставка податку за земельні ділянки, нормативну грошову оцінку яких проведено, встановлюється у розмірі не більше 3 відсотків від їх нормативної грошової оцінки, для земель загального користування - не більше 1 відсотка від їх нормативної грошової оцінки, а для сільськогосподарських угідь - не менше 0,3 відсотка та не більше 1 відсотка від їх нормативної грошової оцінки</w:t>
            </w:r>
            <w:r>
              <w:rPr>
                <w:rFonts w:ascii="Times New Roman" w:eastAsia="Times New Roman" w:hAnsi="Times New Roman" w:cs="Times New Roman"/>
                <w:b/>
                <w:sz w:val="28"/>
                <w:szCs w:val="28"/>
                <w:highlight w:val="white"/>
              </w:rPr>
              <w:t>, а для лісових земель - не більше 0,1 відсотка від їх нормативної грошової оцінки</w:t>
            </w:r>
            <w:r>
              <w:rPr>
                <w:rFonts w:ascii="Times New Roman" w:eastAsia="Times New Roman" w:hAnsi="Times New Roman" w:cs="Times New Roman"/>
                <w:sz w:val="28"/>
                <w:szCs w:val="28"/>
                <w:highlight w:val="white"/>
              </w:rPr>
              <w:t>.</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274.2. Ставка податку встановлюється у розмірі не більше 12 відсотків від їх нормативної грошової оцінки за земельні ділянки, які перебувають у постійному користуванні суб’єктів господарювання (крім державної та комунальної форми власності).</w:t>
            </w:r>
          </w:p>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Відсутній </w:t>
            </w:r>
          </w:p>
        </w:tc>
        <w:tc>
          <w:tcPr>
            <w:tcW w:w="786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Стаття 274. Ставка земельного податку за земельні ділянки, нормативну грошову оцінку яких проведено (незалежно від місцезнаходження)</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274.1. Ставка податку за земельні ділянки, нормативну грошову оцінку яких проведено </w:t>
            </w:r>
            <w:r>
              <w:rPr>
                <w:rFonts w:ascii="Times New Roman" w:eastAsia="Times New Roman" w:hAnsi="Times New Roman" w:cs="Times New Roman"/>
                <w:b/>
                <w:sz w:val="28"/>
                <w:szCs w:val="28"/>
                <w:highlight w:val="white"/>
              </w:rPr>
              <w:t>(крім лісових земель та нелісових земель, які надані у встановленому порядку та використовуються для потреб лісового господарства)</w:t>
            </w:r>
            <w:r>
              <w:rPr>
                <w:rFonts w:ascii="Times New Roman" w:eastAsia="Times New Roman" w:hAnsi="Times New Roman" w:cs="Times New Roman"/>
                <w:sz w:val="28"/>
                <w:szCs w:val="28"/>
                <w:highlight w:val="white"/>
              </w:rPr>
              <w:t xml:space="preserve">, встановлюється у розмірі не більше 3 відсотків від їх нормативної грошової оцінки, для земель загального користування - не більше 1 відсотка від їх нормативної грошової оцінки, а для сільськогосподарських угідь - не менше 0,3 </w:t>
            </w:r>
            <w:r>
              <w:rPr>
                <w:rFonts w:ascii="Times New Roman" w:eastAsia="Times New Roman" w:hAnsi="Times New Roman" w:cs="Times New Roman"/>
                <w:sz w:val="28"/>
                <w:szCs w:val="28"/>
                <w:highlight w:val="white"/>
              </w:rPr>
              <w:lastRenderedPageBreak/>
              <w:t>відсотка та не більше 1 відсотка від їх нормативної грошової оцінки.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274.2. Ставка податку встановлюється у розмірі не більше 12 відсотків від їх нормативної грошової оцінки за земельні ділянки, які перебувають у постійному користуванні суб’єктів господарювання (крім державної та комунальної форми власності).</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274.3. Ставка податку за лісові землі та нелісові землі, які надані у встановленому порядку та використовуються для потреб лісового господарства, становить 10 відсотків від бази оподаткування, передбаченої підпунктом 271.1.3. пункту 271.1. статті 271 цього Кодексу.</w:t>
            </w:r>
          </w:p>
        </w:tc>
      </w:tr>
      <w:tr w:rsidR="00CA6C41">
        <w:tc>
          <w:tcPr>
            <w:tcW w:w="773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Стаття 277. Ставки земельного податку за земельні ділянки, нормативну грошову оцінку яких не проведено</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277.1. Ставка податку за земельні ділянки, розташовані за межами населених пунктів або в межах населених пунктів, встановлюється у розмірі не більше 5 відсотків від нормативної грошової оцінки одиниці площі ріллі по Автономній Республіці Крим або по області, а для сільськогосподарських угідь - не менше 0,3 відсотка та не більше 5 відсотків від нормативної грошової оцінки одиниці площі ріллі по Автономній Республіці Крим або по області, </w:t>
            </w:r>
            <w:r>
              <w:rPr>
                <w:rFonts w:ascii="Times New Roman" w:eastAsia="Times New Roman" w:hAnsi="Times New Roman" w:cs="Times New Roman"/>
                <w:b/>
                <w:sz w:val="28"/>
                <w:szCs w:val="28"/>
                <w:highlight w:val="white"/>
              </w:rPr>
              <w:t xml:space="preserve">а для лісових земель - не більше 0,1 відсотка від нормативної грошової </w:t>
            </w:r>
            <w:r>
              <w:rPr>
                <w:rFonts w:ascii="Times New Roman" w:eastAsia="Times New Roman" w:hAnsi="Times New Roman" w:cs="Times New Roman"/>
                <w:b/>
                <w:sz w:val="28"/>
                <w:szCs w:val="28"/>
                <w:highlight w:val="white"/>
              </w:rPr>
              <w:lastRenderedPageBreak/>
              <w:t>оцінки площі ріллі по Автономній Республіці Крим або по області</w:t>
            </w:r>
            <w:r>
              <w:rPr>
                <w:rFonts w:ascii="Times New Roman" w:eastAsia="Times New Roman" w:hAnsi="Times New Roman" w:cs="Times New Roman"/>
                <w:sz w:val="28"/>
                <w:szCs w:val="28"/>
                <w:highlight w:val="white"/>
              </w:rPr>
              <w:t>.</w:t>
            </w:r>
          </w:p>
        </w:tc>
        <w:tc>
          <w:tcPr>
            <w:tcW w:w="786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Стаття 277. Ставки земельного податку за земельні ділянки, нормативну грошову оцінку яких не проведено</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277.1. Ставка податку за земельні ділянки, розташовані за межами населених пунктів або в межах населених пунктів, встановлюється у розмірі не більше 5 відсотків від нормативної грошової оцінки одиниці площі ріллі по Автономній Республіці Крим або по області, а для сільськогосподарських угідь - не менше 0,3 відсотка та не більше 5 відсотків від нормативної грошової оцінки одиниці площі ріллі по Автономній Республіці Крим або по області.</w:t>
            </w:r>
          </w:p>
        </w:tc>
      </w:tr>
      <w:tr w:rsidR="00CA6C41">
        <w:tc>
          <w:tcPr>
            <w:tcW w:w="773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Стаття 283. Земельні ділянки, які не підлягають оподаткуванню земельним податком</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283.1. Не сплачується податок за:</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283.1.8. земельні ділянки, надані для будівництва і обслуговування культових та інших будівель, необхідних для забезпечення діяльності релігійних організацій України, статути (положення) яких зареєстровано у встановленому законом порядку.</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Відсутній </w:t>
            </w:r>
          </w:p>
        </w:tc>
        <w:tc>
          <w:tcPr>
            <w:tcW w:w="786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Стаття 283. Земельні ділянки, які не підлягають оподаткуванню земельним податком</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283.1. Не сплачується податок за:</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sz w:val="28"/>
                <w:szCs w:val="28"/>
                <w:highlight w:val="white"/>
              </w:rPr>
              <w:t>283.1.8. земельні ділянки, надані для будівництва і обслуговування культових та інших будівель, необхідних для забезпечення діяльності релігійних організацій України, статути (положення) яких зареєстровано у встановленому законом порядку</w:t>
            </w:r>
            <w:r>
              <w:rPr>
                <w:rFonts w:ascii="Times New Roman" w:eastAsia="Times New Roman" w:hAnsi="Times New Roman" w:cs="Times New Roman"/>
                <w:b/>
                <w:sz w:val="28"/>
                <w:szCs w:val="28"/>
                <w:highlight w:val="white"/>
              </w:rPr>
              <w:t>;</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283.1.9. лісові землі під такими категоріями лісів:</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283.1.9.1. захисні ліси;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283.1.9.2. рекреаційно-оздоровчі ліси;</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283.1.9.3. ліси природоохоронного, наукового, історико-культурного призначення;</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283.1.10. нелісові землі, що надані у встановленому порядку та використовуються для потреб лісового господарства</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та</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highlight w:val="white"/>
              </w:rPr>
              <w:t>лісові землі, які відповідно до закону протягом податкового (звітного періоду) були зоною надзвичайної ситуації.</w:t>
            </w:r>
          </w:p>
        </w:tc>
      </w:tr>
      <w:tr w:rsidR="00CA6C41">
        <w:tc>
          <w:tcPr>
            <w:tcW w:w="773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Стаття 284. Особливості оподаткування платою за землю</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p>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Нові зміни до рішень щодо наданих пільг зі сплати земельного податку надаються відповідному контролюючому органу за місцезнаходженням земельної ділянки до 1 числа першого місяця кварталу, що настає за звітним кварталом, у якому відбулися зазначені зміни.</w:t>
            </w:r>
          </w:p>
        </w:tc>
        <w:tc>
          <w:tcPr>
            <w:tcW w:w="7862"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Стаття 284. Особливості оподаткування платою за землю</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284.1. Верховна Рада Автономної Республіки Крим та органи місцевого самоврядування встановлюють ставки плати за землю </w:t>
            </w:r>
            <w:r>
              <w:rPr>
                <w:rFonts w:ascii="Times New Roman" w:eastAsia="Times New Roman" w:hAnsi="Times New Roman" w:cs="Times New Roman"/>
                <w:b/>
                <w:sz w:val="28"/>
                <w:szCs w:val="28"/>
                <w:highlight w:val="white"/>
              </w:rPr>
              <w:t>(крім земельного податку за лісові землі та нелісові землі, які надані у встановленому порядку та використовуються для потреб лісового господарства)</w:t>
            </w:r>
            <w:r>
              <w:rPr>
                <w:rFonts w:ascii="Times New Roman" w:eastAsia="Times New Roman" w:hAnsi="Times New Roman" w:cs="Times New Roman"/>
                <w:sz w:val="28"/>
                <w:szCs w:val="28"/>
                <w:highlight w:val="white"/>
              </w:rPr>
              <w:t xml:space="preserve"> та пільги щодо земельного податку, що сплачується на відповідній території.</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Нові зміни до рішень щодо наданих пільг зі сплати земельного податку надаються відповідному контролюючому органу за місцезнаходженням земельної ділянки до 1 числа першого місяця кварталу, що настає за звітним кварталом, у якому відбулися зазначені зміни.</w:t>
            </w:r>
          </w:p>
        </w:tc>
      </w:tr>
    </w:tbl>
    <w:p w:rsidR="00CA6C41" w:rsidRDefault="00CA6C41">
      <w:pPr>
        <w:pBdr>
          <w:top w:val="nil"/>
          <w:left w:val="nil"/>
          <w:bottom w:val="nil"/>
          <w:right w:val="nil"/>
          <w:between w:val="nil"/>
        </w:pBdr>
        <w:rPr>
          <w:rFonts w:ascii="Times New Roman" w:eastAsia="Times New Roman" w:hAnsi="Times New Roman" w:cs="Times New Roman"/>
          <w:sz w:val="28"/>
          <w:szCs w:val="28"/>
          <w:highlight w:val="white"/>
        </w:rPr>
      </w:pPr>
    </w:p>
    <w:p w:rsidR="00CA6C41" w:rsidRDefault="00CA6C41">
      <w:pPr>
        <w:pBdr>
          <w:top w:val="nil"/>
          <w:left w:val="nil"/>
          <w:bottom w:val="nil"/>
          <w:right w:val="nil"/>
          <w:between w:val="nil"/>
        </w:pBdr>
        <w:rPr>
          <w:rFonts w:ascii="Times New Roman" w:eastAsia="Times New Roman" w:hAnsi="Times New Roman" w:cs="Times New Roman"/>
          <w:sz w:val="28"/>
          <w:szCs w:val="28"/>
          <w:highlight w:val="white"/>
        </w:rPr>
      </w:pPr>
    </w:p>
    <w:tbl>
      <w:tblPr>
        <w:tblStyle w:val="affffffff6"/>
        <w:tblW w:w="1559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40"/>
        <w:gridCol w:w="7852"/>
      </w:tblGrid>
      <w:tr w:rsidR="00CA6C41">
        <w:tc>
          <w:tcPr>
            <w:tcW w:w="774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50" w:after="150" w:line="240" w:lineRule="auto"/>
              <w:ind w:left="450" w:right="4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XIV. СПЕЦІАЛЬНІ ПОДАТКОВІ РЕЖИМИ</w:t>
            </w:r>
          </w:p>
          <w:p w:rsidR="00CA6C41" w:rsidRDefault="00FC4AC1">
            <w:pPr>
              <w:pBdr>
                <w:top w:val="nil"/>
                <w:left w:val="nil"/>
                <w:bottom w:val="nil"/>
                <w:right w:val="nil"/>
                <w:between w:val="nil"/>
              </w:pBdr>
              <w:spacing w:before="150" w:after="150" w:line="240" w:lineRule="auto"/>
              <w:ind w:left="450" w:right="4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ГЛАВА 1. СПРОЩЕНА СИСТЕМА ОПОДАТКУВАННЯ, ОБЛІКУ ТА ЗВІТНОСТІ</w:t>
            </w:r>
          </w:p>
        </w:tc>
        <w:tc>
          <w:tcPr>
            <w:tcW w:w="785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50" w:after="150" w:line="240" w:lineRule="auto"/>
              <w:ind w:left="450" w:right="4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XIV. СПЕЦІАЛЬНІ ПОДАТКОВІ РЕЖИМИ</w:t>
            </w:r>
          </w:p>
          <w:p w:rsidR="00CA6C41" w:rsidRDefault="00FC4AC1">
            <w:pPr>
              <w:pBdr>
                <w:top w:val="nil"/>
                <w:left w:val="nil"/>
                <w:bottom w:val="nil"/>
                <w:right w:val="nil"/>
                <w:between w:val="nil"/>
              </w:pBdr>
              <w:spacing w:before="150" w:after="150" w:line="240" w:lineRule="auto"/>
              <w:ind w:left="450" w:right="45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ГЛАВА 1. СПРОЩЕНА СИСТЕМА ОПОДАТКУВАННЯ, ОБЛІКУ ТА ЗВІТНОСТІ</w:t>
            </w:r>
          </w:p>
        </w:tc>
      </w:tr>
      <w:tr w:rsidR="00CA6C41">
        <w:tc>
          <w:tcPr>
            <w:tcW w:w="774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291. Загальні положення</w:t>
            </w:r>
          </w:p>
        </w:tc>
        <w:tc>
          <w:tcPr>
            <w:tcW w:w="785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291. Загальні положення</w:t>
            </w:r>
          </w:p>
        </w:tc>
      </w:tr>
      <w:tr w:rsidR="00CA6C41">
        <w:tc>
          <w:tcPr>
            <w:tcW w:w="774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c>
        <w:tc>
          <w:tcPr>
            <w:tcW w:w="785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c>
      </w:tr>
      <w:tr w:rsidR="00CA6C41">
        <w:tc>
          <w:tcPr>
            <w:tcW w:w="774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четверта група - сільськогосподарські товаровиробники</w:t>
            </w:r>
          </w:p>
        </w:tc>
        <w:tc>
          <w:tcPr>
            <w:tcW w:w="785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четверта група - сільськогосподарські товаровиробники</w:t>
            </w:r>
          </w:p>
        </w:tc>
      </w:tr>
      <w:tr w:rsidR="00CA6C41">
        <w:tc>
          <w:tcPr>
            <w:tcW w:w="774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tc>
        <w:tc>
          <w:tcPr>
            <w:tcW w:w="785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74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 сільськогосподарських угідь та/або земель водного фонду у власності та/або користуванні членів фермерського господарства становить не менше </w:t>
            </w:r>
            <w:r>
              <w:rPr>
                <w:rFonts w:ascii="Times New Roman" w:eastAsia="Times New Roman" w:hAnsi="Times New Roman" w:cs="Times New Roman"/>
                <w:b/>
                <w:sz w:val="28"/>
                <w:szCs w:val="28"/>
              </w:rPr>
              <w:t>двох гектарів</w:t>
            </w:r>
            <w:r>
              <w:rPr>
                <w:rFonts w:ascii="Times New Roman" w:eastAsia="Times New Roman" w:hAnsi="Times New Roman" w:cs="Times New Roman"/>
                <w:sz w:val="28"/>
                <w:szCs w:val="28"/>
              </w:rPr>
              <w:t>, але не більше 20 гектарів.</w:t>
            </w:r>
          </w:p>
        </w:tc>
        <w:tc>
          <w:tcPr>
            <w:tcW w:w="785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 сільськогосподарських угідь та/або земель водного фонду у власності та/або користуванні членів фермерського господарства становить не менше</w:t>
            </w:r>
            <w:r>
              <w:rPr>
                <w:rFonts w:ascii="Times New Roman" w:eastAsia="Times New Roman" w:hAnsi="Times New Roman" w:cs="Times New Roman"/>
                <w:b/>
                <w:sz w:val="28"/>
                <w:szCs w:val="28"/>
              </w:rPr>
              <w:t xml:space="preserve"> 1,05 гектара, </w:t>
            </w:r>
            <w:r>
              <w:rPr>
                <w:rFonts w:ascii="Times New Roman" w:eastAsia="Times New Roman" w:hAnsi="Times New Roman" w:cs="Times New Roman"/>
                <w:sz w:val="28"/>
                <w:szCs w:val="28"/>
              </w:rPr>
              <w:t>але не більше 20 гектарів.</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bl>
    <w:p w:rsidR="00CA6C41" w:rsidRDefault="00CA6C41">
      <w:pPr>
        <w:pBdr>
          <w:top w:val="nil"/>
          <w:left w:val="nil"/>
          <w:bottom w:val="nil"/>
          <w:right w:val="nil"/>
          <w:between w:val="nil"/>
        </w:pBdr>
        <w:rPr>
          <w:rFonts w:ascii="Times New Roman" w:eastAsia="Times New Roman" w:hAnsi="Times New Roman" w:cs="Times New Roman"/>
          <w:sz w:val="28"/>
          <w:szCs w:val="28"/>
        </w:rPr>
      </w:pPr>
    </w:p>
    <w:tbl>
      <w:tblPr>
        <w:tblStyle w:val="affffffff7"/>
        <w:tblW w:w="1565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55"/>
        <w:gridCol w:w="8000"/>
      </w:tblGrid>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ХХ. ПЕРЕХІДНІ ПОЛОЖЕННЯ</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ХХ. ПЕРЕХІДНІ ПОЛОЖЕННЯ</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Підрозділ 1. Особливості справляння податку на доходи фізичних осіб</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Підрозділ 1. Особливості справляння податку на доходи фізичних осіб</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15. Пункт відсутній </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15. Не включаються до розрахунку загального місячного (річного) оподатковуваного доходу платника податку на доходи фізичних осіб:</w:t>
            </w:r>
          </w:p>
        </w:tc>
      </w:tr>
      <w:tr w:rsidR="00CA6C41">
        <w:tc>
          <w:tcPr>
            <w:tcW w:w="7655" w:type="dxa"/>
            <w:shd w:val="clear" w:color="auto" w:fill="auto"/>
            <w:tcMar>
              <w:top w:w="0" w:type="dxa"/>
              <w:left w:w="108" w:type="dxa"/>
              <w:bottom w:w="0" w:type="dxa"/>
              <w:right w:w="108" w:type="dxa"/>
            </w:tcMar>
          </w:tcPr>
          <w:p w:rsidR="00CA6C41" w:rsidRDefault="00CA6C41">
            <w:pPr>
              <w:pBdr>
                <w:top w:val="nil"/>
                <w:left w:val="nil"/>
                <w:bottom w:val="nil"/>
                <w:right w:val="nil"/>
                <w:between w:val="nil"/>
              </w:pBdr>
              <w:tabs>
                <w:tab w:val="center" w:pos="4677"/>
                <w:tab w:val="right" w:pos="9355"/>
              </w:tabs>
              <w:spacing w:before="120" w:after="120" w:line="240" w:lineRule="auto"/>
              <w:ind w:firstLine="30"/>
              <w:jc w:val="both"/>
              <w:rPr>
                <w:rFonts w:ascii="Times New Roman" w:eastAsia="Times New Roman" w:hAnsi="Times New Roman" w:cs="Times New Roman"/>
                <w:b/>
                <w:sz w:val="28"/>
                <w:szCs w:val="28"/>
              </w:rPr>
            </w:pP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суми недоїмки,   з єдиного внеску на загальнообов'язкове державне соціальне страхування,  а також суми пені  та штрафів,  нараховані на ці суми  недоїмки,  списані платнику єдиного внеску відповідно до пункту 9</w:t>
            </w:r>
            <w:r>
              <w:rPr>
                <w:rFonts w:ascii="Times New Roman" w:eastAsia="Times New Roman" w:hAnsi="Times New Roman" w:cs="Times New Roman"/>
                <w:b/>
                <w:sz w:val="28"/>
                <w:szCs w:val="28"/>
                <w:vertAlign w:val="superscript"/>
              </w:rPr>
              <w:t xml:space="preserve">15 </w:t>
            </w:r>
            <w:r>
              <w:rPr>
                <w:rFonts w:ascii="Times New Roman" w:eastAsia="Times New Roman" w:hAnsi="Times New Roman" w:cs="Times New Roman"/>
                <w:b/>
                <w:sz w:val="28"/>
                <w:szCs w:val="28"/>
              </w:rPr>
              <w:t>Розділу VIII Закону України «Про збір та облік єдиного внеску на загальнообов’язкове державне соціальне страхування»;</w:t>
            </w:r>
          </w:p>
        </w:tc>
      </w:tr>
      <w:tr w:rsidR="00CA6C41">
        <w:tc>
          <w:tcPr>
            <w:tcW w:w="7655" w:type="dxa"/>
            <w:shd w:val="clear" w:color="auto" w:fill="auto"/>
            <w:tcMar>
              <w:top w:w="0" w:type="dxa"/>
              <w:left w:w="108" w:type="dxa"/>
              <w:bottom w:w="0" w:type="dxa"/>
              <w:right w:w="108" w:type="dxa"/>
            </w:tcMar>
          </w:tcPr>
          <w:p w:rsidR="00CA6C41" w:rsidRDefault="00CA6C41">
            <w:pPr>
              <w:pBdr>
                <w:top w:val="nil"/>
                <w:left w:val="nil"/>
                <w:bottom w:val="nil"/>
                <w:right w:val="nil"/>
                <w:between w:val="nil"/>
              </w:pBdr>
              <w:tabs>
                <w:tab w:val="center" w:pos="4677"/>
                <w:tab w:val="right" w:pos="9355"/>
              </w:tabs>
              <w:spacing w:before="120" w:after="120" w:line="240" w:lineRule="auto"/>
              <w:ind w:firstLine="30"/>
              <w:jc w:val="both"/>
              <w:rPr>
                <w:rFonts w:ascii="Times New Roman" w:eastAsia="Times New Roman" w:hAnsi="Times New Roman" w:cs="Times New Roman"/>
                <w:b/>
                <w:sz w:val="28"/>
                <w:szCs w:val="28"/>
              </w:rPr>
            </w:pP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суми податкового боргу списані відповідно до  пункту  2-</w:t>
            </w:r>
            <w:r>
              <w:rPr>
                <w:rFonts w:ascii="Times New Roman" w:eastAsia="Times New Roman" w:hAnsi="Times New Roman" w:cs="Times New Roman"/>
                <w:b/>
                <w:sz w:val="28"/>
                <w:szCs w:val="28"/>
                <w:vertAlign w:val="superscript"/>
              </w:rPr>
              <w:t>3</w:t>
            </w:r>
            <w:r>
              <w:rPr>
                <w:rFonts w:ascii="Times New Roman" w:eastAsia="Times New Roman" w:hAnsi="Times New Roman" w:cs="Times New Roman"/>
                <w:b/>
                <w:sz w:val="28"/>
                <w:szCs w:val="28"/>
              </w:rPr>
              <w:t>, 2-</w:t>
            </w:r>
            <w:r>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 xml:space="preserve"> підрозділу 10 розділу ХХ Податкового кодексу України;</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240" w:after="0" w:line="276" w:lineRule="auto"/>
              <w:ind w:firstLine="3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16. Тимчасово, до 31 грудня 2025 року (включно), дохід платників податку на доходи фізичних осіб від надання в </w:t>
            </w:r>
            <w:r>
              <w:rPr>
                <w:rFonts w:ascii="Times New Roman" w:eastAsia="Times New Roman" w:hAnsi="Times New Roman" w:cs="Times New Roman"/>
                <w:b/>
                <w:sz w:val="28"/>
                <w:szCs w:val="28"/>
              </w:rPr>
              <w:lastRenderedPageBreak/>
              <w:t>оренду або суборенду (строкове володіння та/або користування) розташованих в Україні житлових приміщень та/або їх частин, загальна площа яких не перевищує 100 квадратних метрів, нежитлових приміщень (споруд, будівель) та/або їх частин, загальна площа яких не перевищує 300 квадратних метрів, оподатковується за ставкою, визначеною пунктом 167.2 статті 167 цього Кодексу.</w:t>
            </w:r>
          </w:p>
          <w:p w:rsidR="00CA6C41" w:rsidRDefault="00CA6C41">
            <w:pPr>
              <w:pBdr>
                <w:top w:val="nil"/>
                <w:left w:val="nil"/>
                <w:bottom w:val="nil"/>
                <w:right w:val="nil"/>
                <w:between w:val="nil"/>
              </w:pBdr>
              <w:tabs>
                <w:tab w:val="center" w:pos="4677"/>
                <w:tab w:val="right" w:pos="9355"/>
              </w:tabs>
              <w:spacing w:before="120" w:after="120" w:line="240" w:lineRule="auto"/>
              <w:ind w:firstLine="30"/>
              <w:jc w:val="both"/>
              <w:rPr>
                <w:rFonts w:ascii="Times New Roman" w:eastAsia="Times New Roman" w:hAnsi="Times New Roman" w:cs="Times New Roman"/>
                <w:b/>
                <w:sz w:val="28"/>
                <w:szCs w:val="28"/>
              </w:rPr>
            </w:pP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Підрозділ 2. Особливості справляння податку на додану вартість</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Підрозділ 2. Особливості справляння податку на додану вартість</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tabs>
                <w:tab w:val="center" w:pos="4677"/>
                <w:tab w:val="right" w:pos="9355"/>
              </w:tabs>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На період до 1 січня 2025 року за нульовою ставкою оподатковується податком на додану вартість постачання товарів (крім підакцизних товарів) та послуг (крім послуг, що надаються під час проведення лотерей і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(далі - комісіонера) здійснювати постачання товарів від імені та за дорученням іншої особи (далі - комітента) без передання права власності на такі товари), що безпосередньо виготовляються підприємствами та організаціями громадських об'єднань осіб з інвалідністю, які засновані громадськими організаціями осіб з інвалідністю і є їх власністю, де кількість осіб з інвалідністю, які мають там основне місце роботи, становить протягом </w:t>
            </w:r>
            <w:r>
              <w:rPr>
                <w:rFonts w:ascii="Times New Roman" w:eastAsia="Times New Roman" w:hAnsi="Times New Roman" w:cs="Times New Roman"/>
                <w:sz w:val="28"/>
                <w:szCs w:val="28"/>
              </w:rPr>
              <w:lastRenderedPageBreak/>
              <w:t>попереднього звітного періоду не менше 50 відсотків середньооблікової кількості штатних працівників, і за умови, що фонд оплати праці таких осіб з інвалідністю становить протягом звітного періоду не менше 25 відсотків суми загальних витрат на оплату праці, що відносяться до складу витрат виробництва.</w:t>
            </w:r>
          </w:p>
          <w:p w:rsidR="00CA6C41" w:rsidRDefault="00FC4AC1">
            <w:pPr>
              <w:pBdr>
                <w:top w:val="nil"/>
                <w:left w:val="nil"/>
                <w:bottom w:val="nil"/>
                <w:right w:val="nil"/>
                <w:between w:val="nil"/>
              </w:pBdr>
              <w:tabs>
                <w:tab w:val="center" w:pos="4677"/>
                <w:tab w:val="right" w:pos="9355"/>
              </w:tabs>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tabs>
                <w:tab w:val="center" w:pos="4677"/>
                <w:tab w:val="right" w:pos="9355"/>
              </w:tabs>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w:t>
            </w:r>
            <w:r>
              <w:rPr>
                <w:rFonts w:ascii="Times New Roman" w:eastAsia="Times New Roman" w:hAnsi="Times New Roman" w:cs="Times New Roman"/>
                <w:sz w:val="28"/>
                <w:szCs w:val="28"/>
              </w:rPr>
              <w:t>азначені підприємства та організації громадських об’єднань осіб з інвалідністю мають право застосовувати зазначену пільгу за наявності</w:t>
            </w:r>
            <w:r>
              <w:rPr>
                <w:rFonts w:ascii="Times New Roman" w:eastAsia="Times New Roman" w:hAnsi="Times New Roman" w:cs="Times New Roman"/>
                <w:b/>
                <w:sz w:val="28"/>
                <w:szCs w:val="28"/>
              </w:rPr>
              <w:t xml:space="preserve"> реєстрації у відповідному контролюючому органі, яка здійснюється на підставі відповідної заяви платника податку про бажання отримати таку пільгу і рішення уповноваженого органу відповідно до Закону України «Про основи соціальної захищеності осіб з інвалідністю в Україні».</w:t>
            </w:r>
          </w:p>
          <w:p w:rsidR="00CA6C41" w:rsidRDefault="00FC4AC1">
            <w:pPr>
              <w:pBdr>
                <w:top w:val="nil"/>
                <w:left w:val="nil"/>
                <w:bottom w:val="nil"/>
                <w:right w:val="nil"/>
                <w:between w:val="nil"/>
              </w:pBdr>
              <w:tabs>
                <w:tab w:val="center" w:pos="4677"/>
                <w:tab w:val="right" w:pos="9355"/>
              </w:tabs>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8. На період до 1 січня 2025 року за нульовою ставкою оподатковується податком на додану вартість постачання товарів (крім підакцизних товарів) та послуг (крім послуг, що надаються під час проведення лотерей і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(далі - комісіонера) здійснювати постачання товарів від імені та за дорученням іншої особи (далі - комітента) без передання права власності на такі товари), що безпосередньо виготовляються підприємствами та організаціями громадських об'єднань осіб з інвалідністю, які засновані громадськими організаціями осіб з інвалідністю і є їх власністю, де кількість осіб з інвалідністю, які мають там основне місце роботи, становить протягом попереднього звітного періоду не менше 50 </w:t>
            </w:r>
            <w:r>
              <w:rPr>
                <w:rFonts w:ascii="Times New Roman" w:eastAsia="Times New Roman" w:hAnsi="Times New Roman" w:cs="Times New Roman"/>
                <w:sz w:val="28"/>
                <w:szCs w:val="28"/>
              </w:rPr>
              <w:lastRenderedPageBreak/>
              <w:t>відсотків середньооблікової кількості штатних працівників, і за умови, що фонд оплати праці таких осіб з інвалідністю становить протягом звітного періоду не менше 25 відсотків суми загальних витрат на оплату праці, що відносяться до складу витрат виробництва.</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w:t>
            </w:r>
            <w:r>
              <w:rPr>
                <w:rFonts w:ascii="Times New Roman" w:eastAsia="Times New Roman" w:hAnsi="Times New Roman" w:cs="Times New Roman"/>
                <w:sz w:val="28"/>
                <w:szCs w:val="28"/>
              </w:rPr>
              <w:t xml:space="preserve">азначені підприємства та організації громадських об’єднань осіб з інвалідністю мають право застосовувати зазначену пільгу за наявності </w:t>
            </w:r>
            <w:r>
              <w:rPr>
                <w:rFonts w:ascii="Times New Roman" w:eastAsia="Times New Roman" w:hAnsi="Times New Roman" w:cs="Times New Roman"/>
                <w:b/>
                <w:sz w:val="28"/>
                <w:szCs w:val="28"/>
              </w:rPr>
              <w:t xml:space="preserve"> рішення уповноваженого органу про надання дозволу на застосування такої пільги відповідно до Закону України «Про основи соціальної захищеності осіб з інвалідністю в Україні».</w:t>
            </w:r>
          </w:p>
          <w:p w:rsidR="00CA6C41" w:rsidRDefault="00FC4AC1">
            <w:pPr>
              <w:pBdr>
                <w:top w:val="nil"/>
                <w:left w:val="nil"/>
                <w:bottom w:val="nil"/>
                <w:right w:val="nil"/>
                <w:between w:val="nil"/>
              </w:pBd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44. Тимчасово, до 1 січня </w:t>
            </w:r>
            <w:r>
              <w:rPr>
                <w:rFonts w:ascii="Times New Roman" w:eastAsia="Times New Roman" w:hAnsi="Times New Roman" w:cs="Times New Roman"/>
                <w:b/>
                <w:sz w:val="28"/>
                <w:szCs w:val="28"/>
              </w:rPr>
              <w:t xml:space="preserve">2022 </w:t>
            </w:r>
            <w:r>
              <w:rPr>
                <w:rFonts w:ascii="Times New Roman" w:eastAsia="Times New Roman" w:hAnsi="Times New Roman" w:cs="Times New Roman"/>
                <w:sz w:val="28"/>
                <w:szCs w:val="28"/>
              </w:rPr>
              <w:t xml:space="preserve">року, платники податку, які здійснюють </w:t>
            </w:r>
            <w:r>
              <w:rPr>
                <w:rFonts w:ascii="Times New Roman" w:eastAsia="Times New Roman" w:hAnsi="Times New Roman" w:cs="Times New Roman"/>
                <w:b/>
                <w:sz w:val="28"/>
                <w:szCs w:val="28"/>
              </w:rPr>
              <w:t>постачання</w:t>
            </w:r>
            <w:r>
              <w:rPr>
                <w:rFonts w:ascii="Times New Roman" w:eastAsia="Times New Roman" w:hAnsi="Times New Roman" w:cs="Times New Roman"/>
                <w:sz w:val="28"/>
                <w:szCs w:val="28"/>
              </w:rPr>
              <w:t xml:space="preserve">, передачу, розподіл електричної та/або теплової енергії, надають послуги із забезпечення загальносуспільних інтересів у процесі функціонування ринку електричної енергії відповідно до Закону України "Про ринок електричної енергії", постачання вугілля та/або продуктів його збагачення товарних позицій 2701, 2702 та товарної підпозиції 2704 00 згідно з УКТ ЗЕД, надають послуги з централізованого водопостачання та водовідведення, визначають дату </w:t>
            </w:r>
            <w:r>
              <w:rPr>
                <w:rFonts w:ascii="Times New Roman" w:eastAsia="Times New Roman" w:hAnsi="Times New Roman" w:cs="Times New Roman"/>
                <w:sz w:val="28"/>
                <w:szCs w:val="28"/>
              </w:rPr>
              <w:lastRenderedPageBreak/>
              <w:t>виникнення податкових зобов’язань та податкового кредиту за касовим методом.</w:t>
            </w:r>
          </w:p>
          <w:p w:rsidR="00CA6C41" w:rsidRDefault="00CA6C4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Норма цього пункту поширюється на операції, за якими дата виникнення першої з подій, визначених у пункті 187.1 статті 187 та у пункті 198.2 статті 198 цього Кодексу, припадає на звітні (податкові) періоди до 1 січня </w:t>
            </w:r>
            <w:r>
              <w:rPr>
                <w:rFonts w:ascii="Times New Roman" w:eastAsia="Times New Roman" w:hAnsi="Times New Roman" w:cs="Times New Roman"/>
                <w:b/>
                <w:sz w:val="28"/>
                <w:szCs w:val="28"/>
              </w:rPr>
              <w:t xml:space="preserve">2022 </w:t>
            </w:r>
            <w:r>
              <w:rPr>
                <w:rFonts w:ascii="Times New Roman" w:eastAsia="Times New Roman" w:hAnsi="Times New Roman" w:cs="Times New Roman"/>
                <w:sz w:val="28"/>
                <w:szCs w:val="28"/>
              </w:rPr>
              <w:t>року.</w:t>
            </w:r>
          </w:p>
          <w:p w:rsidR="00CA6C41" w:rsidRDefault="00FC4AC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якщо операції, визначені цим пунктом, мають безперервний або ритмічний характер постачання, платники податку:</w:t>
            </w:r>
          </w:p>
          <w:p w:rsidR="00CA6C41" w:rsidRDefault="00FC4AC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покупцям - платникам податку - можуть складати не пізніше останнього дня місяця, в якому отримано кошти, зведені податкові накладні на кожного платника податку, з яким постачання мають такий характер, з урахуванням усієї суми отриманих коштів протягом такого місяця;</w:t>
            </w:r>
          </w:p>
          <w:p w:rsidR="00CA6C41" w:rsidRDefault="00FC4AC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покупцям - особам, не зареєстрованим платниками податку, - можуть складати не пізніше останнього дня місяця, в якому отримано кошти, зведену податкову накладну з урахуванням усієї суми отриманих коштів протягом такого місяця.</w:t>
            </w:r>
          </w:p>
          <w:p w:rsidR="00CA6C41" w:rsidRDefault="00FC4AC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цілей цього пункту ритмічним характером постачання вважається постачання товарів/пос23луг одному покупцю два та більше разів на місяць.</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240" w:line="240"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44. Тимчасово, до 1 січня </w:t>
            </w:r>
            <w:r>
              <w:rPr>
                <w:rFonts w:ascii="Times New Roman" w:eastAsia="Times New Roman" w:hAnsi="Times New Roman" w:cs="Times New Roman"/>
                <w:b/>
                <w:sz w:val="28"/>
                <w:szCs w:val="28"/>
              </w:rPr>
              <w:t>2024 року</w:t>
            </w:r>
            <w:r>
              <w:rPr>
                <w:rFonts w:ascii="Times New Roman" w:eastAsia="Times New Roman" w:hAnsi="Times New Roman" w:cs="Times New Roman"/>
                <w:sz w:val="28"/>
                <w:szCs w:val="28"/>
              </w:rPr>
              <w:t xml:space="preserve">, платники податку, які здійснюють </w:t>
            </w:r>
            <w:r>
              <w:rPr>
                <w:rFonts w:ascii="Times New Roman" w:eastAsia="Times New Roman" w:hAnsi="Times New Roman" w:cs="Times New Roman"/>
                <w:b/>
                <w:sz w:val="28"/>
                <w:szCs w:val="28"/>
              </w:rPr>
              <w:t>постачання (у тому числі оптове)</w:t>
            </w:r>
            <w:r>
              <w:rPr>
                <w:rFonts w:ascii="Times New Roman" w:eastAsia="Times New Roman" w:hAnsi="Times New Roman" w:cs="Times New Roman"/>
                <w:sz w:val="28"/>
                <w:szCs w:val="28"/>
              </w:rPr>
              <w:t xml:space="preserve">, передачу, розподіл електричної та/або теплової енергії, надають послуги із забезпечення загальносуспільних інтересів в процесі функціонування ринку електричної енергії </w:t>
            </w:r>
            <w:r>
              <w:rPr>
                <w:rFonts w:ascii="Times New Roman" w:eastAsia="Times New Roman" w:hAnsi="Times New Roman" w:cs="Times New Roman"/>
                <w:b/>
                <w:sz w:val="28"/>
                <w:szCs w:val="28"/>
              </w:rPr>
              <w:t xml:space="preserve">та/або послуги, що постачаються учасниками ринку електричної енергії </w:t>
            </w:r>
            <w:r>
              <w:rPr>
                <w:rFonts w:ascii="Times New Roman" w:eastAsia="Times New Roman" w:hAnsi="Times New Roman" w:cs="Times New Roman"/>
                <w:sz w:val="28"/>
                <w:szCs w:val="28"/>
              </w:rPr>
              <w:t xml:space="preserve">відповідно до Закону України «Про ринок електричної енергії», постачання вугілля та/або продуктів його збагачення товарних позицій 2701, 2702, 2704 00 згідно з УКТ ЗЕД, надають послуги з централізованого водопостачання та водовідведення визначають </w:t>
            </w:r>
            <w:r>
              <w:rPr>
                <w:rFonts w:ascii="Times New Roman" w:eastAsia="Times New Roman" w:hAnsi="Times New Roman" w:cs="Times New Roman"/>
                <w:sz w:val="28"/>
                <w:szCs w:val="28"/>
              </w:rPr>
              <w:lastRenderedPageBreak/>
              <w:t>дату виникнення податкових зобов'язань та податкового кредиту за касовим методом.</w:t>
            </w:r>
          </w:p>
          <w:p w:rsidR="00CA6C41" w:rsidRDefault="00FC4AC1">
            <w:pPr>
              <w:pBdr>
                <w:top w:val="nil"/>
                <w:left w:val="nil"/>
                <w:bottom w:val="nil"/>
                <w:right w:val="nil"/>
                <w:between w:val="nil"/>
              </w:pBdr>
              <w:spacing w:after="0" w:line="240" w:lineRule="auto"/>
              <w:ind w:firstLine="4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Норма цього пункту поширюється на операції, за якими дата виникнення першої з подій, визначених у пункті 187.1 статті 187 та у пункті 198.2 статті 198 цього Кодексу, припадає на звітні (податкові) періоди до 1 січня </w:t>
            </w:r>
            <w:r>
              <w:rPr>
                <w:rFonts w:ascii="Times New Roman" w:eastAsia="Times New Roman" w:hAnsi="Times New Roman" w:cs="Times New Roman"/>
                <w:b/>
                <w:sz w:val="28"/>
                <w:szCs w:val="28"/>
              </w:rPr>
              <w:t>2024 року.</w:t>
            </w:r>
          </w:p>
          <w:p w:rsidR="00CA6C41" w:rsidRDefault="00FC4AC1">
            <w:pPr>
              <w:pBdr>
                <w:top w:val="nil"/>
                <w:left w:val="nil"/>
                <w:bottom w:val="nil"/>
                <w:right w:val="nil"/>
                <w:between w:val="nil"/>
              </w:pBdr>
              <w:spacing w:after="0" w:line="240"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якщо операції, визначені цим пунктом, мають безперервний або ритмічний характер постачання, платники податку:</w:t>
            </w:r>
          </w:p>
          <w:p w:rsidR="00CA6C41" w:rsidRDefault="00FC4AC1">
            <w:pPr>
              <w:pBdr>
                <w:top w:val="nil"/>
                <w:left w:val="nil"/>
                <w:bottom w:val="nil"/>
                <w:right w:val="nil"/>
                <w:between w:val="nil"/>
              </w:pBdr>
              <w:spacing w:after="0" w:line="240"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покупцям - платникам податку - можуть складати не пізніше останнього дня місяця, в якому отримано кошти, зведені податкові накладні на кожного платника податку, з яким постачання мають такий характер, з урахуванням усієї суми отриманих коштів </w:t>
            </w:r>
            <w:r>
              <w:rPr>
                <w:rFonts w:ascii="Times New Roman" w:eastAsia="Times New Roman" w:hAnsi="Times New Roman" w:cs="Times New Roman"/>
                <w:b/>
                <w:sz w:val="28"/>
                <w:szCs w:val="28"/>
              </w:rPr>
              <w:t>або інших видів компенсації відповідно до підпункту 14.1.266 пункту 14.1 статті 14 цього Кодексу</w:t>
            </w:r>
            <w:r>
              <w:rPr>
                <w:rFonts w:ascii="Times New Roman" w:eastAsia="Times New Roman" w:hAnsi="Times New Roman" w:cs="Times New Roman"/>
                <w:sz w:val="28"/>
                <w:szCs w:val="28"/>
              </w:rPr>
              <w:t xml:space="preserve"> протягом такого місяця;</w:t>
            </w:r>
          </w:p>
          <w:p w:rsidR="00CA6C41" w:rsidRDefault="00FC4AC1">
            <w:pPr>
              <w:pBdr>
                <w:top w:val="nil"/>
                <w:left w:val="nil"/>
                <w:bottom w:val="nil"/>
                <w:right w:val="nil"/>
                <w:between w:val="nil"/>
              </w:pBdr>
              <w:spacing w:after="0" w:line="240"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покупцям - особам, не зареєстрованим платниками податку, - можуть складати не пізніше останнього дня місяця, в якому отримано кошти, зведену податкову накладну з урахуванням усієї суми отриманих коштів </w:t>
            </w:r>
            <w:r>
              <w:rPr>
                <w:rFonts w:ascii="Times New Roman" w:eastAsia="Times New Roman" w:hAnsi="Times New Roman" w:cs="Times New Roman"/>
                <w:b/>
                <w:sz w:val="28"/>
                <w:szCs w:val="28"/>
              </w:rPr>
              <w:t>або інших видів компенсації відповідно до підпункту 14.1.266 пункту 14.1 статті 14 цього Кодексу</w:t>
            </w:r>
            <w:r>
              <w:rPr>
                <w:rFonts w:ascii="Times New Roman" w:eastAsia="Times New Roman" w:hAnsi="Times New Roman" w:cs="Times New Roman"/>
                <w:sz w:val="28"/>
                <w:szCs w:val="28"/>
              </w:rPr>
              <w:t xml:space="preserve"> протягом такого місяця.</w:t>
            </w:r>
          </w:p>
          <w:p w:rsidR="00CA6C41" w:rsidRDefault="00FC4AC1">
            <w:pPr>
              <w:pBdr>
                <w:top w:val="nil"/>
                <w:left w:val="nil"/>
                <w:bottom w:val="nil"/>
                <w:right w:val="nil"/>
                <w:between w:val="nil"/>
              </w:pBdr>
              <w:spacing w:after="0" w:line="240"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цілей цього пункту ритмічним характером постачання вважається постачання товарів/послуг одному покупцю два та більше разів на місяць.</w:t>
            </w:r>
          </w:p>
          <w:p w:rsidR="00CA6C41" w:rsidRDefault="00CA6C4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tabs>
                <w:tab w:val="center" w:pos="4677"/>
                <w:tab w:val="right" w:pos="935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45. Тимчасово, до 1 січня 2022 року, звільняються від оподаткування податком на додану вартість операції з постачання на митній території України вугілля та/або </w:t>
            </w:r>
            <w:r>
              <w:rPr>
                <w:rFonts w:ascii="Times New Roman" w:eastAsia="Times New Roman" w:hAnsi="Times New Roman" w:cs="Times New Roman"/>
                <w:sz w:val="28"/>
                <w:szCs w:val="28"/>
              </w:rPr>
              <w:lastRenderedPageBreak/>
              <w:t>продуктів його збагачення товарних позицій 2701, 2702, 2704 00 згідно з УКТ ЗЕД.</w:t>
            </w:r>
          </w:p>
          <w:p w:rsidR="00CA6C41" w:rsidRDefault="00FC4AC1">
            <w:pPr>
              <w:pBdr>
                <w:top w:val="nil"/>
                <w:left w:val="nil"/>
                <w:bottom w:val="nil"/>
                <w:right w:val="nil"/>
                <w:between w:val="nil"/>
              </w:pBdr>
              <w:tabs>
                <w:tab w:val="center" w:pos="4677"/>
                <w:tab w:val="right" w:pos="935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застосування зазначеної пільги норми пункту 198.5 статті 198 цього Кодексу не застосовуються в частині товарів/послуг, необоротних активів, суми податку на додану вартість з вартості яких були включені до податкового кредиту у звітних (податкових) періодах, що передували періоду початку застосування пільги.</w:t>
            </w:r>
          </w:p>
          <w:p w:rsidR="00CA6C41" w:rsidRDefault="00FC4AC1">
            <w:pPr>
              <w:pBdr>
                <w:top w:val="nil"/>
                <w:left w:val="nil"/>
                <w:bottom w:val="nil"/>
                <w:right w:val="nil"/>
                <w:between w:val="nil"/>
              </w:pBdr>
              <w:spacing w:before="240" w:after="0" w:line="240" w:lineRule="auto"/>
              <w:ind w:firstLin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Платник податків може відмовитися від використання зазначеної пільги чи зупинити її використання на один або декілька звітних (податкових) періодів шляхом подання заяви. Заява, у якій зазначається перелік товарних позицій товарів згідно з УКТ ЗЕД і період, на який платник відмовляється чи зупиняє використання пільги, подається до контролюючого органу за місцем реєстрації платника податків до настання звітного періоду, в якому платник податку не передбачає використання зазначеної пільги. Відмова від використання пільги, зазначеної у цьому пункті, чи зупинення її використання застосовується з першого числа звітного (податкового) періоду, зазначеного у заяві.</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tabs>
                <w:tab w:val="center" w:pos="4677"/>
                <w:tab w:val="right" w:pos="935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45</w:t>
            </w:r>
            <w:r>
              <w:rPr>
                <w:rFonts w:ascii="Times New Roman" w:eastAsia="Times New Roman" w:hAnsi="Times New Roman" w:cs="Times New Roman"/>
                <w:sz w:val="28"/>
                <w:szCs w:val="28"/>
              </w:rPr>
              <w:t xml:space="preserve">. Тимчасово, до 1 січня 2022 року, звільняються від оподаткування податком на додану вартість операції з постачання на митній території України вугілля та/або продуктів </w:t>
            </w:r>
            <w:r>
              <w:rPr>
                <w:rFonts w:ascii="Times New Roman" w:eastAsia="Times New Roman" w:hAnsi="Times New Roman" w:cs="Times New Roman"/>
                <w:sz w:val="28"/>
                <w:szCs w:val="28"/>
              </w:rPr>
              <w:lastRenderedPageBreak/>
              <w:t>його збагачення товарних позицій 2701, 2702, 2704 00 згідно з УКТ ЗЕД.</w:t>
            </w:r>
          </w:p>
          <w:p w:rsidR="00CA6C41" w:rsidRDefault="00FC4AC1">
            <w:pPr>
              <w:pBdr>
                <w:top w:val="nil"/>
                <w:left w:val="nil"/>
                <w:bottom w:val="nil"/>
                <w:right w:val="nil"/>
                <w:between w:val="nil"/>
              </w:pBdr>
              <w:tabs>
                <w:tab w:val="center" w:pos="4677"/>
                <w:tab w:val="right" w:pos="935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застосування зазначеної пільги норми пункту 198.5 статті 198 цього Кодексу не застосовуються в частині товарів/послуг, необоротних активів, суми податку на додану вартість з вартості яких були включені до податкового кредиту у звітних (податкових) періодах, що передували періоду початку застосування пільги.</w:t>
            </w:r>
          </w:p>
          <w:p w:rsidR="00CA6C41" w:rsidRDefault="00FC4AC1">
            <w:pPr>
              <w:pBdr>
                <w:top w:val="nil"/>
                <w:left w:val="nil"/>
                <w:bottom w:val="nil"/>
                <w:right w:val="nil"/>
                <w:between w:val="nil"/>
              </w:pBdr>
              <w:spacing w:before="240" w:after="0" w:line="240" w:lineRule="auto"/>
              <w:ind w:firstLin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Платник податків може відмовитися від використання зазначеної пільги чи зупинити її використання на один або декілька звітних (податкових) періодів шляхом подання заяви. Заява, у якій зазначається перелік товарних позицій товарів згідно з УКТ ЗЕД і період, на який платник відмовляється чи зупиняє використання пільги, подається до контролюючого органу за місцем реєстрації платника податків</w:t>
            </w:r>
            <w:r>
              <w:rPr>
                <w:rFonts w:ascii="Times New Roman" w:eastAsia="Times New Roman" w:hAnsi="Times New Roman" w:cs="Times New Roman"/>
                <w:b/>
                <w:sz w:val="28"/>
                <w:szCs w:val="28"/>
              </w:rPr>
              <w:t xml:space="preserve"> у складі податкової декларації з податку на додану вартість д</w:t>
            </w:r>
            <w:r>
              <w:rPr>
                <w:rFonts w:ascii="Times New Roman" w:eastAsia="Times New Roman" w:hAnsi="Times New Roman" w:cs="Times New Roman"/>
                <w:sz w:val="28"/>
                <w:szCs w:val="28"/>
              </w:rPr>
              <w:t>о настання звітного періоду, в якому платник податку не передбачає використання зазначеної пільги. Відмова від використання пільги, зазначеної у цьому пункті, чи зупинення її використання застосовується з першого числа звітного (податкового) періоду, зазначеного у заяві.</w:t>
            </w:r>
          </w:p>
        </w:tc>
      </w:tr>
      <w:tr w:rsidR="00CA6C41">
        <w:tc>
          <w:tcPr>
            <w:tcW w:w="7655" w:type="dxa"/>
            <w:shd w:val="clear" w:color="auto" w:fill="auto"/>
            <w:tcMar>
              <w:top w:w="100" w:type="dxa"/>
              <w:left w:w="100" w:type="dxa"/>
              <w:bottom w:w="100" w:type="dxa"/>
              <w:right w:w="100" w:type="dxa"/>
            </w:tcMar>
          </w:tcPr>
          <w:p w:rsidR="00CA6C41" w:rsidRDefault="00FC4AC1">
            <w:pPr>
              <w:tabs>
                <w:tab w:val="center" w:pos="4677"/>
                <w:tab w:val="right" w:pos="9355"/>
              </w:tabs>
              <w:spacing w:before="240" w:after="240" w:line="276"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59. Контролюючий орган за заявою платника податку надає розстрочення (рівними частинами) сплати податку на додану вартість на термін до 36 календарних місяців без нарахування процентів та пені, визначених пунктом 129.5 статті 129 цього Кодексу, при ввезенні на митну територію України у митному режимі імпорту обладнання (його частин), що класифікується </w:t>
            </w:r>
            <w:r>
              <w:rPr>
                <w:rFonts w:ascii="Times New Roman" w:eastAsia="Times New Roman" w:hAnsi="Times New Roman" w:cs="Times New Roman"/>
                <w:sz w:val="28"/>
                <w:szCs w:val="28"/>
              </w:rPr>
              <w:lastRenderedPageBreak/>
              <w:t xml:space="preserve">у товарних підкатегоріях </w:t>
            </w:r>
            <w:r>
              <w:rPr>
                <w:rFonts w:ascii="Times New Roman" w:eastAsia="Times New Roman" w:hAnsi="Times New Roman" w:cs="Times New Roman"/>
                <w:b/>
                <w:sz w:val="28"/>
                <w:szCs w:val="28"/>
              </w:rPr>
              <w:t>8421 39 20 00</w:t>
            </w:r>
            <w:r>
              <w:rPr>
                <w:rFonts w:ascii="Times New Roman" w:eastAsia="Times New Roman" w:hAnsi="Times New Roman" w:cs="Times New Roman"/>
                <w:sz w:val="28"/>
                <w:szCs w:val="28"/>
              </w:rPr>
              <w:t>, 8422 30 00 99, 8422 90 90 00, 8428 20 20 00, 8428 20 80 00, 8477 10 00 00, 8477 20 00 00, 8477 30 00 00, 8477 40 00 00, 8477 59 10 90, 8477 90 80 00, 8480 71 00 90 згідно з УКТ ЗЕД для виробництва тільки медичних виробів.</w:t>
            </w:r>
          </w:p>
          <w:p w:rsidR="00CA6C41" w:rsidRDefault="00CA6C41">
            <w:pPr>
              <w:pBdr>
                <w:top w:val="nil"/>
                <w:left w:val="nil"/>
                <w:bottom w:val="nil"/>
                <w:right w:val="nil"/>
                <w:between w:val="nil"/>
              </w:pBdr>
              <w:tabs>
                <w:tab w:val="center" w:pos="4677"/>
                <w:tab w:val="right" w:pos="9355"/>
              </w:tabs>
              <w:spacing w:before="240" w:after="0" w:line="276" w:lineRule="auto"/>
              <w:ind w:left="-140" w:firstLine="740"/>
              <w:jc w:val="both"/>
              <w:rPr>
                <w:rFonts w:ascii="Times New Roman" w:eastAsia="Times New Roman" w:hAnsi="Times New Roman" w:cs="Times New Roman"/>
                <w:sz w:val="28"/>
                <w:szCs w:val="28"/>
              </w:rPr>
            </w:pPr>
          </w:p>
        </w:tc>
        <w:tc>
          <w:tcPr>
            <w:tcW w:w="8000" w:type="dxa"/>
            <w:shd w:val="clear" w:color="auto" w:fill="auto"/>
            <w:tcMar>
              <w:top w:w="100" w:type="dxa"/>
              <w:left w:w="100" w:type="dxa"/>
              <w:bottom w:w="100" w:type="dxa"/>
              <w:right w:w="100" w:type="dxa"/>
            </w:tcMar>
          </w:tcPr>
          <w:p w:rsidR="00CA6C41" w:rsidRDefault="00FC4AC1">
            <w:pPr>
              <w:spacing w:after="240" w:line="276"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59. Контролюючий орган за заявою платника податку надає розстрочення (рівними частинами) сплати податку на додану вартість на термін до 36 календарних місяців без нарахування процентів та пені, визначених пунктом 129.5 статті 129 цього Кодексу, при ввезенні на митну територію України у митному режимі імпорту обладнання (його частин), що класифікується у товарних підкатегоріях </w:t>
            </w:r>
            <w:r>
              <w:rPr>
                <w:rFonts w:ascii="Times New Roman" w:eastAsia="Times New Roman" w:hAnsi="Times New Roman" w:cs="Times New Roman"/>
                <w:b/>
                <w:sz w:val="28"/>
                <w:szCs w:val="28"/>
              </w:rPr>
              <w:t>8421 39 15 20, 8421 39 25 00</w:t>
            </w:r>
            <w:r>
              <w:rPr>
                <w:rFonts w:ascii="Times New Roman" w:eastAsia="Times New Roman" w:hAnsi="Times New Roman" w:cs="Times New Roman"/>
                <w:sz w:val="28"/>
                <w:szCs w:val="28"/>
              </w:rPr>
              <w:t xml:space="preserve">, 8422 30 00 </w:t>
            </w:r>
            <w:r>
              <w:rPr>
                <w:rFonts w:ascii="Times New Roman" w:eastAsia="Times New Roman" w:hAnsi="Times New Roman" w:cs="Times New Roman"/>
                <w:sz w:val="28"/>
                <w:szCs w:val="28"/>
              </w:rPr>
              <w:lastRenderedPageBreak/>
              <w:t>99, 8422 90 90 00, 8428 20 20 00, 8428 20 80 00, 8477 10 00 00, 8477 20 00 00, 8477 30 00 00, 8477 40 00 00, 8477 59 10 90, 8477 90 80 00, 8480 71 00 90 згідно з УКТ ЗЕД для виробництва тільки медичних виробів.</w:t>
            </w:r>
          </w:p>
          <w:p w:rsidR="00CA6C41" w:rsidRDefault="00CA6C41">
            <w:pPr>
              <w:pBdr>
                <w:top w:val="nil"/>
                <w:left w:val="nil"/>
                <w:bottom w:val="nil"/>
                <w:right w:val="nil"/>
                <w:between w:val="nil"/>
              </w:pBdr>
              <w:spacing w:before="240" w:after="0" w:line="276" w:lineRule="auto"/>
              <w:ind w:left="-140" w:firstLine="460"/>
              <w:jc w:val="both"/>
              <w:rPr>
                <w:rFonts w:ascii="Times New Roman" w:eastAsia="Times New Roman" w:hAnsi="Times New Roman" w:cs="Times New Roman"/>
                <w:sz w:val="28"/>
                <w:szCs w:val="28"/>
              </w:rPr>
            </w:pP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tabs>
                <w:tab w:val="center" w:pos="4677"/>
                <w:tab w:val="right" w:pos="9355"/>
              </w:tabs>
              <w:spacing w:before="240" w:after="0" w:line="276" w:lineRule="auto"/>
              <w:ind w:left="-140"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64. Тимчасово, до 31 грудня 2022 року, звільняються від оподаткування податком на додану вартість операції із ввезення на митну територію України та з постачання на митній території України транспортних засобів, оснащених виключно електричними двигунами (одним чи декількома), що зазначені у товарній підкатегорії 8</w:t>
            </w:r>
            <w:r>
              <w:rPr>
                <w:rFonts w:ascii="Times New Roman" w:eastAsia="Times New Roman" w:hAnsi="Times New Roman" w:cs="Times New Roman"/>
                <w:b/>
                <w:sz w:val="28"/>
                <w:szCs w:val="28"/>
              </w:rPr>
              <w:t xml:space="preserve">703 90 10 10 згідно з </w:t>
            </w:r>
            <w:hyperlink r:id="rId105" w:anchor="n339">
              <w:r>
                <w:rPr>
                  <w:rFonts w:ascii="Times New Roman" w:eastAsia="Times New Roman" w:hAnsi="Times New Roman" w:cs="Times New Roman"/>
                  <w:b/>
                  <w:sz w:val="28"/>
                  <w:szCs w:val="28"/>
                  <w:u w:val="single"/>
                </w:rPr>
                <w:t>УКТ ЗЕД</w:t>
              </w:r>
            </w:hyperlink>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(в тому числі вироблених в Україні).</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141"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64. Тимчасово, до 31 грудня 2022 року, звільняються від оподаткування податком на додану вартість операції із ввезення на митну територію України та з постачання на митній території України транспортних засобів, оснащених виключно електричними </w:t>
            </w:r>
            <w:r>
              <w:rPr>
                <w:rFonts w:ascii="Times New Roman" w:eastAsia="Times New Roman" w:hAnsi="Times New Roman" w:cs="Times New Roman"/>
                <w:b/>
                <w:sz w:val="28"/>
                <w:szCs w:val="28"/>
              </w:rPr>
              <w:t>д</w:t>
            </w:r>
            <w:r>
              <w:rPr>
                <w:rFonts w:ascii="Times New Roman" w:eastAsia="Times New Roman" w:hAnsi="Times New Roman" w:cs="Times New Roman"/>
                <w:sz w:val="28"/>
                <w:szCs w:val="28"/>
              </w:rPr>
              <w:t xml:space="preserve">вигунами (одним чи декількома), що зазначені у товарних підкатегоріях </w:t>
            </w:r>
            <w:r>
              <w:rPr>
                <w:rFonts w:ascii="Times New Roman" w:eastAsia="Times New Roman" w:hAnsi="Times New Roman" w:cs="Times New Roman"/>
                <w:b/>
                <w:sz w:val="28"/>
                <w:szCs w:val="28"/>
              </w:rPr>
              <w:t>8703 80 10 10, 8703 80 90 10 згідно з УКТ ЗЕД (</w:t>
            </w:r>
            <w:r>
              <w:rPr>
                <w:rFonts w:ascii="Times New Roman" w:eastAsia="Times New Roman" w:hAnsi="Times New Roman" w:cs="Times New Roman"/>
                <w:sz w:val="28"/>
                <w:szCs w:val="28"/>
              </w:rPr>
              <w:t>в тому числі вироблених в Україні).</w:t>
            </w:r>
          </w:p>
        </w:tc>
      </w:tr>
      <w:tr w:rsidR="00CA6C41">
        <w:tc>
          <w:tcPr>
            <w:tcW w:w="7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tabs>
                <w:tab w:val="center" w:pos="4677"/>
                <w:tab w:val="right" w:pos="9355"/>
              </w:tabs>
              <w:spacing w:after="0" w:line="276" w:lineRule="auto"/>
              <w:ind w:left="179"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65. Тимчасово, до 1 січня 2022 року, контролюючий орган за заявою платника податку надає розстрочення (рівними частинами) сплати податку на додану вартість на термін, зазначений у заяві платника податку, але не більше 24 календарних місяців, без нарахування процентів, пені та штрафів, визначених цим Кодексом, при ввезенні на митну територію України з поміщенням в митний режим імпорту обладнання та комплектуючих, що класифікується за такими товарними підкатегоріями згідно з УКТ ЗЕД:</w:t>
            </w:r>
          </w:p>
          <w:p w:rsidR="00CA6C41" w:rsidRDefault="00FC4AC1">
            <w:pPr>
              <w:tabs>
                <w:tab w:val="center" w:pos="4677"/>
                <w:tab w:val="right" w:pos="9355"/>
              </w:tabs>
              <w:spacing w:after="0" w:line="276" w:lineRule="auto"/>
              <w:ind w:left="179" w:firstLine="32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6902 10 00 00; 6902 20 99 00; 6903 90 90 00; 8402 11 00 00; 8402 12 00 00; 8402 19 10 00; 8402 19 90 00; 8402 20 00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8405 10 00 00; 8416 20 80 00; 8417 10 00 00; 8417 20 10 00; 8417 20 90 00; 8417 80 30 00; 8417 80 50 00; 8417 80 70 00; 8418 69 00 90; 8419 31 00 00; 8419 32 00 00; 8419 39 00 10; 8419 39 00 90; 8419 40 00 00; 8419 60 00 00; 8419 89 10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8419 89 30 00; 8419 89 98 00; 8420 10 10 00; 8420 10 30 00; </w:t>
            </w:r>
            <w:r>
              <w:rPr>
                <w:rFonts w:ascii="Times New Roman" w:eastAsia="Times New Roman" w:hAnsi="Times New Roman" w:cs="Times New Roman"/>
                <w:b/>
                <w:sz w:val="28"/>
                <w:szCs w:val="28"/>
              </w:rPr>
              <w:t>8420 10 80 10; 8420 10 80 90</w:t>
            </w:r>
            <w:r>
              <w:rPr>
                <w:rFonts w:ascii="Times New Roman" w:eastAsia="Times New Roman" w:hAnsi="Times New Roman" w:cs="Times New Roman"/>
                <w:sz w:val="28"/>
                <w:szCs w:val="28"/>
              </w:rPr>
              <w:t xml:space="preserve">; 8421 11 00 00; 8421 19 70 90; 8421 21 00 00; </w:t>
            </w:r>
            <w:r>
              <w:rPr>
                <w:rFonts w:ascii="Times New Roman" w:eastAsia="Times New Roman" w:hAnsi="Times New Roman" w:cs="Times New Roman"/>
                <w:b/>
                <w:sz w:val="28"/>
                <w:szCs w:val="28"/>
              </w:rPr>
              <w:t>8421 39 20 00; 8421 39 60 90; 8421 39 80 10;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8421 39 80 90</w:t>
            </w:r>
            <w:r>
              <w:rPr>
                <w:rFonts w:ascii="Times New Roman" w:eastAsia="Times New Roman" w:hAnsi="Times New Roman" w:cs="Times New Roman"/>
                <w:sz w:val="28"/>
                <w:szCs w:val="28"/>
              </w:rPr>
              <w:t xml:space="preserve">; 8422 20 00 00; 8422 30 00 10; 8422 30 00 91; 8422 30 00 99; 8422 40 00 10; 8422 40 00 90; </w:t>
            </w:r>
            <w:r>
              <w:rPr>
                <w:rFonts w:ascii="Times New Roman" w:eastAsia="Times New Roman" w:hAnsi="Times New Roman" w:cs="Times New Roman"/>
                <w:b/>
                <w:sz w:val="28"/>
                <w:szCs w:val="28"/>
              </w:rPr>
              <w:t>8423 20 00 00</w:t>
            </w:r>
            <w:r>
              <w:rPr>
                <w:rFonts w:ascii="Times New Roman" w:eastAsia="Times New Roman" w:hAnsi="Times New Roman" w:cs="Times New Roman"/>
                <w:sz w:val="28"/>
                <w:szCs w:val="28"/>
              </w:rPr>
              <w:t>;</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8423 30 00 00; 8423 81 10 00; 8423 81 30 00; 8423 81 90 00; 8423 82 10 00; 8423 82 90 10; 8423 82 90 90; 8423 89 00 00; 8424 81 10 00; 8424 81 91 00; 8424 81 99 00; 8424 89 00 00</w:t>
            </w:r>
            <w:r>
              <w:rPr>
                <w:rFonts w:ascii="Times New Roman" w:eastAsia="Times New Roman" w:hAnsi="Times New Roman" w:cs="Times New Roman"/>
                <w:sz w:val="28"/>
                <w:szCs w:val="28"/>
              </w:rPr>
              <w:t>; 8426 20 00 00; 8426 30 00 00; 8428 20 20 00; 8428 20 80 00; 8428 31 00 00; 8428 32 00 00; 8428 33 00 00; 8428 39 20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8428 39 90 00; 8428 90 71 00; 8428 90 79 00; 8428 90 90 00; 8430 10 00 00; 8430 31 00 00; 8430 39 00 00; 8430 41 00 00; 8430 49 00 00; 8430 50 00 00; 8430 61 00 00; 8430 69 00 00; 8434 10 00 00; 8434 20 00 00; 8435 10 00 00; 8436 10 00 00; 8436 21 00 00; 8436 29 00 10; 8436 29 00 90; 8436 80 10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8436 80 90 00; 8437 10 00 00; 8437 80 00 00; 8438 10 10 00; 8438 10 90 00; 8438 20 00 00; 8438 30 00 00; 8438 40 00 00; 8438 50 00 00; 8438 60 00 00; 8438 80 10 00; 8438 80 91 00; 8438 80 99 00; 8439 10 00 00; 8439 20 00 00; 8439 30 00 00; 8440 10 10 00; 8440 10 20 00; 8440 10 30 00; 8440 10 40 00; 8440 10 90 00; 8441 10 10 00; 8441 10 20 00; 8441 10 30 00; 8441 10 70 00; 8441 20 00 00; 8441 30 00 00; 8441 40 00 00; </w:t>
            </w:r>
            <w:r>
              <w:rPr>
                <w:rFonts w:ascii="Times New Roman" w:eastAsia="Times New Roman" w:hAnsi="Times New Roman" w:cs="Times New Roman"/>
                <w:sz w:val="28"/>
                <w:szCs w:val="28"/>
              </w:rPr>
              <w:lastRenderedPageBreak/>
              <w:t>8441 80 00 00; 8443 11 00 00; 8443 12 00 00; 8443 13 10 00; 8443 13 31 00; 8443 13 35 00; 8443 13 39 00; 8443 13 90 00; 8443 14 00 00; 8443 15 00 00; 8443 16 00 00; 8443 17 00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8443 19 20 00; 8443 19 40 00; 8443 19 70 00; 8444 00 10 00; 8444 00 90 00; 8445 11 00 00; 8445 12 00 00; 8445 13 00 00; 8445 19 00 00; 8445 20 00 00; 8445 30 00 00; 8445 40 00 00; 8445 90 00 00; 8446 10 00 00; 8446 21 00 00; 8446 29 00 00; 8446 30 00 00; 8447 11 00 00; 8447 12 00 00; 8447 20 20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8447 20 80 00; 8447 90 00 00; 8449 00 00 00; 8451 10 00 00; 8451 21 00 00; 8451 29 00 00; 8451 30 00 00; 8451 40 00 00; 8451 50 00 00; 8451 80 10 00; 8451 80 30 00; 8451 80 80 00; 8452 21 00 00; 8452 29 00 00; 8453 10 00 00; 8453 20 00 00; 8453 80 00 00; 8454 10 00 10; 8454 10 00 90; 8454 20 00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8454 30 10 00; 8454 30 90 00; 8455 10 00 00; 8455 21 00 00; 8455 22 00 00; </w:t>
            </w:r>
            <w:r>
              <w:rPr>
                <w:rFonts w:ascii="Times New Roman" w:eastAsia="Times New Roman" w:hAnsi="Times New Roman" w:cs="Times New Roman"/>
                <w:b/>
                <w:sz w:val="28"/>
                <w:szCs w:val="28"/>
              </w:rPr>
              <w:t>8456 10 00 00</w:t>
            </w:r>
            <w:r>
              <w:rPr>
                <w:rFonts w:ascii="Times New Roman" w:eastAsia="Times New Roman" w:hAnsi="Times New Roman" w:cs="Times New Roman"/>
                <w:sz w:val="28"/>
                <w:szCs w:val="28"/>
              </w:rPr>
              <w:t xml:space="preserve">; 8456 20 00 00; 8456 30 11 00; 8456 30 19 00; 8456 30 90 00; </w:t>
            </w:r>
            <w:r>
              <w:rPr>
                <w:rFonts w:ascii="Times New Roman" w:eastAsia="Times New Roman" w:hAnsi="Times New Roman" w:cs="Times New Roman"/>
                <w:b/>
                <w:sz w:val="28"/>
                <w:szCs w:val="28"/>
              </w:rPr>
              <w:t>8456 90 20 00; 8456 90 80 00</w:t>
            </w:r>
            <w:r>
              <w:rPr>
                <w:rFonts w:ascii="Times New Roman" w:eastAsia="Times New Roman" w:hAnsi="Times New Roman" w:cs="Times New Roman"/>
                <w:sz w:val="28"/>
                <w:szCs w:val="28"/>
              </w:rPr>
              <w:t>; 8457 10 10 00; 8457 10 90 00; 8457 20 00 00; 8457 30 10 00; 8457 30 90 00; 8458 11 20 00; 8458 11 41 00; 8458 11 49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8458 11 80 00; 8458 19 00 10; 8458 19 00 90; 8458 91 20 00; 8458 91 80 00; 8458 99 00 00; 8459 10 00 00; 8459 21 00 00; 8459 29 00 00; 8459 31 00 00; 8459 39 00 00; </w:t>
            </w:r>
            <w:r>
              <w:rPr>
                <w:rFonts w:ascii="Times New Roman" w:eastAsia="Times New Roman" w:hAnsi="Times New Roman" w:cs="Times New Roman"/>
                <w:b/>
                <w:sz w:val="28"/>
                <w:szCs w:val="28"/>
              </w:rPr>
              <w:t>8459 40 10 00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8459 40 90 00</w:t>
            </w:r>
            <w:r>
              <w:rPr>
                <w:rFonts w:ascii="Times New Roman" w:eastAsia="Times New Roman" w:hAnsi="Times New Roman" w:cs="Times New Roman"/>
                <w:sz w:val="28"/>
                <w:szCs w:val="28"/>
              </w:rPr>
              <w:t>; 8459 51 00 00; 8459 59 00 00; 8459 61 10 00; 8459 61 90 00; 8459 69 10 00; 8459 69 90 00; 8459 70 00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8460 11 00 00</w:t>
            </w:r>
            <w:r>
              <w:rPr>
                <w:rFonts w:ascii="Times New Roman" w:eastAsia="Times New Roman" w:hAnsi="Times New Roman" w:cs="Times New Roman"/>
                <w:sz w:val="28"/>
                <w:szCs w:val="28"/>
              </w:rPr>
              <w:t xml:space="preserve">; 8460 19 00 00; </w:t>
            </w:r>
            <w:r>
              <w:rPr>
                <w:rFonts w:ascii="Times New Roman" w:eastAsia="Times New Roman" w:hAnsi="Times New Roman" w:cs="Times New Roman"/>
                <w:b/>
                <w:sz w:val="28"/>
                <w:szCs w:val="28"/>
              </w:rPr>
              <w:t>8460 21 11 00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8460 21 15 00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8460 21 19 00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8460 21 90 00</w:t>
            </w:r>
            <w:r>
              <w:rPr>
                <w:rFonts w:ascii="Times New Roman" w:eastAsia="Times New Roman" w:hAnsi="Times New Roman" w:cs="Times New Roman"/>
                <w:sz w:val="28"/>
                <w:szCs w:val="28"/>
              </w:rPr>
              <w:t xml:space="preserve">; 8460 29 10 00; 8460 29 90 00; 8460 31 00 00; 8460 39 00 00; 8460 40 10 10; 8460 40 10 90; </w:t>
            </w:r>
            <w:r>
              <w:rPr>
                <w:rFonts w:ascii="Times New Roman" w:eastAsia="Times New Roman" w:hAnsi="Times New Roman" w:cs="Times New Roman"/>
                <w:sz w:val="28"/>
                <w:szCs w:val="28"/>
              </w:rPr>
              <w:lastRenderedPageBreak/>
              <w:t xml:space="preserve">8460 40 90 00; </w:t>
            </w:r>
            <w:r>
              <w:rPr>
                <w:rFonts w:ascii="Times New Roman" w:eastAsia="Times New Roman" w:hAnsi="Times New Roman" w:cs="Times New Roman"/>
                <w:b/>
                <w:sz w:val="28"/>
                <w:szCs w:val="28"/>
              </w:rPr>
              <w:t>8460 90 10 00; 8460 90 90 00</w:t>
            </w:r>
            <w:r>
              <w:rPr>
                <w:rFonts w:ascii="Times New Roman" w:eastAsia="Times New Roman" w:hAnsi="Times New Roman" w:cs="Times New Roman"/>
                <w:sz w:val="28"/>
                <w:szCs w:val="28"/>
              </w:rPr>
              <w:t>; 8461 20 00 00; 8461 30 10 00; 8461 30 90 00; 8461 40 11 00; 8461 40 19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8461 40 31 00; 8461 40 39 00; 8461 40 71 00; 8461 40 79 00; 8461 40 90 00; 8461 50 11 00; 8461 50 19 00; 8461 50 90 00; 8461 90 00 00; 8462 10 10 00; 8462 10 90 00; 8462 21 10 00; 8462 21 80 00; 8462 29 10 00; 8462 29 91 00; 8462 29 98 00; 8462 31 00 00; 8462 39 10 00; 8462 39 91 00; 8462 39 99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8462 41 10 00; 8462 41 90 00; 8462 49 10 00; 8462 49 90 00; 8462 91 20 00; 8462 91 80 00; 8462 99 20 00; 8462 99 80 00; 8463 10 10 00; 8463 10 90 00; 8463 20 00 00; 8463 30 00 00; 8463 90 00 00; 8464 10 00 00; 8464 20 11 00; 8464 20 19 00; 8464 20 80 00; 8464 90 00 00; 8465 10 10 00; 8465 10 90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8465 91 10 00; 8465 91 20 00; </w:t>
            </w:r>
            <w:r>
              <w:rPr>
                <w:rFonts w:ascii="Times New Roman" w:eastAsia="Times New Roman" w:hAnsi="Times New Roman" w:cs="Times New Roman"/>
                <w:b/>
                <w:sz w:val="28"/>
                <w:szCs w:val="28"/>
              </w:rPr>
              <w:t>8465 91 90 00; 8465 92 00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8465 93 00 00; 8465 94 00 00; 8465 95 00 10; 8465 95 00 90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8465 96 00 00</w:t>
            </w:r>
            <w:r>
              <w:rPr>
                <w:rFonts w:ascii="Times New Roman" w:eastAsia="Times New Roman" w:hAnsi="Times New Roman" w:cs="Times New Roman"/>
                <w:sz w:val="28"/>
                <w:szCs w:val="28"/>
              </w:rPr>
              <w:t>; 8465 99 00 10; 8465 99 00 90; 8468 20 00 00; 8468 80 00 00; 8474 10 00 00; 8474 20 00 00; 8474 31 00 00; 8474 32 00 00; 8474 39 00 00; 8474 80 10 00; 8474 80 90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8475 10 00 00; 8475 21 00 00; 8475 29 00 00; 8477 10 00 00; 8477 20 00 00; 8477 30 00 00; 8477 40 00 00; 8477 51 00 00; 8477 59 10 10; 8477 59 10 90; 8477 59 80 00; 8477 80 11 00; 8477 80 19 00; 8477 80 91 00; 8477 80 93 00; 8477 80 95 00; 8477 80 99 00; 8478 10 00 00; 8479 20 00 00; 8479 30 10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8479 30 90 00; 8479 40 00 00; 8479 50 00 00; 8479 60 00 00; 8479 81 00 00; 8479 82 00 00; 8479 89 30 00; 8479 89 60 10; 8479 89 60 90; 8479 89 97 10; 8479 89 97 20; 8479 89 97 30; </w:t>
            </w:r>
            <w:r>
              <w:rPr>
                <w:rFonts w:ascii="Times New Roman" w:eastAsia="Times New Roman" w:hAnsi="Times New Roman" w:cs="Times New Roman"/>
                <w:sz w:val="28"/>
                <w:szCs w:val="28"/>
              </w:rPr>
              <w:lastRenderedPageBreak/>
              <w:t xml:space="preserve">8479 89 97 50; </w:t>
            </w:r>
            <w:r>
              <w:rPr>
                <w:rFonts w:ascii="Times New Roman" w:eastAsia="Times New Roman" w:hAnsi="Times New Roman" w:cs="Times New Roman"/>
                <w:b/>
                <w:sz w:val="28"/>
                <w:szCs w:val="28"/>
              </w:rPr>
              <w:t>8479 89 97 90</w:t>
            </w:r>
            <w:r>
              <w:rPr>
                <w:rFonts w:ascii="Times New Roman" w:eastAsia="Times New Roman" w:hAnsi="Times New Roman" w:cs="Times New Roman"/>
                <w:sz w:val="28"/>
                <w:szCs w:val="28"/>
              </w:rPr>
              <w:t>; 8480 10 00 00; 8480 20 00 00; 8480 30 10 00; 8480 30 90 00; 8480 41 00 00; 8480 49 00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8480 50 00 00; 8480 60 00 00; 8480 71 00 10; 8480 71 00 90; 8480 79 00 00; 8486 10 00 00; </w:t>
            </w:r>
            <w:r>
              <w:rPr>
                <w:rFonts w:ascii="Times New Roman" w:eastAsia="Times New Roman" w:hAnsi="Times New Roman" w:cs="Times New Roman"/>
                <w:b/>
                <w:sz w:val="28"/>
                <w:szCs w:val="28"/>
              </w:rPr>
              <w:t>8486 20 10 00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8486 20 90 00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8486 30 10 00; 8486 30 30 00; 8486 30 50 00; 8486 30 90 10; 8486 30 90 90;</w:t>
            </w:r>
            <w:r>
              <w:rPr>
                <w:rFonts w:ascii="Times New Roman" w:eastAsia="Times New Roman" w:hAnsi="Times New Roman" w:cs="Times New Roman"/>
                <w:sz w:val="28"/>
                <w:szCs w:val="28"/>
              </w:rPr>
              <w:t xml:space="preserve"> 8486 40 00 00; 8502 12 00 90; 8502 13 20 90; 8502 13 40 90; 8502 13 80 90; 8502 20 40 90; 8502 20 60 90;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8502 20 80 90; 8502 31 00 00; 8502 39 20 90; 8502 39 80 90; 8502 40 00 90; 8504 21 00 00; 8504 22 10 00; 8504 22 90 00; 8504 23 00 00; 8504 34 00 00; 8504 50 20 90; 8504 50 95 90; 8514 10 10 00; 8514 10 80 00; 8514 20 10 00; 8514 20 80 00; </w:t>
            </w:r>
            <w:r>
              <w:rPr>
                <w:rFonts w:ascii="Times New Roman" w:eastAsia="Times New Roman" w:hAnsi="Times New Roman" w:cs="Times New Roman"/>
                <w:b/>
                <w:sz w:val="28"/>
                <w:szCs w:val="28"/>
              </w:rPr>
              <w:t>8514 30 00 10; 8514 30 00 90</w:t>
            </w:r>
            <w:r>
              <w:rPr>
                <w:rFonts w:ascii="Times New Roman" w:eastAsia="Times New Roman" w:hAnsi="Times New Roman" w:cs="Times New Roman"/>
                <w:sz w:val="28"/>
                <w:szCs w:val="28"/>
              </w:rPr>
              <w:t>; 8514 40 00 00; 8515 11 00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8515 19 00 00;</w:t>
            </w:r>
            <w:r>
              <w:rPr>
                <w:rFonts w:ascii="Times New Roman" w:eastAsia="Times New Roman" w:hAnsi="Times New Roman" w:cs="Times New Roman"/>
                <w:sz w:val="28"/>
                <w:szCs w:val="28"/>
              </w:rPr>
              <w:t xml:space="preserve"> 8515 21 00 00; 8515 29 00 00; 8515 31 00 00; 8515 39 13 00; 8515 39 18 00; 8515 39 90 00; 8515 80 10 00; 8515 80 90 00; 8537 10 10 00; 8537 10 91 00; </w:t>
            </w:r>
            <w:r>
              <w:rPr>
                <w:rFonts w:ascii="Times New Roman" w:eastAsia="Times New Roman" w:hAnsi="Times New Roman" w:cs="Times New Roman"/>
                <w:b/>
                <w:sz w:val="28"/>
                <w:szCs w:val="28"/>
              </w:rPr>
              <w:t>8537 10 99 90</w:t>
            </w:r>
            <w:r>
              <w:rPr>
                <w:rFonts w:ascii="Times New Roman" w:eastAsia="Times New Roman" w:hAnsi="Times New Roman" w:cs="Times New Roman"/>
                <w:sz w:val="28"/>
                <w:szCs w:val="28"/>
              </w:rPr>
              <w:t xml:space="preserve">; 8537 20 91 00; 8537 20 99 00; 8543 10 00 00; 8543 20 00 00; </w:t>
            </w:r>
            <w:r>
              <w:rPr>
                <w:rFonts w:ascii="Times New Roman" w:eastAsia="Times New Roman" w:hAnsi="Times New Roman" w:cs="Times New Roman"/>
                <w:b/>
                <w:sz w:val="28"/>
                <w:szCs w:val="28"/>
              </w:rPr>
              <w:t>8543 30 00 00</w:t>
            </w:r>
            <w:r>
              <w:rPr>
                <w:rFonts w:ascii="Times New Roman" w:eastAsia="Times New Roman" w:hAnsi="Times New Roman" w:cs="Times New Roman"/>
                <w:sz w:val="28"/>
                <w:szCs w:val="28"/>
              </w:rPr>
              <w:t>; 9011 10 10 00; 9011 10 90 00; 9011 20 10 00;</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9011 20 90 00; 9011 80 00 00; 9012 10 10 00; 9012 10 90 00; 9013 20 00 00; 9013 80 20 00; 9013 80 30 00; 9013 80 90 00; </w:t>
            </w:r>
            <w:r>
              <w:rPr>
                <w:rFonts w:ascii="Times New Roman" w:eastAsia="Times New Roman" w:hAnsi="Times New Roman" w:cs="Times New Roman"/>
                <w:b/>
                <w:sz w:val="28"/>
                <w:szCs w:val="28"/>
              </w:rPr>
              <w:t>9024 10 11 00; 9024 10 13 00; 9024 10 19 00; 9024 10 90 10; 9024 10 90 20; 9024 10 90 90</w:t>
            </w:r>
            <w:r>
              <w:rPr>
                <w:rFonts w:ascii="Times New Roman" w:eastAsia="Times New Roman" w:hAnsi="Times New Roman" w:cs="Times New Roman"/>
                <w:sz w:val="28"/>
                <w:szCs w:val="28"/>
              </w:rPr>
              <w:t xml:space="preserve">; 9024 80 11 00; 9024 80 19 00; 9024 80 90 00; 9030 10 00 00; </w:t>
            </w:r>
            <w:r>
              <w:rPr>
                <w:rFonts w:ascii="Times New Roman" w:eastAsia="Times New Roman" w:hAnsi="Times New Roman" w:cs="Times New Roman"/>
                <w:b/>
                <w:sz w:val="28"/>
                <w:szCs w:val="28"/>
              </w:rPr>
              <w:t>9030 20 10 00; 9030 20 30 00</w:t>
            </w:r>
            <w:r>
              <w:rPr>
                <w:rFonts w:ascii="Times New Roman" w:eastAsia="Times New Roman" w:hAnsi="Times New Roman" w:cs="Times New Roman"/>
                <w:sz w:val="28"/>
                <w:szCs w:val="28"/>
              </w:rPr>
              <w:t>;</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9030 20 91 00; 9030 20 99 00</w:t>
            </w:r>
            <w:r>
              <w:rPr>
                <w:rFonts w:ascii="Times New Roman" w:eastAsia="Times New Roman" w:hAnsi="Times New Roman" w:cs="Times New Roman"/>
                <w:sz w:val="28"/>
                <w:szCs w:val="28"/>
              </w:rPr>
              <w:t xml:space="preserve">; 9030 31 00 00; 9030 32 00 00; </w:t>
            </w:r>
            <w:r>
              <w:rPr>
                <w:rFonts w:ascii="Times New Roman" w:eastAsia="Times New Roman" w:hAnsi="Times New Roman" w:cs="Times New Roman"/>
                <w:b/>
                <w:sz w:val="28"/>
                <w:szCs w:val="28"/>
              </w:rPr>
              <w:t>9030 33 10 00; 9030 33 91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9030 33 99 00</w:t>
            </w:r>
            <w:r>
              <w:rPr>
                <w:rFonts w:ascii="Times New Roman" w:eastAsia="Times New Roman" w:hAnsi="Times New Roman" w:cs="Times New Roman"/>
                <w:sz w:val="28"/>
                <w:szCs w:val="28"/>
              </w:rPr>
              <w:t xml:space="preserve">; 9030 39 00 00; 9030 40 00 00; 9030 82 00 00; 9030 84 00 00; 9030 89 30 00; </w:t>
            </w:r>
            <w:r>
              <w:rPr>
                <w:rFonts w:ascii="Times New Roman" w:eastAsia="Times New Roman" w:hAnsi="Times New Roman" w:cs="Times New Roman"/>
                <w:sz w:val="28"/>
                <w:szCs w:val="28"/>
              </w:rPr>
              <w:lastRenderedPageBreak/>
              <w:t xml:space="preserve">9030 89 90 00; 9031 10 00 00; 9031 20 00 00; 9031 41 00 00; 9031 49 10 00; 9031 49 90 00; </w:t>
            </w:r>
            <w:r>
              <w:rPr>
                <w:rFonts w:ascii="Times New Roman" w:eastAsia="Times New Roman" w:hAnsi="Times New Roman" w:cs="Times New Roman"/>
                <w:b/>
                <w:sz w:val="28"/>
                <w:szCs w:val="28"/>
              </w:rPr>
              <w:t>9031 80 32 00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9031 80 34 00</w:t>
            </w:r>
            <w:r>
              <w:rPr>
                <w:rFonts w:ascii="Times New Roman" w:eastAsia="Times New Roman" w:hAnsi="Times New Roman" w:cs="Times New Roman"/>
                <w:sz w:val="28"/>
                <w:szCs w:val="28"/>
              </w:rPr>
              <w:t>;</w:t>
            </w:r>
          </w:p>
          <w:p w:rsidR="00CA6C41" w:rsidRDefault="00FC4AC1">
            <w:pPr>
              <w:tabs>
                <w:tab w:val="center" w:pos="4677"/>
                <w:tab w:val="right" w:pos="9355"/>
              </w:tabs>
              <w:spacing w:after="0" w:line="276" w:lineRule="auto"/>
              <w:ind w:left="17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9031 80 38 00; 9031 80 91 00; 9031 80 98 00</w:t>
            </w:r>
            <w:r>
              <w:rPr>
                <w:rFonts w:ascii="Times New Roman" w:eastAsia="Times New Roman" w:hAnsi="Times New Roman" w:cs="Times New Roman"/>
                <w:sz w:val="28"/>
                <w:szCs w:val="28"/>
              </w:rPr>
              <w:t xml:space="preserve">; 9032 10 20 00; </w:t>
            </w:r>
            <w:r>
              <w:rPr>
                <w:rFonts w:ascii="Times New Roman" w:eastAsia="Times New Roman" w:hAnsi="Times New Roman" w:cs="Times New Roman"/>
                <w:b/>
                <w:sz w:val="28"/>
                <w:szCs w:val="28"/>
              </w:rPr>
              <w:t>9032 10 81 00; 9032 10 89 00</w:t>
            </w:r>
            <w:r>
              <w:rPr>
                <w:rFonts w:ascii="Times New Roman" w:eastAsia="Times New Roman" w:hAnsi="Times New Roman" w:cs="Times New Roman"/>
                <w:sz w:val="28"/>
                <w:szCs w:val="28"/>
              </w:rPr>
              <w:t xml:space="preserve">; 9032 20 00 00; 9032 81 00 00; 9032 89 00 00; 7309 00 59 00; 8517 61 00 00; 8517 62 00 00; </w:t>
            </w:r>
            <w:r>
              <w:rPr>
                <w:rFonts w:ascii="Times New Roman" w:eastAsia="Times New Roman" w:hAnsi="Times New Roman" w:cs="Times New Roman"/>
                <w:b/>
                <w:sz w:val="28"/>
                <w:szCs w:val="28"/>
              </w:rPr>
              <w:t>8517 70 90 00; 8517 70 19 90</w:t>
            </w:r>
            <w:r>
              <w:rPr>
                <w:rFonts w:ascii="Times New Roman" w:eastAsia="Times New Roman" w:hAnsi="Times New Roman" w:cs="Times New Roman"/>
                <w:sz w:val="28"/>
                <w:szCs w:val="28"/>
              </w:rPr>
              <w:t>; 8507 20 80 90; 8471 41 00 00; 8471 49 00 00; 8471 70 50 00; 8504 40 30 00</w:t>
            </w:r>
          </w:p>
        </w:tc>
        <w:tc>
          <w:tcPr>
            <w:tcW w:w="8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after="0" w:line="276"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65. Тимчасово, до 1 січня 2022 року, контролюючий орган за заявою платника податку надає розстрочення (рівними частинами) сплати податку на додану вартість на термін, зазначений у заяві платника податку, але не більше 24 календарних місяців, без нарахування процентів, пені та штрафів, визначених цим Кодексом, при ввезенні на митну територію України з поміщенням в митний режим імпорту обладнання та комплектуючих, що класифікується за такими товарними підкатегоріями згідно з УКТ ЗЕД:</w:t>
            </w:r>
          </w:p>
          <w:p w:rsidR="00CA6C41" w:rsidRDefault="00FC4AC1">
            <w:pPr>
              <w:spacing w:after="0" w:line="276" w:lineRule="auto"/>
              <w:ind w:firstLine="31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6902 10 00 00; 6902 20 99 00; 6903 90 90 00; 8402 11 00 00; 8402 12 00 00; 8402 19 10 00; 8402 19 90 00; 8402 20 00 00; 8405 10 00 </w:t>
            </w:r>
            <w:r>
              <w:rPr>
                <w:rFonts w:ascii="Times New Roman" w:eastAsia="Times New Roman" w:hAnsi="Times New Roman" w:cs="Times New Roman"/>
                <w:sz w:val="28"/>
                <w:szCs w:val="28"/>
              </w:rPr>
              <w:lastRenderedPageBreak/>
              <w:t xml:space="preserve">00; 8416 20 80 00; 8417 10 00 00; 8417 20 10 00; 8417 20 90 00; 8417 80 30 00; 8417 80 50 00; 8417 80 70 00; 8418 69 00 90; 8419 31 00 00; 8419 32 00 00; 8419 39 00 10; 8419 39 00 90; 8419 40 00 00; 8419 60 00 00; 8419 89 10 00; 8419 89 30 00; 8419 89 98 00; 8420 10 10 00; 8420 10 30 00; </w:t>
            </w:r>
            <w:r>
              <w:rPr>
                <w:rFonts w:ascii="Times New Roman" w:eastAsia="Times New Roman" w:hAnsi="Times New Roman" w:cs="Times New Roman"/>
                <w:b/>
                <w:sz w:val="28"/>
                <w:szCs w:val="28"/>
              </w:rPr>
              <w:t>8420 10 89 10</w:t>
            </w:r>
            <w:r>
              <w:rPr>
                <w:rFonts w:ascii="Times New Roman" w:eastAsia="Times New Roman" w:hAnsi="Times New Roman" w:cs="Times New Roman"/>
                <w:sz w:val="28"/>
                <w:szCs w:val="28"/>
              </w:rPr>
              <w:t xml:space="preserve">; 8420 10 81 00; </w:t>
            </w:r>
            <w:r>
              <w:rPr>
                <w:rFonts w:ascii="Times New Roman" w:eastAsia="Times New Roman" w:hAnsi="Times New Roman" w:cs="Times New Roman"/>
                <w:b/>
                <w:sz w:val="28"/>
                <w:szCs w:val="28"/>
              </w:rPr>
              <w:t>8420 10 89 90</w:t>
            </w:r>
            <w:r>
              <w:rPr>
                <w:rFonts w:ascii="Times New Roman" w:eastAsia="Times New Roman" w:hAnsi="Times New Roman" w:cs="Times New Roman"/>
                <w:sz w:val="28"/>
                <w:szCs w:val="28"/>
              </w:rPr>
              <w:t xml:space="preserve">; 8421 11 00 00; 8421 19 70 90; 8421 21 00 00; </w:t>
            </w:r>
            <w:r>
              <w:rPr>
                <w:rFonts w:ascii="Times New Roman" w:eastAsia="Times New Roman" w:hAnsi="Times New Roman" w:cs="Times New Roman"/>
                <w:b/>
                <w:sz w:val="28"/>
                <w:szCs w:val="28"/>
              </w:rPr>
              <w:t>8421 39 15 20; 8421 39 25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8421 39 15 59; 8421 39 35 90; 8421 39 15 91; 8421 39 85 10;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8421 39 15 99; 8421 39 85 90</w:t>
            </w:r>
            <w:r>
              <w:rPr>
                <w:rFonts w:ascii="Times New Roman" w:eastAsia="Times New Roman" w:hAnsi="Times New Roman" w:cs="Times New Roman"/>
                <w:sz w:val="28"/>
                <w:szCs w:val="28"/>
              </w:rPr>
              <w:t xml:space="preserve">; 8422 20 00 00; 8422 30 00 10; 8422 30 00 91; 8422 30 00 99; 8422 40 00 10; 8422 40 00 90; </w:t>
            </w:r>
            <w:r>
              <w:rPr>
                <w:rFonts w:ascii="Times New Roman" w:eastAsia="Times New Roman" w:hAnsi="Times New Roman" w:cs="Times New Roman"/>
                <w:b/>
                <w:sz w:val="28"/>
                <w:szCs w:val="28"/>
              </w:rPr>
              <w:t>8423 20 10 00; 8423 20 90 00; 8423 30 10 00; 8423 30 90 00; 8423 81 21 00; 8423 81 80 00; 8423 81 23 00; 8423 81 29 00; 8423 82 20 90; 8423 82 81 00; 8423 82 20 10; 8423 82 89 10; 8423 82 89 90; 8423 89 20 00; 8423 89 80 00; 8424 82 10 00; 8424 49 10 00; 8424 82 90 10; 8424 49 90 00; 8424 82 90 90; 8424 89 40 00; 8424 89 70 00;</w:t>
            </w:r>
            <w:r>
              <w:rPr>
                <w:rFonts w:ascii="Times New Roman" w:eastAsia="Times New Roman" w:hAnsi="Times New Roman" w:cs="Times New Roman"/>
                <w:sz w:val="28"/>
                <w:szCs w:val="28"/>
              </w:rPr>
              <w:t xml:space="preserve"> 8426 20 00 00; 8426 30 00 00; 8428 20 20 00; 8428 20 80 00; 8428 31 00 00; 8428 32 00 00; 8428 33 00 00; 8428 39 20 00; 8428 39 90 00; 8428 90 71 00; 8428 90 79 00; 8428 90 90 00; 8430 10 00 00; 8430 31 00 00; 8430 39 00 00; 8430 41 00 00; 8430 49 00 00; 8430 50 00 00; 8430 61 00 00; 8430 69 00 00; 8434 10 00 00; 8434 20 00 00; 8435 10 00 00; 8436 10 00 00; 8436 21 00 00; 8436 29 00 10; 8436 29 00 90; 8436 80 10 00; 8436 80 90 00; 8437 10 00 00; 8437 80 00 00; 8438 10 10 00; 8438 10 90 00; 8438 20 00 00; 8438 30 00 00; 8438 40 00 00; 8438 50 00 00; 8438 60 00 00; 8438 80 10 00; 8438 80 91 00; 8438 80 99 00; 8439 10 00 00; 8439 20 00 00; 8439 30 00 00; 8440 10 10 00; 8440 10 20 00; 8440 10 30 00; 8440 10 40 00; 8440 10 90 00; 8441 10 10 00; 8441 10 20 00; 8441 </w:t>
            </w:r>
            <w:r>
              <w:rPr>
                <w:rFonts w:ascii="Times New Roman" w:eastAsia="Times New Roman" w:hAnsi="Times New Roman" w:cs="Times New Roman"/>
                <w:sz w:val="28"/>
                <w:szCs w:val="28"/>
              </w:rPr>
              <w:lastRenderedPageBreak/>
              <w:t xml:space="preserve">10 30 00; 8441 10 70 00; 8441 20 00 00; 8441 30 00 00; 8441 40 00 00; 8441 80 00 00; 8443 11 00 00; 8443 12 00 00; 8443 13 10 00; 8443 13 31 00; 8443 13 35 00; 8443 13 39 00; 8443 13 90 00; 8443 14 00 00; 8443 15 00 00; 8443 16 00 00; 8443 17 00 00; 8443 19 20 00; 8443 19 40 00; 8443 19 70 00; 8444 00 10 00; 8444 00 90 00; 8445 11 00 00; 8445 12 00 00; 8445 13 00 00; 8445 19 00 00; 8445 20 00 00; 8445 30 00 00; 8445 40 00 00; 8445 90 00 00; 8446 10 00 00; 8446 21 00 00; 8446 29 00 00; 8446 30 00 00; 8447 11 00 00; 8447 12 00 00; 8447 20 20 00; 8447 20 80 00; 8447 90 00 00; 8449 00 00 00; 8451 10 00 00; 8451 21 00 00; 8451 29 00 00; 8451 30 00 00; 8451 40 00 00; 8451 50 00 00; 8451 80 10 00; 8451 80 30 00; 8451 80 80 00; 8452 21 00 00; 8452 29 00 00; 8453 10 00 00; 8453 20 00 00; 8453 80 00 00; 8454 10 00 10; 8454 10 00 90; 8454 20 00 00; 8454 30 10 00; 8454 30 90 00; 8455 10 00 00; 8455 21 00 00; 8455 22 00 00; </w:t>
            </w:r>
            <w:r>
              <w:rPr>
                <w:rFonts w:ascii="Times New Roman" w:eastAsia="Times New Roman" w:hAnsi="Times New Roman" w:cs="Times New Roman"/>
                <w:b/>
                <w:sz w:val="28"/>
                <w:szCs w:val="28"/>
              </w:rPr>
              <w:t>8456 11 10 00; 8456 11 90 00; 8456 12 10 00; 8456 12 90 00</w:t>
            </w:r>
            <w:r>
              <w:rPr>
                <w:rFonts w:ascii="Times New Roman" w:eastAsia="Times New Roman" w:hAnsi="Times New Roman" w:cs="Times New Roman"/>
                <w:sz w:val="28"/>
                <w:szCs w:val="28"/>
              </w:rPr>
              <w:t xml:space="preserve">; 8456 20 00 00; 8456 30 11 00; 8456 30 19 00; 8456 30 90 00; </w:t>
            </w:r>
            <w:r>
              <w:rPr>
                <w:rFonts w:ascii="Times New Roman" w:eastAsia="Times New Roman" w:hAnsi="Times New Roman" w:cs="Times New Roman"/>
                <w:b/>
                <w:sz w:val="28"/>
                <w:szCs w:val="28"/>
              </w:rPr>
              <w:t>8456 40 00 00; 8456 50 00 00; 8456 90 00 00</w:t>
            </w:r>
            <w:r>
              <w:rPr>
                <w:rFonts w:ascii="Times New Roman" w:eastAsia="Times New Roman" w:hAnsi="Times New Roman" w:cs="Times New Roman"/>
                <w:sz w:val="28"/>
                <w:szCs w:val="28"/>
              </w:rPr>
              <w:t xml:space="preserve">; 8457 10 10 00; 8457 10 90 00; 8457 20 00 00; 8457 30 10 00; 8457 30 90 00; 8458 11 20 00; 8458 11 41 00; 8458 11 49 00; 8458 11 80 00; 8458 19 00 10; 8458 19 00 90; 8458 91 20 00; 8458 91 80 00; 8458 99 00 00; 8459 10 00 00; 8459 21 00 00; 8459 29 00 00; 8459 31 00 00; 8459 39 00 00; </w:t>
            </w:r>
            <w:r>
              <w:rPr>
                <w:rFonts w:ascii="Times New Roman" w:eastAsia="Times New Roman" w:hAnsi="Times New Roman" w:cs="Times New Roman"/>
                <w:b/>
                <w:sz w:val="28"/>
                <w:szCs w:val="28"/>
              </w:rPr>
              <w:t>8459 41 00 00; 8459 49 00 00</w:t>
            </w:r>
            <w:r>
              <w:rPr>
                <w:rFonts w:ascii="Times New Roman" w:eastAsia="Times New Roman" w:hAnsi="Times New Roman" w:cs="Times New Roman"/>
                <w:sz w:val="28"/>
                <w:szCs w:val="28"/>
              </w:rPr>
              <w:t xml:space="preserve">; 8459 51 00 00; 8459 59 00 00; 8459 61 10 00; 8459 61 90 00; 8459 69 10 00; 8459 69 90 00; 8459 70 00 00; </w:t>
            </w:r>
            <w:r>
              <w:rPr>
                <w:rFonts w:ascii="Times New Roman" w:eastAsia="Times New Roman" w:hAnsi="Times New Roman" w:cs="Times New Roman"/>
                <w:b/>
                <w:sz w:val="28"/>
                <w:szCs w:val="28"/>
              </w:rPr>
              <w:t>8460 12 00 10; 8460 19 00 00; 8460 23 00 00; 8460 22 00 00; 8460 24 00 00</w:t>
            </w:r>
            <w:r>
              <w:rPr>
                <w:rFonts w:ascii="Times New Roman" w:eastAsia="Times New Roman" w:hAnsi="Times New Roman" w:cs="Times New Roman"/>
                <w:sz w:val="28"/>
                <w:szCs w:val="28"/>
              </w:rPr>
              <w:t xml:space="preserve">; 8460 29 10 00; 8460 29 90 00; 8460 31 00 00; 8460 39 00 00; 8460 40 10 10; 8460 40 10 90; 8460 40 90 00; </w:t>
            </w:r>
            <w:r>
              <w:rPr>
                <w:rFonts w:ascii="Times New Roman" w:eastAsia="Times New Roman" w:hAnsi="Times New Roman" w:cs="Times New Roman"/>
                <w:b/>
                <w:sz w:val="28"/>
                <w:szCs w:val="28"/>
              </w:rPr>
              <w:lastRenderedPageBreak/>
              <w:t>8460 90 00 10; 8460 12 00 90; 8460 90 00 90</w:t>
            </w:r>
            <w:r>
              <w:rPr>
                <w:rFonts w:ascii="Times New Roman" w:eastAsia="Times New Roman" w:hAnsi="Times New Roman" w:cs="Times New Roman"/>
                <w:sz w:val="28"/>
                <w:szCs w:val="28"/>
              </w:rPr>
              <w:t xml:space="preserve"> 8461 20 00 00; 8461 30 10 00; 8461 30 90 00; 8461 40 11 00; 8461 40 19 00; 8461 40 31 00; 8461 40 39 00; 8461 40 71 00; 8461 40 79 00; 8461 40 90 00; 8461 50 11 00; 8461 50 19 00; 8461 50 90 00; 8461 90 00 00; 8462 10 10 00; 8462 10 90 00; 8462 21 10 00; 8462 21 80 00; 8462 29 10 00; 8462 29 91 00; 8462 29 98 00; 8462 31 00 00; 8462 39 10 00; 8462 39 91 00; 8462 39 99 00; 8462 41 10 00; 8462 41 90 00; 8462 49 10 00; 8462 49 90 00; 8462 91 20 00; 8462 91 80 00; 8462 99 20 00; 8462 99 80 00; 8463 10 10 00; 8463 10 90 00; 8463 20 00 00; 8463 30 00 00; 8463 90 00 00; 8464 10 00 00; 8464 20 11 00; 8464 20 19 00; 8464 20 80 00; 8464 90 00 00; 8465 10 10 00; 8465 10 90 00; 8465 91 10 00; 8465 91 20 00; </w:t>
            </w:r>
            <w:r>
              <w:rPr>
                <w:rFonts w:ascii="Times New Roman" w:eastAsia="Times New Roman" w:hAnsi="Times New Roman" w:cs="Times New Roman"/>
                <w:b/>
                <w:sz w:val="28"/>
                <w:szCs w:val="28"/>
              </w:rPr>
              <w:t>8465 20 00 10; 8465 91 90 00; 8465 92 00 00; 8465 20 00 20; 8465 93 00 00; 8465 20 00 30; 8465 20 00 40; 8465 94 00 00; 8465 20 00 51; 8465 95 00 10; 8465 20 00 59; 8465 95 00 90; 8465 20 00 70; 8465 96 00 00;</w:t>
            </w:r>
            <w:r>
              <w:rPr>
                <w:rFonts w:ascii="Times New Roman" w:eastAsia="Times New Roman" w:hAnsi="Times New Roman" w:cs="Times New Roman"/>
                <w:sz w:val="28"/>
                <w:szCs w:val="28"/>
              </w:rPr>
              <w:t xml:space="preserve"> 8465 99 00 10; </w:t>
            </w:r>
            <w:r>
              <w:rPr>
                <w:rFonts w:ascii="Times New Roman" w:eastAsia="Times New Roman" w:hAnsi="Times New Roman" w:cs="Times New Roman"/>
                <w:b/>
                <w:sz w:val="28"/>
                <w:szCs w:val="28"/>
              </w:rPr>
              <w:t>8465 20 00 90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8465 99 00 90</w:t>
            </w:r>
            <w:r>
              <w:rPr>
                <w:rFonts w:ascii="Times New Roman" w:eastAsia="Times New Roman" w:hAnsi="Times New Roman" w:cs="Times New Roman"/>
                <w:sz w:val="28"/>
                <w:szCs w:val="28"/>
              </w:rPr>
              <w:t>; 8468 20 00 00; 8468 80 00 00; 8474 10 00 00; 8474 20 00 00; 8474 31 00 00; 8474 32 00 00; 8474 39 00 00; 8474 80 10 00; 8474 80 90 00; 8475 10 00 00; 8475 21 00 00; 8475 29 00 00; 8477 10 00 00; 8477 20 00 00; 8477 30 00 00; 8477 40 00 00; 8477 51 00 00; 8477 59 10 10; 8477 59 10 90; 8477 59 80 00; 8477 80 11 00; 8477 80 19 00; 8477 80 91 00; 8477 80 93 00; 8477 80 95 00; 8477 80 99 00; 8478 10 00 00; 8479 20 00 00; 8479 30 10 00; 8479 30 90 00; 8479 40 00 00; 8479 50 00 00; 8479 60 00 00; 8479 81 00 00; 8479 82 00 00; 8479 89 30 00; 8479 89 60 10; 8479 89 60 90</w:t>
            </w:r>
            <w:r>
              <w:rPr>
                <w:rFonts w:ascii="Times New Roman" w:eastAsia="Times New Roman" w:hAnsi="Times New Roman" w:cs="Times New Roman"/>
                <w:b/>
                <w:sz w:val="28"/>
                <w:szCs w:val="28"/>
              </w:rPr>
              <w:t>; 8479 89 70 00</w:t>
            </w:r>
            <w:r>
              <w:rPr>
                <w:rFonts w:ascii="Times New Roman" w:eastAsia="Times New Roman" w:hAnsi="Times New Roman" w:cs="Times New Roman"/>
                <w:sz w:val="28"/>
                <w:szCs w:val="28"/>
              </w:rPr>
              <w:t xml:space="preserve">; 8479 89 97 10; 8479 89 97 20; 8479 89 97 30; 8479 89 97 50; 8480 10 00 00; 8480 20 00 00; 8480 30 10 00; </w:t>
            </w:r>
            <w:r>
              <w:rPr>
                <w:rFonts w:ascii="Times New Roman" w:eastAsia="Times New Roman" w:hAnsi="Times New Roman" w:cs="Times New Roman"/>
                <w:sz w:val="28"/>
                <w:szCs w:val="28"/>
              </w:rPr>
              <w:lastRenderedPageBreak/>
              <w:t xml:space="preserve">8480 30 90 00; 8480 41 00 00; 8480 49 00 00; 8480 50 00 00; 8480 60 00 00; 8480 71 00 10; 8480 71 00 90; 8480 79 00 00; 8486 10 00 00; </w:t>
            </w:r>
            <w:r>
              <w:rPr>
                <w:rFonts w:ascii="Times New Roman" w:eastAsia="Times New Roman" w:hAnsi="Times New Roman" w:cs="Times New Roman"/>
                <w:b/>
                <w:sz w:val="28"/>
                <w:szCs w:val="28"/>
              </w:rPr>
              <w:t>8486 20 00 10; 8486 20 00 90; 8486 30 00 10; 8486 30 00 30; 8486 30 00 50; 8486 30 00 91; 8486 30 00 99</w:t>
            </w:r>
            <w:r>
              <w:rPr>
                <w:rFonts w:ascii="Times New Roman" w:eastAsia="Times New Roman" w:hAnsi="Times New Roman" w:cs="Times New Roman"/>
                <w:sz w:val="28"/>
                <w:szCs w:val="28"/>
              </w:rPr>
              <w:t xml:space="preserve">; 8486 40 00 00; 8502 12 00 90; 8502 13 20 90; 8502 13 40 90; 8502 13 80 90; 8502 20 40 90; 8502 20 60 90; 8502 20 80 90; 8502 31 00 00; 8502 39 20 90; 8502 39 80 90; 8502 40 00 90; 8504 21 00 00; 8504 22 10 00; 8504 22 90 00; 8504 23 00 00; 8504 34 00 00; 8504 50 20 90; 8504 50 95 90; 8514 10 10 00; 8514 10 80 00; 8514 20 10 00; 8514 20 80 00; </w:t>
            </w:r>
            <w:r>
              <w:rPr>
                <w:rFonts w:ascii="Times New Roman" w:eastAsia="Times New Roman" w:hAnsi="Times New Roman" w:cs="Times New Roman"/>
                <w:b/>
                <w:sz w:val="28"/>
                <w:szCs w:val="28"/>
              </w:rPr>
              <w:t>8514 30 80 10; 8514 30 20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8514 30 80 90</w:t>
            </w:r>
            <w:r>
              <w:rPr>
                <w:rFonts w:ascii="Times New Roman" w:eastAsia="Times New Roman" w:hAnsi="Times New Roman" w:cs="Times New Roman"/>
                <w:sz w:val="28"/>
                <w:szCs w:val="28"/>
              </w:rPr>
              <w:t>; 8514 40 00 00; 8515 11 00 00</w:t>
            </w:r>
            <w:r>
              <w:rPr>
                <w:rFonts w:ascii="Times New Roman" w:eastAsia="Times New Roman" w:hAnsi="Times New Roman" w:cs="Times New Roman"/>
                <w:b/>
                <w:sz w:val="28"/>
                <w:szCs w:val="28"/>
              </w:rPr>
              <w:t>; 8515 19 10 00; 8515 19 90 00</w:t>
            </w:r>
            <w:r>
              <w:rPr>
                <w:rFonts w:ascii="Times New Roman" w:eastAsia="Times New Roman" w:hAnsi="Times New Roman" w:cs="Times New Roman"/>
                <w:sz w:val="28"/>
                <w:szCs w:val="28"/>
              </w:rPr>
              <w:t xml:space="preserve">; 8515 21 00 00; 8515 29 00 00; 8515 31 00 00; 8515 39 13 00; 8515 39 18 00; 8515 39 90 00; 8515 80 10 00; 8515 80 90 00; 8537 10 10 00; 8537 10 91 00; </w:t>
            </w:r>
            <w:r>
              <w:rPr>
                <w:rFonts w:ascii="Times New Roman" w:eastAsia="Times New Roman" w:hAnsi="Times New Roman" w:cs="Times New Roman"/>
                <w:b/>
                <w:sz w:val="28"/>
                <w:szCs w:val="28"/>
              </w:rPr>
              <w:t>8537 10 95 00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8537 10 98 90</w:t>
            </w:r>
            <w:r>
              <w:rPr>
                <w:rFonts w:ascii="Times New Roman" w:eastAsia="Times New Roman" w:hAnsi="Times New Roman" w:cs="Times New Roman"/>
                <w:sz w:val="28"/>
                <w:szCs w:val="28"/>
              </w:rPr>
              <w:t xml:space="preserve">; 8537 20 91 00; 8537 20 99 00; 8543 10 00 00; 8543 20 00 00; </w:t>
            </w:r>
            <w:r>
              <w:rPr>
                <w:rFonts w:ascii="Times New Roman" w:eastAsia="Times New Roman" w:hAnsi="Times New Roman" w:cs="Times New Roman"/>
                <w:b/>
                <w:sz w:val="28"/>
                <w:szCs w:val="28"/>
              </w:rPr>
              <w:t>8543 30 40 00; 8543 30 70 00</w:t>
            </w:r>
            <w:r>
              <w:rPr>
                <w:rFonts w:ascii="Times New Roman" w:eastAsia="Times New Roman" w:hAnsi="Times New Roman" w:cs="Times New Roman"/>
                <w:sz w:val="28"/>
                <w:szCs w:val="28"/>
              </w:rPr>
              <w:t xml:space="preserve">; 9011 10 10 00; 9011 10 90 00; 9011 20 10 00; 9011 20 90 00; 9011 80 00 00; 9012 10 10 00; 9012 10 90 00; 9013 20 00 00; 9013 80 20 00; 9013 80 30 00; 9013 80 90 00; </w:t>
            </w:r>
            <w:r>
              <w:rPr>
                <w:rFonts w:ascii="Times New Roman" w:eastAsia="Times New Roman" w:hAnsi="Times New Roman" w:cs="Times New Roman"/>
                <w:b/>
                <w:sz w:val="28"/>
                <w:szCs w:val="28"/>
              </w:rPr>
              <w:t>9024 10 20 10; 9024 10 40 10; 9024 10 80 00; 9024 10 20 90; 9024 10 40 90</w:t>
            </w:r>
            <w:r>
              <w:rPr>
                <w:rFonts w:ascii="Times New Roman" w:eastAsia="Times New Roman" w:hAnsi="Times New Roman" w:cs="Times New Roman"/>
                <w:sz w:val="28"/>
                <w:szCs w:val="28"/>
              </w:rPr>
              <w:t xml:space="preserve">; 9024 80 11 00; 9024 80 19 00; 9024 80 90 00; 9030 10 00 00; </w:t>
            </w:r>
            <w:r>
              <w:rPr>
                <w:rFonts w:ascii="Times New Roman" w:eastAsia="Times New Roman" w:hAnsi="Times New Roman" w:cs="Times New Roman"/>
                <w:b/>
                <w:sz w:val="28"/>
                <w:szCs w:val="28"/>
              </w:rPr>
              <w:t>9030 20 00 00</w:t>
            </w:r>
            <w:r>
              <w:rPr>
                <w:rFonts w:ascii="Times New Roman" w:eastAsia="Times New Roman" w:hAnsi="Times New Roman" w:cs="Times New Roman"/>
                <w:sz w:val="28"/>
                <w:szCs w:val="28"/>
              </w:rPr>
              <w:t xml:space="preserve">; 9030 31 00 00; 9030 32 00 00; </w:t>
            </w:r>
            <w:r>
              <w:rPr>
                <w:rFonts w:ascii="Times New Roman" w:eastAsia="Times New Roman" w:hAnsi="Times New Roman" w:cs="Times New Roman"/>
                <w:b/>
                <w:sz w:val="28"/>
                <w:szCs w:val="28"/>
              </w:rPr>
              <w:t>9030 33 20 00; 9030 33 30 00; 9030 33 80 00</w:t>
            </w:r>
            <w:r>
              <w:rPr>
                <w:rFonts w:ascii="Times New Roman" w:eastAsia="Times New Roman" w:hAnsi="Times New Roman" w:cs="Times New Roman"/>
                <w:sz w:val="28"/>
                <w:szCs w:val="28"/>
              </w:rPr>
              <w:t xml:space="preserve">; 9030 39 00 00; 9030 40 00 00; 9030 82 00 00; 9030 84 00 00; 9030 89 30 00; 9030 89 90 00; 9031 10 00 00; 9031 20 00 00; 9031 41 00 00; 9031 49 10 00; 9031 49 90 00; </w:t>
            </w:r>
            <w:r>
              <w:rPr>
                <w:rFonts w:ascii="Times New Roman" w:eastAsia="Times New Roman" w:hAnsi="Times New Roman" w:cs="Times New Roman"/>
                <w:b/>
                <w:sz w:val="28"/>
                <w:szCs w:val="28"/>
              </w:rPr>
              <w:t>9031 80 20 10</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9031 80 20 20; 9031 80 80 00; 9031 80 20 90</w:t>
            </w:r>
            <w:r>
              <w:rPr>
                <w:rFonts w:ascii="Times New Roman" w:eastAsia="Times New Roman" w:hAnsi="Times New Roman" w:cs="Times New Roman"/>
                <w:sz w:val="28"/>
                <w:szCs w:val="28"/>
              </w:rPr>
              <w:t xml:space="preserve">; 9032 10 20 00; </w:t>
            </w:r>
            <w:r>
              <w:rPr>
                <w:rFonts w:ascii="Times New Roman" w:eastAsia="Times New Roman" w:hAnsi="Times New Roman" w:cs="Times New Roman"/>
                <w:b/>
                <w:sz w:val="28"/>
                <w:szCs w:val="28"/>
              </w:rPr>
              <w:t>9032 10 80 00</w:t>
            </w:r>
            <w:r>
              <w:rPr>
                <w:rFonts w:ascii="Times New Roman" w:eastAsia="Times New Roman" w:hAnsi="Times New Roman" w:cs="Times New Roman"/>
                <w:sz w:val="28"/>
                <w:szCs w:val="28"/>
              </w:rPr>
              <w:t xml:space="preserve">; 9032 20 00 00; 9032 81 00 00; 9032 89 00 00; 7309 00 59 00; 8517 61 00 00; 8517 62 00 </w:t>
            </w:r>
            <w:r>
              <w:rPr>
                <w:rFonts w:ascii="Times New Roman" w:eastAsia="Times New Roman" w:hAnsi="Times New Roman" w:cs="Times New Roman"/>
                <w:sz w:val="28"/>
                <w:szCs w:val="28"/>
              </w:rPr>
              <w:lastRenderedPageBreak/>
              <w:t xml:space="preserve">00; </w:t>
            </w:r>
            <w:r>
              <w:rPr>
                <w:rFonts w:ascii="Times New Roman" w:eastAsia="Times New Roman" w:hAnsi="Times New Roman" w:cs="Times New Roman"/>
                <w:b/>
                <w:sz w:val="28"/>
                <w:szCs w:val="28"/>
              </w:rPr>
              <w:t>8517 70 00 90; 8517 70 00 19</w:t>
            </w:r>
            <w:r>
              <w:rPr>
                <w:rFonts w:ascii="Times New Roman" w:eastAsia="Times New Roman" w:hAnsi="Times New Roman" w:cs="Times New Roman"/>
                <w:sz w:val="28"/>
                <w:szCs w:val="28"/>
              </w:rPr>
              <w:t>; 8507 20 80 90; 8471 41 00 00; 8471 49 00 00; 8471 70 50 00; 8504 40 30 00</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tabs>
                <w:tab w:val="center" w:pos="4677"/>
                <w:tab w:val="right" w:pos="9355"/>
              </w:tabs>
              <w:spacing w:before="240" w:after="0" w:line="276" w:lineRule="auto"/>
              <w:ind w:left="14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Норма відсутня</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28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“74. Тимчасово, з 1 січня 2021 року до 1 січня 2023 року, за ставкою податку на додану вартість </w:t>
            </w:r>
            <w:r>
              <w:rPr>
                <w:rFonts w:ascii="Times New Roman" w:eastAsia="Times New Roman" w:hAnsi="Times New Roman" w:cs="Times New Roman"/>
                <w:b/>
                <w:sz w:val="28"/>
                <w:szCs w:val="28"/>
                <w:u w:val="single"/>
              </w:rPr>
              <w:t>14 відсотків</w:t>
            </w:r>
            <w:r>
              <w:rPr>
                <w:rFonts w:ascii="Times New Roman" w:eastAsia="Times New Roman" w:hAnsi="Times New Roman" w:cs="Times New Roman"/>
                <w:b/>
                <w:sz w:val="28"/>
                <w:szCs w:val="28"/>
              </w:rPr>
              <w:t xml:space="preserve"> від бази оподаткування оподатковуються операції з постачання на митній території України  та /або ввезення на митну територію України  у митному режимі імпорту обладнання та устаткування, що класифікується у наступних підкатегоріях згідно з УКТ ЗЕД:</w:t>
            </w:r>
          </w:p>
          <w:p w:rsidR="00CA6C41" w:rsidRDefault="00FC4AC1">
            <w:pPr>
              <w:spacing w:before="240" w:after="0" w:line="276" w:lineRule="auto"/>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8401 20 00 00, 8401 40 00 00, 8420 10 10 00, 8420 10 30 00, 8420 10 81 00, 8420 10 89 10, 8420 10 89 90, 8439 10 00 00, 8439 20 00 00, 8439 30 00 00, 8442 30 00 00, 8445 11 00 00, 8445 12 00 00, 8445 13 00 00, 8445 19 00 00, 8445 20 00 00, 8445 30 00 00, 8445 40 00 00, 8445 90 00 00, 8446 10 00 00, 8446 21 00 00, 8446 29 00 00, 8446 30 00 00, 8447 11 00 00, 8447 12 00 00, 8447 20 20 00, 8447 20 80 00, 8447 90 00 00, 8452 21 00 00, 8453 10 00 00, 8453 20 00 00, 8453 80 00 00, 8454 10 00 10, 8454 10 00 90, 8454 30 10 00, 8454 30 90 00, 8455 10 00 00, 8455 21 00 00, 8455 22 00 00, 8456 11 10 00, 8456 11 90 00, 8456 12 10 00, 8456 12 90 00, 8456 20 00 00, 8456 30 11 00, 8456 30 19 00, 8456 30 90 00, 8456 40 00 00, 8456 50 00 00, </w:t>
            </w:r>
            <w:r>
              <w:rPr>
                <w:rFonts w:ascii="Times New Roman" w:eastAsia="Times New Roman" w:hAnsi="Times New Roman" w:cs="Times New Roman"/>
                <w:b/>
                <w:sz w:val="28"/>
                <w:szCs w:val="28"/>
              </w:rPr>
              <w:lastRenderedPageBreak/>
              <w:t xml:space="preserve">8456 90 00 00, 8457 10 10 00, 8457 10 90 00, 8457 20 00 00, 8457 30 10 00, 8457 30 90 00, 8458 11 20 00, 8458 11 41 00, 8458 11 49 00, 8458 11 80 00, 8458 19 00 10, 8458 19 00 90, 8458 91 20 00, 8458 91 80 00, 8458 99 00 00, 8459 10 00 00, 8459 21 00 00, 8459 29 00 00, 8459 31 00 00, 8459 39 00 00, 8459 41 00 00, 8459 49 00 00, 8459 51 00 00, 8459 59 00 00, 8459 61 10 00, 8459 61 90 00, 8459 69 10 00, 8459 69 90 00, 8459 70 00 00, 8460 12 00 10, 8460 12 00 90, 8460 19 00 00, 8460 22 00 00, 8460 23 00 00, 8460 24 00 00, 8460 29 10 00, 8460 29 90 00, 8460 31 00 00, 8460 39 00 00, 8460 40 10 10, 8460 40 10 90, 8460 40 90 00, 8460 90 00 10, 8460 90 00 90, 8461 20 00 00, 8461 30 10 00, 8461 30 90 00, 8461 50 11 00, 8461 50 19 00, 8461 50 90 00, 8461 90 00 00, 8462 10 10 00, 8462 10 90 00, 8462 21 10 00, 8462 21 80 00, 8462 29 10 00, 8462 29 91 00, 8462 29 98 00, 8462 31 00 00, 8462 39 10 00, 8462 39 91 00, 8462 39 99 00, 8462 41 10 00, 8462 41 90 00, 8462 49 10 00, 8462 49 90 00, 8462 91 20 00, 8462 91 80 00, 8462 99 20 00, 8462 99 80 00, 8463 10 10 00, 8463 10 90 00, 8463 20 00 00, 8463 30 00 00, 8463 90 00 00, 8464 10 00 00, 8464 20 11 00, 8464 20 19 00, 8464 20 80 00, 8464 90 00 00, 8465 10 10 00, 8465 10 90 00, 8465 91 10 00, 8465 91 20 00, 8465 91 90 00, 8465 92 00 00, 8465 93 00 00, 8465 94 00 00, 8465 95 00 10, 8465 95 00 90, 8465 96 00 00, 8465 99 00 10, 8465 99 00 90, 8474 10 00 00, 8474 20 00 00, 8474 31 00 00, 8474 32 00 00, 8474 39 00 00, 8474 80 10 00, 8474 80 90 00, 8475 21 00 00, 8475 29 00 00, 8477 10 00 00, 8477 20 00 00, 8477 30 00 00, 8477 40 00 00, 8477 51 00 00, 8477 59 10 10, 8477 59 10 90, 8477 59 80 00, 8477 80 11 00, 8477 80 19 00, 8479 10 00 00, 8479 20 00 00, 8479 30 10 00, 8479 30 90 00, 8479 40 00 00, </w:t>
            </w:r>
            <w:r>
              <w:rPr>
                <w:rFonts w:ascii="Times New Roman" w:eastAsia="Times New Roman" w:hAnsi="Times New Roman" w:cs="Times New Roman"/>
                <w:b/>
                <w:sz w:val="28"/>
                <w:szCs w:val="28"/>
              </w:rPr>
              <w:lastRenderedPageBreak/>
              <w:t>8479 50 00 00, 8486 10 00 00, 8486 20 00 10, 8486 20 00 90, 8486 30 00 10, 8486 30 00 30, 8486 30 00 50, 8486 30 00 91, 8486 30 00 99, 8486 40 00 00, 8514 20 10 00, 8514 20 80 00, 8514 30 20 00, 8514 30 80 10, 8514 30 80 90, 8514 40 00 00, 8515 19 10 00, 8515 21 00 00, 8515 31 00 00, 8515 80 10 00, 8515 80 90 00, 8543 10 00 00, 8543 20 00 00, 8543 30 40 00, 8543 30 70 00, 9031 49 90 00, 8461 40 11 00, 8461 40 19 00, 8461 40 31 00, 8461 40 39 00, 8461 40 71 00, 8461 40 79 00, 8461 40 90 00</w:t>
            </w:r>
          </w:p>
          <w:p w:rsidR="00CA6C41" w:rsidRDefault="00FC4AC1">
            <w:pPr>
              <w:pBdr>
                <w:top w:val="nil"/>
                <w:left w:val="nil"/>
                <w:bottom w:val="nil"/>
                <w:right w:val="nil"/>
                <w:between w:val="nil"/>
              </w:pBdr>
              <w:spacing w:before="240" w:after="0" w:line="276" w:lineRule="auto"/>
              <w:ind w:left="28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Норми цього пункту  не застосовуються до операцій  з постачання   на митній території України  та \або ввезення на митну територію України у митному режимі  імпорту обладнання та устаткування, якщо вони  мають походження з країни, визнаної державою-окупантом згідно із законом України та /або  визнаної державою-агресором по відношенню до України згідно із законодавством, або ввозяться з території такої держави –окупанта (агресора)та /або з окупованої території України, визначеної такою згідно із законом України.</w:t>
            </w:r>
          </w:p>
          <w:p w:rsidR="00CA6C41" w:rsidRDefault="00CA6C41">
            <w:pPr>
              <w:spacing w:before="240" w:after="240" w:line="276" w:lineRule="auto"/>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left="-140" w:firstLine="740"/>
              <w:jc w:val="both"/>
              <w:rPr>
                <w:rFonts w:ascii="Times New Roman" w:eastAsia="Times New Roman" w:hAnsi="Times New Roman" w:cs="Times New Roman"/>
                <w:b/>
                <w:sz w:val="28"/>
                <w:szCs w:val="28"/>
              </w:rPr>
            </w:pPr>
          </w:p>
        </w:tc>
      </w:tr>
      <w:tr w:rsidR="00CA6C41">
        <w:tc>
          <w:tcPr>
            <w:tcW w:w="7655" w:type="dxa"/>
            <w:shd w:val="clear" w:color="auto" w:fill="auto"/>
            <w:tcMar>
              <w:top w:w="0" w:type="dxa"/>
              <w:left w:w="108" w:type="dxa"/>
              <w:bottom w:w="0" w:type="dxa"/>
              <w:right w:w="108" w:type="dxa"/>
            </w:tcMar>
          </w:tcPr>
          <w:p w:rsidR="00CA6C41" w:rsidRDefault="00CA6C41">
            <w:pPr>
              <w:pBdr>
                <w:top w:val="nil"/>
                <w:left w:val="nil"/>
                <w:bottom w:val="nil"/>
                <w:right w:val="nil"/>
                <w:between w:val="nil"/>
              </w:pBdr>
              <w:tabs>
                <w:tab w:val="center" w:pos="4677"/>
                <w:tab w:val="right" w:pos="9355"/>
              </w:tabs>
              <w:spacing w:before="240" w:after="240" w:line="240" w:lineRule="auto"/>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Відсутній  </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75. Тимчасово, до 1 липня  2021 року платники податку на додану вартість можуть  подавати до контролюючого органу засобами електронного зв’язку в електронній формі з дотриманням вимог законів України</w:t>
            </w:r>
            <w:hyperlink r:id="rId106">
              <w:r>
                <w:rPr>
                  <w:rFonts w:ascii="Times New Roman" w:eastAsia="Times New Roman" w:hAnsi="Times New Roman" w:cs="Times New Roman"/>
                  <w:b/>
                  <w:sz w:val="28"/>
                  <w:szCs w:val="28"/>
                </w:rPr>
                <w:t xml:space="preserve"> </w:t>
              </w:r>
            </w:hyperlink>
            <w:hyperlink r:id="rId107">
              <w:r>
                <w:rPr>
                  <w:rFonts w:ascii="Times New Roman" w:eastAsia="Times New Roman" w:hAnsi="Times New Roman" w:cs="Times New Roman"/>
                  <w:b/>
                  <w:sz w:val="28"/>
                  <w:szCs w:val="28"/>
                  <w:u w:val="single"/>
                </w:rPr>
                <w:t>"Про електронні документи та електронний документообіг"</w:t>
              </w:r>
            </w:hyperlink>
            <w:r>
              <w:rPr>
                <w:rFonts w:ascii="Times New Roman" w:eastAsia="Times New Roman" w:hAnsi="Times New Roman" w:cs="Times New Roman"/>
                <w:b/>
                <w:sz w:val="28"/>
                <w:szCs w:val="28"/>
              </w:rPr>
              <w:t xml:space="preserve"> та</w:t>
            </w:r>
            <w:hyperlink r:id="rId108">
              <w:r>
                <w:rPr>
                  <w:rFonts w:ascii="Times New Roman" w:eastAsia="Times New Roman" w:hAnsi="Times New Roman" w:cs="Times New Roman"/>
                  <w:b/>
                  <w:sz w:val="28"/>
                  <w:szCs w:val="28"/>
                </w:rPr>
                <w:t xml:space="preserve"> </w:t>
              </w:r>
            </w:hyperlink>
            <w:hyperlink r:id="rId109">
              <w:r>
                <w:rPr>
                  <w:rFonts w:ascii="Times New Roman" w:eastAsia="Times New Roman" w:hAnsi="Times New Roman" w:cs="Times New Roman"/>
                  <w:b/>
                  <w:sz w:val="28"/>
                  <w:szCs w:val="28"/>
                  <w:u w:val="single"/>
                </w:rPr>
                <w:t xml:space="preserve">"Про </w:t>
              </w:r>
              <w:r>
                <w:rPr>
                  <w:rFonts w:ascii="Times New Roman" w:eastAsia="Times New Roman" w:hAnsi="Times New Roman" w:cs="Times New Roman"/>
                  <w:b/>
                  <w:sz w:val="28"/>
                  <w:szCs w:val="28"/>
                  <w:u w:val="single"/>
                </w:rPr>
                <w:lastRenderedPageBreak/>
                <w:t>електронні довірчі послуги" п</w:t>
              </w:r>
            </w:hyperlink>
            <w:r>
              <w:rPr>
                <w:rFonts w:ascii="Times New Roman" w:eastAsia="Times New Roman" w:hAnsi="Times New Roman" w:cs="Times New Roman"/>
                <w:b/>
                <w:sz w:val="28"/>
                <w:szCs w:val="28"/>
              </w:rPr>
              <w:t>овідомлення  про  наявність обставин, зазначених у  пунктах «а-б»  пункту 189.9  статті 189  цього Кодексу  у довільній формі разом з  податковою декларацією за відповідний звітний (податковий) період, в якому виникли такі обставини.</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240" w:after="240" w:line="240"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lastRenderedPageBreak/>
              <w:t>Підрозділ 4. Особливості справляння податку на прибуток підприємств</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240" w:after="240" w:line="240"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Підрозділ 4. Особливості справляння податку на прибуток підприємств</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tc>
        <w:tc>
          <w:tcPr>
            <w:tcW w:w="8000" w:type="dxa"/>
            <w:shd w:val="clear" w:color="auto" w:fill="auto"/>
            <w:tcMar>
              <w:top w:w="0" w:type="dxa"/>
              <w:left w:w="108" w:type="dxa"/>
              <w:bottom w:w="0" w:type="dxa"/>
              <w:right w:w="108" w:type="dxa"/>
            </w:tcMar>
          </w:tcPr>
          <w:p w:rsidR="00CA6C41" w:rsidRDefault="00FC4AC1">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r>
              <w:rPr>
                <w:rFonts w:ascii="Times New Roman" w:eastAsia="Times New Roman" w:hAnsi="Times New Roman" w:cs="Times New Roman"/>
                <w:b/>
                <w:sz w:val="28"/>
                <w:szCs w:val="28"/>
                <w:vertAlign w:val="superscript"/>
              </w:rPr>
              <w:t>2</w:t>
            </w:r>
            <w:r>
              <w:rPr>
                <w:rFonts w:ascii="Times New Roman" w:eastAsia="Times New Roman" w:hAnsi="Times New Roman" w:cs="Times New Roman"/>
                <w:b/>
                <w:sz w:val="28"/>
                <w:szCs w:val="28"/>
              </w:rPr>
              <w:t>. Положення абзацу другого підпункту 140.4.4 пункту 140.4 статті 140 цього Кодексу вперше застосовуються за результатами декларування податку за 2021 рік з урахуванням від’ємного значення об’єкта оподаткування, яке виникло починаючи з 2014 року.</w:t>
            </w:r>
          </w:p>
          <w:p w:rsidR="00CA6C41" w:rsidRDefault="00CA6C41">
            <w:pPr>
              <w:pBdr>
                <w:top w:val="nil"/>
                <w:left w:val="nil"/>
                <w:bottom w:val="nil"/>
                <w:right w:val="nil"/>
                <w:between w:val="nil"/>
              </w:pBdr>
              <w:tabs>
                <w:tab w:val="center" w:pos="4677"/>
                <w:tab w:val="right" w:pos="9355"/>
              </w:tabs>
              <w:spacing w:before="240" w:after="240" w:line="240" w:lineRule="auto"/>
              <w:jc w:val="both"/>
              <w:rPr>
                <w:rFonts w:ascii="Times New Roman" w:eastAsia="Times New Roman" w:hAnsi="Times New Roman" w:cs="Times New Roman"/>
                <w:b/>
                <w:sz w:val="28"/>
                <w:szCs w:val="28"/>
              </w:rPr>
            </w:pP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240" w:after="240" w:line="240" w:lineRule="auto"/>
              <w:ind w:firstLine="2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Відсутній </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240" w:after="24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54. Тимчасово з 1 січня 2021 року до 1 січня 2025 року платники податку-виробники електричної енергії за «зеленим тарифом» мають право визначати податкове зобов’язання з податку на прибуток підприємств з урахуванням особливостей визначених у цьому пункті:</w:t>
            </w:r>
          </w:p>
          <w:p w:rsidR="00CA6C41" w:rsidRDefault="00FC4AC1">
            <w:pPr>
              <w:tabs>
                <w:tab w:val="center" w:pos="4677"/>
                <w:tab w:val="right" w:pos="9355"/>
              </w:tabs>
              <w:spacing w:before="240" w:after="240" w:line="276"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Норми цього пункту поширюються на узгоджене податкове зобов’язання з податку на прибуток підприємств, яке виникне у платників податку-виробників електричної енергії за «зеленим тарифом» в лютому 2021 року, згідно податкової декларації з податку на прибуток підприємств за 2020 рік.</w:t>
            </w:r>
          </w:p>
          <w:p w:rsidR="00CA6C41" w:rsidRDefault="00FC4AC1">
            <w:pPr>
              <w:pBdr>
                <w:top w:val="nil"/>
                <w:left w:val="nil"/>
                <w:bottom w:val="nil"/>
                <w:right w:val="nil"/>
                <w:between w:val="nil"/>
              </w:pBdr>
              <w:tabs>
                <w:tab w:val="center" w:pos="4677"/>
                <w:tab w:val="right" w:pos="9355"/>
              </w:tabs>
              <w:spacing w:before="240" w:after="24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Податкове зобов’язання з податку на прибуток визначається для квартального податкового (звітного) періоду з поданням податкової декларації з податку на прибуток.</w:t>
            </w:r>
          </w:p>
          <w:p w:rsidR="00CA6C41" w:rsidRDefault="00FC4AC1">
            <w:pPr>
              <w:pBdr>
                <w:top w:val="nil"/>
                <w:left w:val="nil"/>
                <w:bottom w:val="nil"/>
                <w:right w:val="nil"/>
                <w:between w:val="nil"/>
              </w:pBdr>
              <w:tabs>
                <w:tab w:val="center" w:pos="4677"/>
                <w:tab w:val="right" w:pos="9355"/>
              </w:tabs>
              <w:spacing w:before="240" w:after="24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Податкове зобов’язання з податку на прибуток підприємств обчислюється шляхом множення податку на прибуток  підприємств за квартальний податковий (звітний) період, щодо об’єкта оподаткування  визначеного у підпункті 134.1.1 пункту 134.1 статті 134 цього Кодексу, на коефіцієнт оплати за реалізовану електричну енергію за «зеленим тарифом» за такий податковий період .</w:t>
            </w:r>
          </w:p>
          <w:p w:rsidR="00CA6C41" w:rsidRDefault="00FC4AC1">
            <w:pPr>
              <w:pBdr>
                <w:top w:val="nil"/>
                <w:left w:val="nil"/>
                <w:bottom w:val="nil"/>
                <w:right w:val="nil"/>
                <w:between w:val="nil"/>
              </w:pBdr>
              <w:tabs>
                <w:tab w:val="center" w:pos="4677"/>
                <w:tab w:val="right" w:pos="9355"/>
              </w:tabs>
              <w:spacing w:before="240" w:after="24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Коефіцієнт оплати за реалізовану електричну енергію за «зеленим тарифом» обчислюється шляхом ділення суми отриманої оплати за реалізовану у календарному кварталі за електричну енергію за «зеленим тарифом» на загальну вартість реалізованої виробником електричної енергії за «зеленим тарифом» у такому календарному кварталі.</w:t>
            </w:r>
          </w:p>
          <w:p w:rsidR="00CA6C41" w:rsidRDefault="00FC4AC1">
            <w:pPr>
              <w:pBdr>
                <w:top w:val="nil"/>
                <w:left w:val="nil"/>
                <w:bottom w:val="nil"/>
                <w:right w:val="nil"/>
                <w:between w:val="nil"/>
              </w:pBdr>
              <w:tabs>
                <w:tab w:val="center" w:pos="4677"/>
                <w:tab w:val="right" w:pos="9355"/>
              </w:tabs>
              <w:spacing w:before="240" w:after="24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Для цілей належного справляння податкового зобов’язання з податку на прибуток відповідно до цього пункту такі платники податку здійснюють окремий облік нарахованого податку на прибуток за квартальні податкові (звітний) періоди, що припадають на період визначений в абзаці першому цього пункту, з визначенням залишку податкового зобов’язання з податку на прибуток, що буде підлягати справлянню в періоді отримання оплати за електричну енергію за «зеленим тарифом».</w:t>
            </w:r>
          </w:p>
          <w:p w:rsidR="00CA6C41" w:rsidRDefault="00FC4AC1">
            <w:pPr>
              <w:pBdr>
                <w:top w:val="nil"/>
                <w:left w:val="nil"/>
                <w:bottom w:val="nil"/>
                <w:right w:val="nil"/>
                <w:between w:val="nil"/>
              </w:pBdr>
              <w:tabs>
                <w:tab w:val="center" w:pos="4677"/>
                <w:tab w:val="right" w:pos="9355"/>
              </w:tabs>
              <w:spacing w:before="240" w:after="24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періоді отримання оплати за електричну енергію за «зеленим тарифом» за попередні календарні періоди, що </w:t>
            </w:r>
            <w:r>
              <w:rPr>
                <w:rFonts w:ascii="Times New Roman" w:eastAsia="Times New Roman" w:hAnsi="Times New Roman" w:cs="Times New Roman"/>
                <w:b/>
                <w:sz w:val="28"/>
                <w:szCs w:val="28"/>
              </w:rPr>
              <w:lastRenderedPageBreak/>
              <w:t>припадають на період визначений в абзаці першому цього пункту,  такі платники визначають окремо від податкового зобов’язання з податку на прибуток за  поточний квартальний звітний (податковий) період, податкове зобов’язання з податку на прибуток за попередні квартальні податкові періоди, що підлягає нарахуванню та сплаті у поточному квартальному звітному (податковий) період у розмірі що дорівнює (відповідає) коефіцієнту оплати за реалізовану електричну енергію за «зеленим тарифом», визначеному в абзаці третьому цього пункту. Положення  цього абзацу застосовуються також у податкових періодах наступних за періодом визначеним в абзаці першому цього пункту до повного погашення заборгованості за електричну енергію за «зеленим тарифом» реалізовану в періоді, визначеному в абзаці першому цього пункту.</w:t>
            </w:r>
          </w:p>
          <w:p w:rsidR="00CA6C41" w:rsidRDefault="00FC4AC1">
            <w:pPr>
              <w:pBdr>
                <w:top w:val="nil"/>
                <w:left w:val="nil"/>
                <w:bottom w:val="nil"/>
                <w:right w:val="nil"/>
                <w:between w:val="nil"/>
              </w:pBdr>
              <w:tabs>
                <w:tab w:val="center" w:pos="4677"/>
                <w:tab w:val="right" w:pos="9355"/>
              </w:tabs>
              <w:spacing w:before="240" w:after="24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Сума розрахованого податкового зобов’язання, що визначається відповідно до цього пункту відображається платниками податку-виробниками електричної енергії за «зеленим тарифом» в Розрахунку податкових зобов’язань з податку на прибуток підприємств, що є невід'ємною частиною податкової декларації з податку на прибуток підприємств і затверджується центральним органом виконавчої влади, що забезпечує формування та реалізує державну фінансову політику.</w:t>
            </w:r>
          </w:p>
          <w:p w:rsidR="00CA6C41" w:rsidRDefault="00FC4AC1">
            <w:pPr>
              <w:pBdr>
                <w:top w:val="nil"/>
                <w:left w:val="nil"/>
                <w:bottom w:val="nil"/>
                <w:right w:val="nil"/>
                <w:between w:val="nil"/>
              </w:pBdr>
              <w:tabs>
                <w:tab w:val="center" w:pos="4677"/>
                <w:tab w:val="right" w:pos="9355"/>
              </w:tabs>
              <w:spacing w:before="240" w:after="24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Платники податку-виробники електричної енергії за «зеленим тарифом», що визначають податкове зобов’язання з податку на прибуток відповідно до положень цього пункту, не застосовують різницю визначену абзацом третім підпункту 139.2.2 пункту 139.2 статті 139 цього Кодексу у разі списання безнадійної дебіторської заборгованості за </w:t>
            </w:r>
            <w:r>
              <w:rPr>
                <w:rFonts w:ascii="Times New Roman" w:eastAsia="Times New Roman" w:hAnsi="Times New Roman" w:cs="Times New Roman"/>
                <w:b/>
                <w:sz w:val="28"/>
                <w:szCs w:val="28"/>
              </w:rPr>
              <w:lastRenderedPageBreak/>
              <w:t xml:space="preserve">електричну енергію за «зеленим тарифом», що сформувалась за неоплачену електричну енергії за «зеленим тарифом» реалізовану в період визначений в абзаці першому цього пункту. </w:t>
            </w:r>
          </w:p>
          <w:p w:rsidR="00CA6C41" w:rsidRDefault="00FC4AC1">
            <w:pPr>
              <w:pBdr>
                <w:top w:val="nil"/>
                <w:left w:val="nil"/>
                <w:bottom w:val="nil"/>
                <w:right w:val="nil"/>
                <w:between w:val="nil"/>
              </w:pBdr>
              <w:tabs>
                <w:tab w:val="center" w:pos="4677"/>
                <w:tab w:val="right" w:pos="9355"/>
              </w:tabs>
              <w:spacing w:before="240" w:after="240" w:line="240" w:lineRule="auto"/>
              <w:ind w:firstLine="3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Положення цього пункту не поширюються на податкові зобов’язання, що розраховуються відповідно до статті 39-2 та пункту 141.4 статті 141 цього Кодексу.  </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center" w:pos="4677"/>
                <w:tab w:val="right" w:pos="9355"/>
              </w:tabs>
              <w:spacing w:before="120" w:after="120" w:line="240" w:lineRule="auto"/>
              <w:ind w:firstLine="3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Підрозділ 5. Особливості застосування ставок акцизного податку та екологічного податку</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20" w:after="120" w:line="240" w:lineRule="auto"/>
              <w:ind w:firstLine="3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Підрозділ 5. Особливості застосування ставок акцизного податку та екологічного податку</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 Тимчасово, до 31 грудня 2029 року включно, встановити, що місячний обсяг (у кількісному виразі виключно у четвертому кварталі кожного року) продажу марок акцизного податку підприємству - виробнику 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w:t>
            </w:r>
            <w:r>
              <w:rPr>
                <w:rFonts w:ascii="Times New Roman" w:eastAsia="Times New Roman" w:hAnsi="Times New Roman" w:cs="Times New Roman"/>
                <w:b/>
                <w:sz w:val="28"/>
                <w:szCs w:val="28"/>
              </w:rPr>
              <w:t>цим</w:t>
            </w:r>
            <w:r>
              <w:rPr>
                <w:rFonts w:ascii="Times New Roman" w:eastAsia="Times New Roman" w:hAnsi="Times New Roman" w:cs="Times New Roman"/>
                <w:sz w:val="28"/>
                <w:szCs w:val="28"/>
              </w:rPr>
              <w:t xml:space="preserve"> підприємством - виробником або імпортером за попередні </w:t>
            </w:r>
            <w:r>
              <w:rPr>
                <w:rFonts w:ascii="Times New Roman" w:eastAsia="Times New Roman" w:hAnsi="Times New Roman" w:cs="Times New Roman"/>
                <w:b/>
                <w:sz w:val="28"/>
                <w:szCs w:val="28"/>
              </w:rPr>
              <w:t>три календарні</w:t>
            </w:r>
            <w:r>
              <w:rPr>
                <w:rFonts w:ascii="Times New Roman" w:eastAsia="Times New Roman" w:hAnsi="Times New Roman" w:cs="Times New Roman"/>
                <w:sz w:val="28"/>
                <w:szCs w:val="28"/>
              </w:rPr>
              <w:t xml:space="preserve"> місяці.</w:t>
            </w:r>
          </w:p>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p w:rsidR="00CA6C41" w:rsidRDefault="00CA6C4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CA6C4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Положення, передбачене </w:t>
            </w:r>
            <w:r>
              <w:rPr>
                <w:rFonts w:ascii="Times New Roman" w:eastAsia="Times New Roman" w:hAnsi="Times New Roman" w:cs="Times New Roman"/>
                <w:b/>
                <w:sz w:val="28"/>
                <w:szCs w:val="28"/>
              </w:rPr>
              <w:t>абзацом першим цього пункту</w:t>
            </w:r>
            <w:r>
              <w:rPr>
                <w:rFonts w:ascii="Times New Roman" w:eastAsia="Times New Roman" w:hAnsi="Times New Roman" w:cs="Times New Roman"/>
                <w:sz w:val="28"/>
                <w:szCs w:val="28"/>
              </w:rPr>
              <w:t xml:space="preserve">, поширюється лише на підприємства, </w:t>
            </w:r>
            <w:r>
              <w:rPr>
                <w:rFonts w:ascii="Times New Roman" w:eastAsia="Times New Roman" w:hAnsi="Times New Roman" w:cs="Times New Roman"/>
                <w:b/>
                <w:sz w:val="28"/>
                <w:szCs w:val="28"/>
              </w:rPr>
              <w:t>які провадять діяльність із виробництва та/або імпорту тютюнових виробів більше 12 місяців та</w:t>
            </w:r>
            <w:r>
              <w:rPr>
                <w:rFonts w:ascii="Times New Roman" w:eastAsia="Times New Roman" w:hAnsi="Times New Roman" w:cs="Times New Roman"/>
                <w:sz w:val="28"/>
                <w:szCs w:val="28"/>
              </w:rPr>
              <w:t xml:space="preserve"> обсяг придбання марок акцизного податку якими протягом поточного місяця перевищує 1 мільйон штук.</w:t>
            </w:r>
          </w:p>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16. Тимчасово, до 31 грудня 2029 року включно, встановити:</w:t>
            </w:r>
          </w:p>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протягом трьох звітних місяців поспіль, що передують місяцю, в якому підвищуються ставки акцизного податку на тютюнові вироби,</w:t>
            </w:r>
            <w:r>
              <w:rPr>
                <w:rFonts w:ascii="Times New Roman" w:eastAsia="Times New Roman" w:hAnsi="Times New Roman" w:cs="Times New Roman"/>
                <w:sz w:val="28"/>
                <w:szCs w:val="28"/>
              </w:rPr>
              <w:t xml:space="preserve"> середньомісячний обсяг продажу марок акцизного податку підприємству - виробнику </w:t>
            </w:r>
            <w:r>
              <w:rPr>
                <w:rFonts w:ascii="Times New Roman" w:eastAsia="Times New Roman" w:hAnsi="Times New Roman" w:cs="Times New Roman"/>
                <w:b/>
                <w:sz w:val="28"/>
                <w:szCs w:val="28"/>
              </w:rPr>
              <w:t>та/</w:t>
            </w:r>
            <w:r>
              <w:rPr>
                <w:rFonts w:ascii="Times New Roman" w:eastAsia="Times New Roman" w:hAnsi="Times New Roman" w:cs="Times New Roman"/>
                <w:sz w:val="28"/>
                <w:szCs w:val="28"/>
              </w:rPr>
              <w:t xml:space="preserve">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w:t>
            </w:r>
            <w:r>
              <w:rPr>
                <w:rFonts w:ascii="Times New Roman" w:eastAsia="Times New Roman" w:hAnsi="Times New Roman" w:cs="Times New Roman"/>
                <w:b/>
                <w:sz w:val="28"/>
                <w:szCs w:val="28"/>
              </w:rPr>
              <w:t>таким</w:t>
            </w:r>
            <w:r>
              <w:rPr>
                <w:rFonts w:ascii="Times New Roman" w:eastAsia="Times New Roman" w:hAnsi="Times New Roman" w:cs="Times New Roman"/>
                <w:sz w:val="28"/>
                <w:szCs w:val="28"/>
              </w:rPr>
              <w:t xml:space="preserve"> підприємством - виробником </w:t>
            </w:r>
            <w:r>
              <w:rPr>
                <w:rFonts w:ascii="Times New Roman" w:eastAsia="Times New Roman" w:hAnsi="Times New Roman" w:cs="Times New Roman"/>
                <w:b/>
                <w:sz w:val="28"/>
                <w:szCs w:val="28"/>
              </w:rPr>
              <w:t>та/</w:t>
            </w:r>
            <w:r>
              <w:rPr>
                <w:rFonts w:ascii="Times New Roman" w:eastAsia="Times New Roman" w:hAnsi="Times New Roman" w:cs="Times New Roman"/>
                <w:sz w:val="28"/>
                <w:szCs w:val="28"/>
              </w:rPr>
              <w:t xml:space="preserve">або імпортером за попередні </w:t>
            </w:r>
            <w:r>
              <w:rPr>
                <w:rFonts w:ascii="Times New Roman" w:eastAsia="Times New Roman" w:hAnsi="Times New Roman" w:cs="Times New Roman"/>
                <w:b/>
                <w:sz w:val="28"/>
                <w:szCs w:val="28"/>
              </w:rPr>
              <w:t>шість календарних</w:t>
            </w:r>
            <w:r>
              <w:rPr>
                <w:rFonts w:ascii="Times New Roman" w:eastAsia="Times New Roman" w:hAnsi="Times New Roman" w:cs="Times New Roman"/>
                <w:sz w:val="28"/>
                <w:szCs w:val="28"/>
              </w:rPr>
              <w:t xml:space="preserve"> місяці</w:t>
            </w:r>
            <w:r>
              <w:rPr>
                <w:rFonts w:ascii="Times New Roman" w:eastAsia="Times New Roman" w:hAnsi="Times New Roman" w:cs="Times New Roman"/>
                <w:b/>
                <w:sz w:val="28"/>
                <w:szCs w:val="28"/>
              </w:rPr>
              <w:t>в</w:t>
            </w:r>
            <w:r>
              <w:rPr>
                <w:rFonts w:ascii="Times New Roman" w:eastAsia="Times New Roman" w:hAnsi="Times New Roman" w:cs="Times New Roman"/>
                <w:sz w:val="28"/>
                <w:szCs w:val="28"/>
              </w:rPr>
              <w:t>;</w:t>
            </w:r>
          </w:p>
          <w:p w:rsidR="00CA6C41" w:rsidRDefault="00CA6C41">
            <w:pPr>
              <w:pBdr>
                <w:top w:val="nil"/>
                <w:left w:val="nil"/>
                <w:bottom w:val="nil"/>
                <w:right w:val="nil"/>
                <w:between w:val="nil"/>
              </w:pBdr>
              <w:spacing w:after="0" w:line="276" w:lineRule="auto"/>
              <w:ind w:firstLine="46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76" w:lineRule="auto"/>
              <w:ind w:firstLine="3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протягом трьох звітних місяців поспіль, що передують місяцю, в якому підвищуються ставки акцизного податку на тютюнові вироби, з обсягів  реалізації на митній території України тютюнових виробів виробниками та/або ввезення на </w:t>
            </w:r>
            <w:r>
              <w:rPr>
                <w:rFonts w:ascii="Times New Roman" w:eastAsia="Times New Roman" w:hAnsi="Times New Roman" w:cs="Times New Roman"/>
                <w:b/>
                <w:sz w:val="28"/>
                <w:szCs w:val="28"/>
              </w:rPr>
              <w:lastRenderedPageBreak/>
              <w:t>митну територію України імпортерами, що перевищує 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за попередні шість місяців (що передують</w:t>
            </w:r>
            <w:r>
              <w:rPr>
                <w:rFonts w:ascii="Times New Roman" w:eastAsia="Times New Roman" w:hAnsi="Times New Roman" w:cs="Times New Roman"/>
                <w:b/>
                <w:sz w:val="28"/>
                <w:szCs w:val="28"/>
                <w:u w:val="single"/>
              </w:rPr>
              <w:t xml:space="preserve"> </w:t>
            </w:r>
            <w:r>
              <w:rPr>
                <w:rFonts w:ascii="Times New Roman" w:eastAsia="Times New Roman" w:hAnsi="Times New Roman" w:cs="Times New Roman"/>
                <w:b/>
                <w:sz w:val="28"/>
                <w:szCs w:val="28"/>
              </w:rPr>
              <w:t>трьом звітним місяцям поспіль, що передують місяцю, в якому підвищуються ставки акцизного податку на тютюнові вироби), акцизний податок сплачується із застосуванням коефіцієнта 1,5.</w:t>
            </w:r>
          </w:p>
          <w:p w:rsidR="00CA6C41" w:rsidRDefault="00CA6C41">
            <w:pPr>
              <w:pBdr>
                <w:top w:val="nil"/>
                <w:left w:val="nil"/>
                <w:bottom w:val="nil"/>
                <w:right w:val="nil"/>
                <w:between w:val="nil"/>
              </w:pBdr>
              <w:spacing w:before="240" w:after="0" w:line="276" w:lineRule="auto"/>
              <w:ind w:firstLine="340"/>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before="240" w:after="0"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CA6C41" w:rsidRDefault="00CA6C41">
            <w:pPr>
              <w:pBdr>
                <w:top w:val="nil"/>
                <w:left w:val="nil"/>
                <w:bottom w:val="nil"/>
                <w:right w:val="nil"/>
                <w:between w:val="nil"/>
              </w:pBdr>
              <w:spacing w:before="240" w:after="200" w:line="276" w:lineRule="auto"/>
              <w:jc w:val="both"/>
              <w:rPr>
                <w:rFonts w:ascii="Times New Roman" w:eastAsia="Times New Roman" w:hAnsi="Times New Roman" w:cs="Times New Roman"/>
                <w:sz w:val="28"/>
                <w:szCs w:val="28"/>
              </w:rPr>
            </w:pPr>
          </w:p>
        </w:tc>
      </w:tr>
      <w:tr w:rsidR="00CA6C41">
        <w:tc>
          <w:tcPr>
            <w:tcW w:w="7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76" w:lineRule="auto"/>
              <w:ind w:firstLine="4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17. Тимчасово, з 1 січня 2021 року до 31 грудня 2024 року включно, встановити ставки акцизного податку на такі товари:</w:t>
            </w:r>
          </w:p>
          <w:p w:rsidR="00CA6C41" w:rsidRDefault="00FC4AC1">
            <w:pPr>
              <w:spacing w:before="240" w:after="240" w:line="276" w:lineRule="auto"/>
              <w:ind w:firstLine="4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 тютюнові вироби, тютюн та промислові замінники тютюну:</w:t>
            </w:r>
          </w:p>
          <w:tbl>
            <w:tblPr>
              <w:tblStyle w:val="affffffff8"/>
              <w:tblW w:w="112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65"/>
              <w:gridCol w:w="1365"/>
              <w:gridCol w:w="1035"/>
              <w:gridCol w:w="1050"/>
              <w:gridCol w:w="855"/>
              <w:gridCol w:w="990"/>
              <w:gridCol w:w="4920"/>
            </w:tblGrid>
            <w:tr w:rsidR="00CA6C41">
              <w:trPr>
                <w:trHeight w:val="1980"/>
              </w:trPr>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000099"/>
                      <w:sz w:val="28"/>
                      <w:szCs w:val="28"/>
                      <w:u w:val="single"/>
                    </w:rPr>
                  </w:pPr>
                  <w:r>
                    <w:rPr>
                      <w:rFonts w:ascii="Times New Roman" w:eastAsia="Times New Roman" w:hAnsi="Times New Roman" w:cs="Times New Roman"/>
                      <w:color w:val="333333"/>
                      <w:sz w:val="28"/>
                      <w:szCs w:val="28"/>
                    </w:rPr>
                    <w:lastRenderedPageBreak/>
                    <w:t>Код товару (продукції) згідно з</w:t>
                  </w:r>
                  <w:hyperlink r:id="rId110" w:anchor="n579">
                    <w:r>
                      <w:rPr>
                        <w:rFonts w:ascii="Times New Roman" w:eastAsia="Times New Roman" w:hAnsi="Times New Roman" w:cs="Times New Roman"/>
                        <w:color w:val="333333"/>
                        <w:sz w:val="28"/>
                        <w:szCs w:val="28"/>
                      </w:rPr>
                      <w:t xml:space="preserve"> </w:t>
                    </w:r>
                  </w:hyperlink>
                  <w:hyperlink r:id="rId111" w:anchor="n579">
                    <w:r>
                      <w:rPr>
                        <w:rFonts w:ascii="Times New Roman" w:eastAsia="Times New Roman" w:hAnsi="Times New Roman" w:cs="Times New Roman"/>
                        <w:color w:val="000099"/>
                        <w:sz w:val="28"/>
                        <w:szCs w:val="28"/>
                        <w:u w:val="single"/>
                      </w:rPr>
                      <w:t>УКТ ЗЕД</w:t>
                    </w:r>
                  </w:hyperlink>
                </w:p>
              </w:tc>
              <w:tc>
                <w:tcPr>
                  <w:tcW w:w="136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000099"/>
                      <w:sz w:val="28"/>
                      <w:szCs w:val="28"/>
                      <w:u w:val="single"/>
                    </w:rPr>
                  </w:pPr>
                  <w:r>
                    <w:rPr>
                      <w:rFonts w:ascii="Times New Roman" w:eastAsia="Times New Roman" w:hAnsi="Times New Roman" w:cs="Times New Roman"/>
                      <w:color w:val="333333"/>
                      <w:sz w:val="28"/>
                      <w:szCs w:val="28"/>
                    </w:rPr>
                    <w:t>Опис товару (продукції) згідно з</w:t>
                  </w:r>
                  <w:hyperlink r:id="rId112" w:anchor="n579">
                    <w:r>
                      <w:rPr>
                        <w:rFonts w:ascii="Times New Roman" w:eastAsia="Times New Roman" w:hAnsi="Times New Roman" w:cs="Times New Roman"/>
                        <w:color w:val="333333"/>
                        <w:sz w:val="28"/>
                        <w:szCs w:val="28"/>
                      </w:rPr>
                      <w:t xml:space="preserve"> </w:t>
                    </w:r>
                  </w:hyperlink>
                  <w:hyperlink r:id="rId113" w:anchor="n579">
                    <w:r>
                      <w:rPr>
                        <w:rFonts w:ascii="Times New Roman" w:eastAsia="Times New Roman" w:hAnsi="Times New Roman" w:cs="Times New Roman"/>
                        <w:color w:val="000099"/>
                        <w:sz w:val="28"/>
                        <w:szCs w:val="28"/>
                        <w:u w:val="single"/>
                      </w:rPr>
                      <w:t>УКТ ЗЕД</w:t>
                    </w:r>
                  </w:hyperlink>
                </w:p>
              </w:tc>
              <w:tc>
                <w:tcPr>
                  <w:tcW w:w="103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Одиниця виміру</w:t>
                  </w:r>
                </w:p>
              </w:tc>
              <w:tc>
                <w:tcPr>
                  <w:tcW w:w="105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Ставки податку</w:t>
                  </w:r>
                </w:p>
                <w:p w:rsidR="00CA6C41" w:rsidRDefault="00CA6C41">
                  <w:pPr>
                    <w:spacing w:before="320" w:after="320" w:line="276" w:lineRule="auto"/>
                    <w:jc w:val="center"/>
                    <w:rPr>
                      <w:rFonts w:ascii="Times New Roman" w:eastAsia="Times New Roman" w:hAnsi="Times New Roman" w:cs="Times New Roman"/>
                      <w:color w:val="333333"/>
                      <w:sz w:val="28"/>
                      <w:szCs w:val="28"/>
                    </w:rPr>
                  </w:pPr>
                </w:p>
                <w:p w:rsidR="00CA6C41" w:rsidRDefault="00CA6C41">
                  <w:pPr>
                    <w:spacing w:before="320" w:after="320" w:line="276" w:lineRule="auto"/>
                    <w:jc w:val="center"/>
                    <w:rPr>
                      <w:rFonts w:ascii="Times New Roman" w:eastAsia="Times New Roman" w:hAnsi="Times New Roman" w:cs="Times New Roman"/>
                      <w:color w:val="333333"/>
                      <w:sz w:val="28"/>
                      <w:szCs w:val="28"/>
                    </w:rPr>
                  </w:pPr>
                </w:p>
                <w:p w:rsidR="00CA6C41" w:rsidRDefault="00CA6C41">
                  <w:pPr>
                    <w:spacing w:before="320" w:after="320" w:line="276" w:lineRule="auto"/>
                    <w:jc w:val="center"/>
                    <w:rPr>
                      <w:rFonts w:ascii="Times New Roman" w:eastAsia="Times New Roman" w:hAnsi="Times New Roman" w:cs="Times New Roman"/>
                      <w:color w:val="333333"/>
                      <w:sz w:val="28"/>
                      <w:szCs w:val="28"/>
                    </w:rPr>
                  </w:pPr>
                </w:p>
                <w:p w:rsidR="00CA6C41" w:rsidRDefault="00CA6C41">
                  <w:pPr>
                    <w:spacing w:before="320" w:after="320" w:line="276" w:lineRule="auto"/>
                    <w:jc w:val="center"/>
                    <w:rPr>
                      <w:rFonts w:ascii="Times New Roman" w:eastAsia="Times New Roman" w:hAnsi="Times New Roman" w:cs="Times New Roman"/>
                      <w:color w:val="333333"/>
                      <w:sz w:val="28"/>
                      <w:szCs w:val="28"/>
                    </w:rPr>
                  </w:pPr>
                </w:p>
              </w:tc>
              <w:tc>
                <w:tcPr>
                  <w:tcW w:w="85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240" w:after="0" w:line="276" w:lineRule="auto"/>
                    <w:ind w:firstLine="460"/>
                    <w:jc w:val="both"/>
                    <w:rPr>
                      <w:rFonts w:ascii="Times New Roman" w:eastAsia="Times New Roman" w:hAnsi="Times New Roman" w:cs="Times New Roman"/>
                      <w:sz w:val="28"/>
                      <w:szCs w:val="28"/>
                    </w:rPr>
                  </w:pPr>
                </w:p>
              </w:tc>
              <w:tc>
                <w:tcPr>
                  <w:tcW w:w="99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center"/>
                    <w:rPr>
                      <w:rFonts w:ascii="Times New Roman" w:eastAsia="Times New Roman" w:hAnsi="Times New Roman" w:cs="Times New Roman"/>
                      <w:sz w:val="28"/>
                      <w:szCs w:val="28"/>
                    </w:rPr>
                  </w:pPr>
                </w:p>
              </w:tc>
              <w:tc>
                <w:tcPr>
                  <w:tcW w:w="492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center"/>
                    <w:rPr>
                      <w:rFonts w:ascii="Times New Roman" w:eastAsia="Times New Roman" w:hAnsi="Times New Roman" w:cs="Times New Roman"/>
                      <w:sz w:val="28"/>
                      <w:szCs w:val="28"/>
                    </w:rPr>
                  </w:pPr>
                </w:p>
              </w:tc>
            </w:tr>
            <w:tr w:rsidR="00CA6C41">
              <w:trPr>
                <w:trHeight w:val="3120"/>
              </w:trPr>
              <w:tc>
                <w:tcPr>
                  <w:tcW w:w="10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center"/>
                    <w:rPr>
                      <w:rFonts w:ascii="Times New Roman" w:eastAsia="Times New Roman" w:hAnsi="Times New Roman" w:cs="Times New Roman"/>
                      <w:sz w:val="28"/>
                      <w:szCs w:val="28"/>
                    </w:rPr>
                  </w:pP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center"/>
                    <w:rPr>
                      <w:rFonts w:ascii="Times New Roman" w:eastAsia="Times New Roman" w:hAnsi="Times New Roman" w:cs="Times New Roman"/>
                      <w:sz w:val="28"/>
                      <w:szCs w:val="28"/>
                    </w:rPr>
                  </w:pP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center"/>
                    <w:rPr>
                      <w:rFonts w:ascii="Times New Roman" w:eastAsia="Times New Roman" w:hAnsi="Times New Roman" w:cs="Times New Roman"/>
                      <w:sz w:val="28"/>
                      <w:szCs w:val="28"/>
                    </w:rPr>
                  </w:pPr>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з 1 січня 2021 року по 31 грудня 2021 року</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з 1 січня 2022 року по 31 грудня 2022 року</w:t>
                  </w:r>
                </w:p>
              </w:tc>
              <w:tc>
                <w:tcPr>
                  <w:tcW w:w="9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з 1 січня 2023 року по 31 грудня 2023 року</w:t>
                  </w:r>
                </w:p>
              </w:tc>
              <w:tc>
                <w:tcPr>
                  <w:tcW w:w="4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ind w:right="3585"/>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з 1 січня 2024 року по 31 грудня 2024 року</w:t>
                  </w:r>
                </w:p>
              </w:tc>
            </w:tr>
            <w:tr w:rsidR="00CA6C41">
              <w:trPr>
                <w:trHeight w:val="2805"/>
              </w:trPr>
              <w:tc>
                <w:tcPr>
                  <w:tcW w:w="10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2401</w:t>
                  </w: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Тютюнова сировина Тютюнові відходи</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гривень за 1 кілограм (нетто)*</w:t>
                  </w: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1367,71</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1641,26</w:t>
                  </w:r>
                </w:p>
              </w:tc>
              <w:tc>
                <w:tcPr>
                  <w:tcW w:w="9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1969,51</w:t>
                  </w:r>
                </w:p>
              </w:tc>
              <w:tc>
                <w:tcPr>
                  <w:tcW w:w="4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ind w:right="3859"/>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2363,4</w:t>
                  </w:r>
                </w:p>
              </w:tc>
            </w:tr>
            <w:tr w:rsidR="00CA6C41">
              <w:trPr>
                <w:trHeight w:val="6765"/>
              </w:trPr>
              <w:tc>
                <w:tcPr>
                  <w:tcW w:w="10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lastRenderedPageBreak/>
                    <w:t>Норма відсутня</w:t>
                  </w: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240" w:after="0" w:line="276" w:lineRule="auto"/>
                    <w:ind w:firstLine="460"/>
                    <w:jc w:val="both"/>
                    <w:rPr>
                      <w:rFonts w:ascii="Times New Roman" w:eastAsia="Times New Roman" w:hAnsi="Times New Roman" w:cs="Times New Roman"/>
                      <w:sz w:val="28"/>
                      <w:szCs w:val="28"/>
                    </w:rPr>
                  </w:pP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both"/>
                    <w:rPr>
                      <w:rFonts w:ascii="Times New Roman" w:eastAsia="Times New Roman" w:hAnsi="Times New Roman" w:cs="Times New Roman"/>
                      <w:sz w:val="28"/>
                      <w:szCs w:val="28"/>
                    </w:rPr>
                  </w:pPr>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both"/>
                    <w:rPr>
                      <w:rFonts w:ascii="Times New Roman" w:eastAsia="Times New Roman" w:hAnsi="Times New Roman" w:cs="Times New Roman"/>
                      <w:sz w:val="28"/>
                      <w:szCs w:val="28"/>
                    </w:rPr>
                  </w:pP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both"/>
                    <w:rPr>
                      <w:rFonts w:ascii="Times New Roman" w:eastAsia="Times New Roman" w:hAnsi="Times New Roman" w:cs="Times New Roman"/>
                      <w:sz w:val="28"/>
                      <w:szCs w:val="28"/>
                    </w:rPr>
                  </w:pPr>
                </w:p>
              </w:tc>
              <w:tc>
                <w:tcPr>
                  <w:tcW w:w="9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both"/>
                    <w:rPr>
                      <w:rFonts w:ascii="Times New Roman" w:eastAsia="Times New Roman" w:hAnsi="Times New Roman" w:cs="Times New Roman"/>
                      <w:sz w:val="28"/>
                      <w:szCs w:val="28"/>
                    </w:rPr>
                  </w:pPr>
                </w:p>
              </w:tc>
              <w:tc>
                <w:tcPr>
                  <w:tcW w:w="4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both"/>
                    <w:rPr>
                      <w:rFonts w:ascii="Times New Roman" w:eastAsia="Times New Roman" w:hAnsi="Times New Roman" w:cs="Times New Roman"/>
                      <w:sz w:val="28"/>
                      <w:szCs w:val="28"/>
                    </w:rPr>
                  </w:pPr>
                </w:p>
              </w:tc>
            </w:tr>
            <w:tr w:rsidR="00CA6C41">
              <w:trPr>
                <w:trHeight w:val="8190"/>
              </w:trPr>
              <w:tc>
                <w:tcPr>
                  <w:tcW w:w="10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w:t>
                  </w:r>
                </w:p>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2403 (крім 2403 99 90 10 - тютюновмісні вироби для електричного нагрівання (ТВЕН) за допомогою підігрівача з електронним </w:t>
                  </w:r>
                  <w:r>
                    <w:rPr>
                      <w:rFonts w:ascii="Times New Roman" w:eastAsia="Times New Roman" w:hAnsi="Times New Roman" w:cs="Times New Roman"/>
                      <w:color w:val="333333"/>
                      <w:sz w:val="28"/>
                      <w:szCs w:val="28"/>
                    </w:rPr>
                    <w:lastRenderedPageBreak/>
                    <w:t>управлінням)</w:t>
                  </w: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p w:rsidR="00CA6C41" w:rsidRDefault="00CA6C41">
                  <w:pPr>
                    <w:spacing w:before="240" w:after="240" w:line="276" w:lineRule="auto"/>
                    <w:jc w:val="both"/>
                    <w:rPr>
                      <w:rFonts w:ascii="Times New Roman" w:eastAsia="Times New Roman" w:hAnsi="Times New Roman" w:cs="Times New Roman"/>
                      <w:sz w:val="28"/>
                      <w:szCs w:val="28"/>
                    </w:rPr>
                  </w:pP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Тютюн та замінники тютюну, інші, промислового виробництва; тютюн "гомогенізований" або "відновлений"; тютюнові екстракти та есенції</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гривень за 1 кілограм (нетто)*</w:t>
                  </w:r>
                </w:p>
              </w:tc>
              <w:tc>
                <w:tcPr>
                  <w:tcW w:w="10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1367,71</w:t>
                  </w:r>
                </w:p>
              </w:tc>
              <w:tc>
                <w:tcPr>
                  <w:tcW w:w="8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1641,26</w:t>
                  </w:r>
                </w:p>
              </w:tc>
              <w:tc>
                <w:tcPr>
                  <w:tcW w:w="9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1969,51</w:t>
                  </w:r>
                </w:p>
              </w:tc>
              <w:tc>
                <w:tcPr>
                  <w:tcW w:w="49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ind w:right="3717"/>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2363,40</w:t>
                  </w:r>
                </w:p>
              </w:tc>
            </w:tr>
          </w:tbl>
          <w:p w:rsidR="00CA6C41" w:rsidRDefault="00CA6C41">
            <w:pPr>
              <w:spacing w:before="240" w:after="0" w:line="276" w:lineRule="auto"/>
              <w:ind w:firstLine="460"/>
              <w:jc w:val="both"/>
              <w:rPr>
                <w:rFonts w:ascii="Times New Roman" w:eastAsia="Times New Roman" w:hAnsi="Times New Roman" w:cs="Times New Roman"/>
                <w:sz w:val="28"/>
                <w:szCs w:val="28"/>
              </w:rPr>
            </w:pPr>
          </w:p>
        </w:tc>
        <w:tc>
          <w:tcPr>
            <w:tcW w:w="80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before="240" w:after="240" w:line="276" w:lineRule="auto"/>
              <w:ind w:firstLine="4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17. Тимчасово, з 1 січня 2021 року до 31 грудня 2024 року включно, встановити ставки акцизного податку на такі товари:</w:t>
            </w:r>
          </w:p>
          <w:p w:rsidR="00CA6C41" w:rsidRDefault="00FC4AC1">
            <w:pPr>
              <w:spacing w:before="240" w:after="240" w:line="276" w:lineRule="auto"/>
              <w:ind w:firstLine="4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 тютюнові вироби, тютюн та промислові замінники тютюну:</w:t>
            </w:r>
          </w:p>
          <w:p w:rsidR="00CA6C41" w:rsidRDefault="00CA6C41">
            <w:pPr>
              <w:spacing w:before="240" w:after="240" w:line="276" w:lineRule="auto"/>
              <w:ind w:firstLine="460"/>
              <w:jc w:val="both"/>
              <w:rPr>
                <w:rFonts w:ascii="Times New Roman" w:eastAsia="Times New Roman" w:hAnsi="Times New Roman" w:cs="Times New Roman"/>
                <w:color w:val="333333"/>
                <w:sz w:val="28"/>
                <w:szCs w:val="28"/>
              </w:rPr>
            </w:pPr>
          </w:p>
          <w:tbl>
            <w:tblPr>
              <w:tblStyle w:val="affffffff9"/>
              <w:tblW w:w="72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55"/>
              <w:gridCol w:w="1755"/>
              <w:gridCol w:w="990"/>
              <w:gridCol w:w="1020"/>
              <w:gridCol w:w="990"/>
              <w:gridCol w:w="810"/>
              <w:gridCol w:w="825"/>
            </w:tblGrid>
            <w:tr w:rsidR="00CA6C41">
              <w:trPr>
                <w:trHeight w:val="1980"/>
              </w:trPr>
              <w:tc>
                <w:tcPr>
                  <w:tcW w:w="8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000099"/>
                      <w:sz w:val="28"/>
                      <w:szCs w:val="28"/>
                      <w:u w:val="single"/>
                    </w:rPr>
                  </w:pPr>
                  <w:r>
                    <w:rPr>
                      <w:rFonts w:ascii="Times New Roman" w:eastAsia="Times New Roman" w:hAnsi="Times New Roman" w:cs="Times New Roman"/>
                      <w:color w:val="333333"/>
                      <w:sz w:val="28"/>
                      <w:szCs w:val="28"/>
                    </w:rPr>
                    <w:lastRenderedPageBreak/>
                    <w:t>Код товару (продукції) згідно з</w:t>
                  </w:r>
                  <w:hyperlink r:id="rId114" w:anchor="n579">
                    <w:r>
                      <w:rPr>
                        <w:rFonts w:ascii="Times New Roman" w:eastAsia="Times New Roman" w:hAnsi="Times New Roman" w:cs="Times New Roman"/>
                        <w:color w:val="333333"/>
                        <w:sz w:val="28"/>
                        <w:szCs w:val="28"/>
                      </w:rPr>
                      <w:t xml:space="preserve"> </w:t>
                    </w:r>
                  </w:hyperlink>
                  <w:hyperlink r:id="rId115" w:anchor="n579">
                    <w:r>
                      <w:rPr>
                        <w:rFonts w:ascii="Times New Roman" w:eastAsia="Times New Roman" w:hAnsi="Times New Roman" w:cs="Times New Roman"/>
                        <w:color w:val="000099"/>
                        <w:sz w:val="28"/>
                        <w:szCs w:val="28"/>
                        <w:u w:val="single"/>
                      </w:rPr>
                      <w:t>УКТ ЗЕД</w:t>
                    </w:r>
                  </w:hyperlink>
                </w:p>
              </w:tc>
              <w:tc>
                <w:tcPr>
                  <w:tcW w:w="175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000099"/>
                      <w:sz w:val="28"/>
                      <w:szCs w:val="28"/>
                      <w:u w:val="single"/>
                    </w:rPr>
                  </w:pPr>
                  <w:r>
                    <w:rPr>
                      <w:rFonts w:ascii="Times New Roman" w:eastAsia="Times New Roman" w:hAnsi="Times New Roman" w:cs="Times New Roman"/>
                      <w:color w:val="333333"/>
                      <w:sz w:val="28"/>
                      <w:szCs w:val="28"/>
                    </w:rPr>
                    <w:t>Опис товару (продукції) згідно з</w:t>
                  </w:r>
                  <w:hyperlink r:id="rId116" w:anchor="n579">
                    <w:r>
                      <w:rPr>
                        <w:rFonts w:ascii="Times New Roman" w:eastAsia="Times New Roman" w:hAnsi="Times New Roman" w:cs="Times New Roman"/>
                        <w:color w:val="333333"/>
                        <w:sz w:val="28"/>
                        <w:szCs w:val="28"/>
                      </w:rPr>
                      <w:t xml:space="preserve"> </w:t>
                    </w:r>
                  </w:hyperlink>
                  <w:hyperlink r:id="rId117" w:anchor="n579">
                    <w:r>
                      <w:rPr>
                        <w:rFonts w:ascii="Times New Roman" w:eastAsia="Times New Roman" w:hAnsi="Times New Roman" w:cs="Times New Roman"/>
                        <w:color w:val="000099"/>
                        <w:sz w:val="28"/>
                        <w:szCs w:val="28"/>
                        <w:u w:val="single"/>
                      </w:rPr>
                      <w:t>УКТ ЗЕД</w:t>
                    </w:r>
                  </w:hyperlink>
                </w:p>
              </w:tc>
              <w:tc>
                <w:tcPr>
                  <w:tcW w:w="99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Одиниця виміру</w:t>
                  </w:r>
                </w:p>
              </w:tc>
              <w:tc>
                <w:tcPr>
                  <w:tcW w:w="102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Ставки податку</w:t>
                  </w:r>
                </w:p>
              </w:tc>
              <w:tc>
                <w:tcPr>
                  <w:tcW w:w="99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240" w:after="0" w:line="276" w:lineRule="auto"/>
                    <w:ind w:firstLine="460"/>
                    <w:jc w:val="both"/>
                    <w:rPr>
                      <w:rFonts w:ascii="Times New Roman" w:eastAsia="Times New Roman" w:hAnsi="Times New Roman" w:cs="Times New Roman"/>
                      <w:sz w:val="28"/>
                      <w:szCs w:val="28"/>
                    </w:rPr>
                  </w:pPr>
                </w:p>
              </w:tc>
              <w:tc>
                <w:tcPr>
                  <w:tcW w:w="81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center"/>
                    <w:rPr>
                      <w:rFonts w:ascii="Times New Roman" w:eastAsia="Times New Roman" w:hAnsi="Times New Roman" w:cs="Times New Roman"/>
                      <w:sz w:val="28"/>
                      <w:szCs w:val="28"/>
                    </w:rPr>
                  </w:pPr>
                </w:p>
              </w:tc>
              <w:tc>
                <w:tcPr>
                  <w:tcW w:w="82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center"/>
                    <w:rPr>
                      <w:rFonts w:ascii="Times New Roman" w:eastAsia="Times New Roman" w:hAnsi="Times New Roman" w:cs="Times New Roman"/>
                      <w:sz w:val="28"/>
                      <w:szCs w:val="28"/>
                    </w:rPr>
                  </w:pPr>
                </w:p>
              </w:tc>
            </w:tr>
            <w:tr w:rsidR="00CA6C41">
              <w:trPr>
                <w:trHeight w:val="3120"/>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center"/>
                    <w:rPr>
                      <w:rFonts w:ascii="Times New Roman" w:eastAsia="Times New Roman" w:hAnsi="Times New Roman" w:cs="Times New Roman"/>
                      <w:sz w:val="28"/>
                      <w:szCs w:val="28"/>
                    </w:rPr>
                  </w:pP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center"/>
                    <w:rPr>
                      <w:rFonts w:ascii="Times New Roman" w:eastAsia="Times New Roman" w:hAnsi="Times New Roman" w:cs="Times New Roman"/>
                      <w:sz w:val="28"/>
                      <w:szCs w:val="28"/>
                    </w:rPr>
                  </w:pPr>
                </w:p>
              </w:tc>
              <w:tc>
                <w:tcPr>
                  <w:tcW w:w="9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CA6C41">
                  <w:pPr>
                    <w:spacing w:before="320" w:after="320" w:line="276" w:lineRule="auto"/>
                    <w:jc w:val="center"/>
                    <w:rPr>
                      <w:rFonts w:ascii="Times New Roman" w:eastAsia="Times New Roman" w:hAnsi="Times New Roman" w:cs="Times New Roman"/>
                      <w:sz w:val="28"/>
                      <w:szCs w:val="28"/>
                    </w:rPr>
                  </w:pPr>
                </w:p>
              </w:tc>
              <w:tc>
                <w:tcPr>
                  <w:tcW w:w="10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з 1 січня 2021 року по 31 грудня 2021 року</w:t>
                  </w:r>
                </w:p>
              </w:tc>
              <w:tc>
                <w:tcPr>
                  <w:tcW w:w="9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з 1 січня 2022 року по 31 грудня 2022 року</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з 1 січня 2023 року по 31 грудня 2023 року</w:t>
                  </w:r>
                </w:p>
              </w:tc>
              <w:tc>
                <w:tcPr>
                  <w:tcW w:w="8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з 1 січня 2024 року по 31 грудня 2024 року</w:t>
                  </w:r>
                </w:p>
              </w:tc>
            </w:tr>
            <w:tr w:rsidR="00CA6C41">
              <w:trPr>
                <w:trHeight w:val="2805"/>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2401</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Тютюнова сировина Тютюнові відходи</w:t>
                  </w:r>
                </w:p>
                <w:p w:rsidR="00CA6C41" w:rsidRDefault="00FC4AC1">
                  <w:pPr>
                    <w:spacing w:before="240" w:after="24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(крім тютюнових відходів (код згідно з УКТ ЗЕД 2401 30 00 00)</w:t>
                  </w:r>
                </w:p>
              </w:tc>
              <w:tc>
                <w:tcPr>
                  <w:tcW w:w="9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гривень за 1 кілограм (нетто)*</w:t>
                  </w:r>
                </w:p>
              </w:tc>
              <w:tc>
                <w:tcPr>
                  <w:tcW w:w="10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1367,71</w:t>
                  </w:r>
                </w:p>
              </w:tc>
              <w:tc>
                <w:tcPr>
                  <w:tcW w:w="9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1641,26</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1969,51</w:t>
                  </w:r>
                </w:p>
              </w:tc>
              <w:tc>
                <w:tcPr>
                  <w:tcW w:w="8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2363,4</w:t>
                  </w:r>
                </w:p>
              </w:tc>
            </w:tr>
            <w:tr w:rsidR="00CA6C41">
              <w:trPr>
                <w:trHeight w:val="8130"/>
              </w:trPr>
              <w:tc>
                <w:tcPr>
                  <w:tcW w:w="855" w:type="dxa"/>
                  <w:tcBorders>
                    <w:top w:val="nil"/>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2401 30 00 00</w:t>
                  </w:r>
                </w:p>
              </w:tc>
              <w:tc>
                <w:tcPr>
                  <w:tcW w:w="175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Тютюнові відходи</w:t>
                  </w:r>
                </w:p>
                <w:p w:rsidR="00CA6C41" w:rsidRDefault="00FC4AC1">
                  <w:pPr>
                    <w:spacing w:before="240" w:after="24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(крім відходів тютюну, призначених для продажу як тютюн для куріння або жувальний тютюн, нюхальний тютюн або тютюновий порошок, або такі, що пройшли обробку з метою використання як тютюну для куріння, жувального тютюну, </w:t>
                  </w:r>
                  <w:r>
                    <w:rPr>
                      <w:rFonts w:ascii="Times New Roman" w:eastAsia="Times New Roman" w:hAnsi="Times New Roman" w:cs="Times New Roman"/>
                      <w:b/>
                      <w:sz w:val="28"/>
                      <w:szCs w:val="28"/>
                    </w:rPr>
                    <w:lastRenderedPageBreak/>
                    <w:t>нюхального тютюну або тютюнового порошку або такі, що  використовуються  у виробництві тютюнових виробів (товарна позиція 2403 згідно УКТ ЗЕД)</w:t>
                  </w:r>
                </w:p>
              </w:tc>
              <w:tc>
                <w:tcPr>
                  <w:tcW w:w="990"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гривень за 1 кілограм (нетто)*</w:t>
                  </w:r>
                </w:p>
              </w:tc>
              <w:tc>
                <w:tcPr>
                  <w:tcW w:w="1020"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5,00</w:t>
                  </w:r>
                </w:p>
              </w:tc>
              <w:tc>
                <w:tcPr>
                  <w:tcW w:w="990"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5,00</w:t>
                  </w:r>
                </w:p>
              </w:tc>
              <w:tc>
                <w:tcPr>
                  <w:tcW w:w="810"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5,00</w:t>
                  </w:r>
                </w:p>
              </w:tc>
              <w:tc>
                <w:tcPr>
                  <w:tcW w:w="825"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rsidR="00CA6C41" w:rsidRDefault="00FC4AC1">
                  <w:pPr>
                    <w:spacing w:before="240" w:after="24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5,00</w:t>
                  </w:r>
                </w:p>
              </w:tc>
            </w:tr>
            <w:tr w:rsidR="00CA6C41">
              <w:trPr>
                <w:trHeight w:val="10740"/>
              </w:trPr>
              <w:tc>
                <w:tcPr>
                  <w:tcW w:w="8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w:t>
                  </w:r>
                </w:p>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2403 (крім 2403 99 90 10 - тютюновмісні вироби для електричного нагрівання (ТВЕН) за допомогою підіг</w:t>
                  </w:r>
                  <w:r>
                    <w:rPr>
                      <w:rFonts w:ascii="Times New Roman" w:eastAsia="Times New Roman" w:hAnsi="Times New Roman" w:cs="Times New Roman"/>
                      <w:color w:val="333333"/>
                      <w:sz w:val="28"/>
                      <w:szCs w:val="28"/>
                    </w:rPr>
                    <w:lastRenderedPageBreak/>
                    <w:t>рівача з електронним управлінням)</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Тютюн та замінники тютюну, інші, промислового виробництва; тютюн "гомогенізований" або "відновлений"; тютюнові екстракти та есенції</w:t>
                  </w:r>
                </w:p>
                <w:p w:rsidR="00CA6C41" w:rsidRDefault="00FC4AC1">
                  <w:pPr>
                    <w:spacing w:before="240" w:after="24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тому числі відходи тютюну, призначені для продажу як тютюн для куріння або </w:t>
                  </w:r>
                  <w:r>
                    <w:rPr>
                      <w:rFonts w:ascii="Times New Roman" w:eastAsia="Times New Roman" w:hAnsi="Times New Roman" w:cs="Times New Roman"/>
                      <w:b/>
                      <w:sz w:val="28"/>
                      <w:szCs w:val="28"/>
                    </w:rPr>
                    <w:lastRenderedPageBreak/>
                    <w:t xml:space="preserve">жувальний тютюн, нюхальний тютюн або тютюновий порошок, або такі, що пройшли обробку з метою використання як тютюну для куріння, жувального тютюну, нюхального тютюну або тютюнового порошку або такі, що  використовуються  у виробництві </w:t>
                  </w:r>
                  <w:r>
                    <w:rPr>
                      <w:rFonts w:ascii="Times New Roman" w:eastAsia="Times New Roman" w:hAnsi="Times New Roman" w:cs="Times New Roman"/>
                      <w:b/>
                      <w:sz w:val="28"/>
                      <w:szCs w:val="28"/>
                    </w:rPr>
                    <w:lastRenderedPageBreak/>
                    <w:t>тютюнових виробів)</w:t>
                  </w:r>
                </w:p>
              </w:tc>
              <w:tc>
                <w:tcPr>
                  <w:tcW w:w="9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гривень за 1 кілограм (нетто)*</w:t>
                  </w:r>
                </w:p>
              </w:tc>
              <w:tc>
                <w:tcPr>
                  <w:tcW w:w="10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1367,71</w:t>
                  </w:r>
                </w:p>
              </w:tc>
              <w:tc>
                <w:tcPr>
                  <w:tcW w:w="9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1641,26</w:t>
                  </w:r>
                </w:p>
              </w:tc>
              <w:tc>
                <w:tcPr>
                  <w:tcW w:w="8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1969,51</w:t>
                  </w:r>
                </w:p>
              </w:tc>
              <w:tc>
                <w:tcPr>
                  <w:tcW w:w="8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CA6C41" w:rsidRDefault="00FC4AC1">
                  <w:pPr>
                    <w:spacing w:before="320" w:after="320" w:line="276"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2363,40</w:t>
                  </w:r>
                </w:p>
              </w:tc>
            </w:tr>
          </w:tbl>
          <w:p w:rsidR="00CA6C41" w:rsidRDefault="00CA6C41">
            <w:pPr>
              <w:spacing w:before="240" w:after="0" w:line="276" w:lineRule="auto"/>
              <w:ind w:firstLine="460"/>
              <w:jc w:val="both"/>
              <w:rPr>
                <w:rFonts w:ascii="Times New Roman" w:eastAsia="Times New Roman" w:hAnsi="Times New Roman" w:cs="Times New Roman"/>
                <w:sz w:val="28"/>
                <w:szCs w:val="28"/>
              </w:rPr>
            </w:pP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Норма відсутня</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32. Установити, що ставка екологічного податку за викиди двоокису вуглецю, встановлена пунктом 243.4 статті 243 цього Кодексу, застосовується:</w:t>
            </w: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липня 2021 року до 31 грудня 2021 року (включно) у розмірі 15 гривень за 1 тонну;</w:t>
            </w: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січня 2022 року до 31 грудня 2022 року (включно) у розмірі 20 гривень за 1 тонну;</w:t>
            </w: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січня 2023 року до 31 грудня 2023 року (включно) у розмірі 25 гривень за 1 тонну.</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 відсутня</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33. Установити, що за податковими зобов’язаннями з екологічного податку, що виникли: </w:t>
            </w:r>
          </w:p>
          <w:p w:rsidR="00CA6C41" w:rsidRDefault="00FC4AC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липня 2021 по 31 грудня 2021 року включно ставки податку становлять 20 відсотків від ставок, передбачених у пунктах 245.1 та 245.2 статті 245 цього Кодексу;</w:t>
            </w:r>
          </w:p>
          <w:p w:rsidR="00CA6C41" w:rsidRDefault="00FC4AC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січня 2022 по 31 грудня 2022 року включно ставки податку становлять 30 відсотків від ставок, передбачених у пунктах 245.1 та 245.2 статті 245 цього Кодексу;</w:t>
            </w:r>
          </w:p>
          <w:p w:rsidR="00CA6C41" w:rsidRDefault="00FC4AC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січня 2023 по 31 грудня 2023 року включно ставки податку становлять 40 відсотків від ставок, передбачених у пунктах 245.1 та 245.2 статті 245 цього Кодексу;</w:t>
            </w:r>
          </w:p>
          <w:p w:rsidR="00CA6C41" w:rsidRDefault="00CA6C4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січня 2024 по 31 грудня 2024 року включно ставки податку становлять 50 відсотків від ставок, передбачених у пунктах 245.1 та 245.2 статті 245 цього Кодексу;</w:t>
            </w:r>
          </w:p>
          <w:p w:rsidR="00CA6C41" w:rsidRDefault="00FC4AC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січня 2025 по 31 грудня 2025 року включно ставки податку становлять 60 відсотків від ставок, передбачених у пунктах 245.1 та 245.2 статті 245 цього Кодексу;</w:t>
            </w:r>
          </w:p>
          <w:p w:rsidR="00CA6C41" w:rsidRDefault="00FC4AC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січня 2026 по 31 грудня 2026 року включно ставки податку становлять 70 відсотків від ставок, передбачених у пунктах 245.1 та 245.2 статті 245 цього Кодексу;</w:t>
            </w:r>
          </w:p>
          <w:p w:rsidR="00CA6C41" w:rsidRDefault="00FC4AC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 1 січня 2027 по 31 грудня 2027 року включно ставки податку становлять 80 відсотків від ставок, передбачених у пунктах 245.1 та 245.2 статті 245 цього Кодексу;</w:t>
            </w:r>
          </w:p>
          <w:p w:rsidR="00CA6C41" w:rsidRDefault="00FC4AC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січня 2028 по 31 грудня 2028 року включно ставки податку становлять 90 відсотків від ставок, передбачених у пунктах 245.1 та 245.2 статті 245 цього Кодексу;</w:t>
            </w:r>
          </w:p>
          <w:p w:rsidR="00CA6C41" w:rsidRDefault="00FC4AC1">
            <w:pPr>
              <w:pBdr>
                <w:top w:val="nil"/>
                <w:left w:val="nil"/>
                <w:bottom w:val="nil"/>
                <w:right w:val="nil"/>
                <w:between w:val="nil"/>
              </w:pBdr>
              <w:spacing w:after="0" w:line="240" w:lineRule="auto"/>
              <w:ind w:firstLine="31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1 січня 2029 року ставки податку становлять 100 відсотків від ставок, передбачених у пунктах 245.1 та 245.2 статті 245 цього Кодексу.</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vertAlign w:val="superscript"/>
              </w:rPr>
            </w:pPr>
            <w:r>
              <w:rPr>
                <w:rFonts w:ascii="Times New Roman" w:eastAsia="Times New Roman" w:hAnsi="Times New Roman" w:cs="Times New Roman"/>
                <w:b/>
                <w:sz w:val="28"/>
                <w:szCs w:val="28"/>
              </w:rPr>
              <w:lastRenderedPageBreak/>
              <w:t>Підрозділ 9</w:t>
            </w:r>
            <w:r>
              <w:rPr>
                <w:rFonts w:ascii="Times New Roman" w:eastAsia="Times New Roman" w:hAnsi="Times New Roman" w:cs="Times New Roman"/>
                <w:b/>
                <w:sz w:val="28"/>
                <w:szCs w:val="28"/>
                <w:vertAlign w:val="superscript"/>
              </w:rPr>
              <w:t>4</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Підрозділ 9</w:t>
            </w:r>
            <w:r>
              <w:rPr>
                <w:rFonts w:ascii="Times New Roman" w:eastAsia="Times New Roman" w:hAnsi="Times New Roman" w:cs="Times New Roman"/>
                <w:b/>
                <w:sz w:val="28"/>
                <w:szCs w:val="28"/>
                <w:vertAlign w:val="superscript"/>
              </w:rPr>
              <w:t xml:space="preserve">4 </w:t>
            </w:r>
            <w:r>
              <w:rPr>
                <w:rFonts w:ascii="Times New Roman" w:eastAsia="Times New Roman" w:hAnsi="Times New Roman" w:cs="Times New Roman"/>
                <w:b/>
                <w:sz w:val="28"/>
                <w:szCs w:val="28"/>
              </w:rPr>
              <w:t xml:space="preserve"> Особливості погашення  заборгованості на Оптовому ринку електричної енергії України, визначених Законом України «Про заходи, спрямовані на погашення заборгованості, що утворилися на оптовому ринку електричної енергії"</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240" w:line="240" w:lineRule="auto"/>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Підрозділ відсутній </w:t>
            </w: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Встановити, що для учасників процедури погашення заборгованості на Оптовому ринку електричної енергії України, визначених Законом України «Про заходи, спрямовані на погашення заборгованості, що утворилися на оптовому ринку електричної енергії» положення цього Кодексу застосовуються з урахуванням таких особливостей:</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Установити, що у період з дати набрання чинності Закону України «Про заходи, спрямовані на погашення заборгованості, що утворилися на оптовому ринку електричної енергії» по 1 липня 2023 року учасники процедури погашення заборгованості, які є платниками податку на додану вартість відповідно до розділу V цього Кодексу, що здійснюють (яким здійснюється) погашення </w:t>
            </w:r>
            <w:r>
              <w:rPr>
                <w:rFonts w:ascii="Times New Roman" w:eastAsia="Times New Roman" w:hAnsi="Times New Roman" w:cs="Times New Roman"/>
                <w:b/>
                <w:sz w:val="28"/>
                <w:szCs w:val="28"/>
              </w:rPr>
              <w:lastRenderedPageBreak/>
              <w:t>заборгованості за куповану/продану на оптовому ринку електричну енергію з використанням механізмів, передбачених Законом України «Про заходи, спрямовані  на погашення заборгованості, що утворилися на оптовому ринку електричної енергії» (списання, погашення шляхом взаєморозрахунків за рахунок джерел, не заборонених законодавством,  переведення боргу та відступлення права вимоги та розрахунки за результатами переведення боргу та відступлення права вимоги), не проводять нарахування податкових зобов’язань та податкового кредиту з податку на додану вартість, і не змінює склад податкових зобов'язань та податкового кредиту звітних податкових періодів платників податку, по операціях з постачання, передачі, розподілу електричної енергії, постачання вугілля та/або продуктів його збагачення товарних позицій 2701, 2702,  2704 00 згідно з УКТ ЗЕД, за якими виникла така заборгованість;</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Установити, що у період з дати набрання чинності Закону України «Про заходи, спрямовані на погашення заборгованості, що утворилися на оптовому ринку електричної енергії» по 1 липня 2023 року фінансовий результат до оподаткування зменшується на суму кредиторської заборгованості  списаної відповідно до Закону України «Про заходи, спрямовані на погашення заборгованості, що утворилися на оптовому ринку електричної енергії» (крім учасників процедури визначеної пунктами 1, 2 статті 4 Закону України «Про заходи, </w:t>
            </w:r>
            <w:r>
              <w:rPr>
                <w:rFonts w:ascii="Times New Roman" w:eastAsia="Times New Roman" w:hAnsi="Times New Roman" w:cs="Times New Roman"/>
                <w:b/>
                <w:sz w:val="28"/>
                <w:szCs w:val="28"/>
              </w:rPr>
              <w:lastRenderedPageBreak/>
              <w:t>спрямовані на погашення заборгованості, що утворилися на оптовому ринку електричної енергії»), що врахована при розрахунку фінансового результату до оподаткування (прибутку або збитку) ,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Установити, що у період з дати прийняття рішення Кабінету Міністрів України про збільшення статутного фонду та/або капіталу виробників електричної енергії державної форми власності та акціонерного товариства, 100 відсотків акцій якого належить державі, яке здійснює функції оператора системи передачі, за рахунок емісії та внесення до статутного фонду та/або капіталу облігацій внутрішньої державної позики на суму заборгованості відповідно до статті 4 Закону України «Про заходи, спрямовані на погашення заборгованості, що утворилися на оптовому ринку електричної енергії» та протягом 3-х років фінансовий результат до оподаткування зменшується на суму кредиторської заборгованості  списаної відповідно до Закону України «Про заходи, спрямовані на погашення заборгованості, що утворилися на оптовому ринку електричної енергії», що врахована при розрахунку фінансового результату до оподаткування (прибутку або збитку) , визначеного у фінансовій звітності підприємства відповідно до національних положень (стандартів) </w:t>
            </w:r>
            <w:r>
              <w:rPr>
                <w:rFonts w:ascii="Times New Roman" w:eastAsia="Times New Roman" w:hAnsi="Times New Roman" w:cs="Times New Roman"/>
                <w:b/>
                <w:sz w:val="28"/>
                <w:szCs w:val="28"/>
              </w:rPr>
              <w:lastRenderedPageBreak/>
              <w:t>бухгалтерського обліку або міжнародних стандартів фінансової звітності;</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Установити, що у період з дати набрання чинності Закону України «Про заходи, спрямовані на погашення заборгованості, що утворилися на оптовому ринку електричної енергії» по 1 липня 2023 року фінансовий результат до оподаткування збільшується на суму списаної дебіторської заборгованості  відповідно до Закону України «Про заходи, спрямовані на  погашення заборгованості, що утворилися на оптовому ринку електричної енергії» (крім учасників процедури визначеної пунктами 1, 2 статті 4 Закону України «Про заходи, спрямовані на погашення заборгованості, що утворилися на оптовому ринку електричної енергії»), що врахована при розрахунку фінансового результату до 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 у звітному періоді такого списання.</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Установити, що у період з дати прийняття рішення Кабінету Міністрів України про збільшення статутного фонду та/або капіталу виробників електричної енергії державної форми власності та акціонерного товариства, 100 відсотків акцій якого належить державі, яке здійснює функції оператора системи передачі, за рахунок емісії та внесення до статутного </w:t>
            </w:r>
            <w:r>
              <w:rPr>
                <w:rFonts w:ascii="Times New Roman" w:eastAsia="Times New Roman" w:hAnsi="Times New Roman" w:cs="Times New Roman"/>
                <w:b/>
                <w:sz w:val="28"/>
                <w:szCs w:val="28"/>
              </w:rPr>
              <w:lastRenderedPageBreak/>
              <w:t>фонду та/або капіталу облігацій внутрішньої державної позики на суму заборгованості відповідно до статті 4 Закону України «Про заходи, спрямовані на погашення заборгованості, що утворилися на оптовому ринку електричної енергії» та протягом 3-х років фінансовий результат до оподаткування збільшується на суму списаної дебіторської заборгованості відповідно до Закону України «Про заходи, спрямовані на  погашення заборгованості, що утворилися на оптовому ринку електричної енергії», що врахована при розрахунку фінансового результату до 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 у звітному періоді такого списання.</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Фінансовий результат до оподаткування зменшується на суму  податкових зобов’язань з податку на додану вартість, що виникли в зв’язку із застосуванням касового методу та враховані у звітному періоді при розрахунку фінансового результату до 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  та списані разом зі списанням та/або погашенням дебіторської заборгованості у відповідності до Закону України «Про </w:t>
            </w:r>
            <w:r>
              <w:rPr>
                <w:rFonts w:ascii="Times New Roman" w:eastAsia="Times New Roman" w:hAnsi="Times New Roman" w:cs="Times New Roman"/>
                <w:b/>
                <w:sz w:val="28"/>
                <w:szCs w:val="28"/>
              </w:rPr>
              <w:lastRenderedPageBreak/>
              <w:t>заходи, спрямовані на  погашення заборгованості, що утворилися на оптовому ринку електричної енергії»;</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Фінансовий результат до оподаткування збільшується на суму  податкового кредиту з податку на додану вартість , що виник в зв’язку із застосуванням касового методу та враховані у звітному періоді при розрахунку фінансового результату до 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  та списані разом зі списанням та/або погашенням кредиторської заборгованості у відповідності до Закону України «Про заходи, спрямовані на  погашення заборгованості, що утворилися на оптовому ринку електричної енергії».</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3) Фінансовий результат до оподаткування зменшується на суму доходу від погашення підтвердженої заборгованості за електричну енергію, що утворилася на оптовому ринку електричної енергії України у зв’язку з постачанням до 30 квітня 2015 року включно  електричної енергії споживачам на тимчасово окупованих територіях у Донецькій та Луганській областях за рахунок джерел, не заборонених законодавством України відповідно до Закону України «Про заходи, спрямовані на  погашення заборгованості, що утворилися на оптовому ринку електричної енергії», що врахований при розрахунку фінансового результату до </w:t>
            </w:r>
            <w:r>
              <w:rPr>
                <w:rFonts w:ascii="Times New Roman" w:eastAsia="Times New Roman" w:hAnsi="Times New Roman" w:cs="Times New Roman"/>
                <w:b/>
                <w:sz w:val="28"/>
                <w:szCs w:val="28"/>
              </w:rPr>
              <w:lastRenderedPageBreak/>
              <w:t>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Тимчасово, на період дії Закону України «Про заходи, спрямовані на погашення заборгованості, що утворилась на оптовому ринку електричної енергії»:</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Підлягає списанню податковий борг (у тому числі встановлений судовими рішеннями та реструктуризований, розстрочений, відстрочений), не сплачений станом на дату набрання чинності цим Законом, платників податків - виробників, постачальників електричної енергії, які самостійно або через структурні підрозділи провадили діяльність на території, де органи державної влади тимчасово не здійснюють або здійснюють не в повному обсязі свої повноваження відповідно до Постанови Кабінету Міністрів України від 7 травня 2015 р. № 263 «Про особливості регулювання відносин у сфері електроенергетики на території, де органи державної влади тимчасово не здійснюють або здійснюють не в повному обсязі свої повноваження», за переліком підприємств, затверджених постановою Кабінету Міністрів України.</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підлягає списанню податковий борг (у тому числі встановлений судовими рішеннями та реструктуризований, </w:t>
            </w:r>
            <w:r>
              <w:rPr>
                <w:rFonts w:ascii="Times New Roman" w:eastAsia="Times New Roman" w:hAnsi="Times New Roman" w:cs="Times New Roman"/>
                <w:b/>
                <w:sz w:val="28"/>
                <w:szCs w:val="28"/>
              </w:rPr>
              <w:lastRenderedPageBreak/>
              <w:t>розстрочений, відстрочений) та борг зі сплати частини чистого прибутку, не сплачений станом на дату набрання чинності цим Законом, платників податків – державних підприємств, які здійснювали діяльність з постачання електричної енергії, у тому числі на території, де органи державної влади тимчасово не здійснюють або здійснюють не в повному обсязі свої повноваження, до набрання чинності Постанови Кабінету Міністрів України від 7 травня 2015 р. № 263 «Про особливості регулювання відносин у сфері електроенергетики на території, де органи державної влади тимчасово не здійснюють або здійснюють не в повному обсязі свої повноваження», за переліком підприємств, затверджених постановою Кабінету Міністрів України.</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підлягає списанню податковий борг платників податків – виробників електричної енергії, на яких покладено спеціальні обов’язки для забезпечення загальносуспільних інтересів у процесі функціонування ринку електричної енергії відповідно до постанови Кабінету Міністрів України від 5 червня 2019 р. № 483.</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Штрафні санкції передбачені статтями 120</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126 глави 11 цього Кодексу, пеня встановлена статтею 129 глави 12 цього Кодексу, на податковий борг зазначений в цьому підпункті, не нараховуються, а нараховані на дату набрання чинності цим Законом вважаються списаними.</w:t>
            </w:r>
          </w:p>
          <w:p w:rsidR="00CA6C41" w:rsidRDefault="00FC4AC1">
            <w:pPr>
              <w:pBdr>
                <w:top w:val="nil"/>
                <w:left w:val="nil"/>
                <w:bottom w:val="nil"/>
                <w:right w:val="nil"/>
                <w:between w:val="nil"/>
              </w:pBdr>
              <w:spacing w:before="240" w:after="0" w:line="276" w:lineRule="auto"/>
              <w:ind w:firstLine="1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Контролюючі органи в межах їх компетенції у порядку, передбаченому для списання безнадійного податкового боргу, здійснюють списання зазначених сум протягом десяти робочих днів з дня подання заяви платника податків.</w:t>
            </w:r>
          </w:p>
          <w:p w:rsidR="00CA6C41" w:rsidRDefault="00FC4AC1">
            <w:pPr>
              <w:pBdr>
                <w:top w:val="nil"/>
                <w:left w:val="nil"/>
                <w:bottom w:val="nil"/>
                <w:right w:val="nil"/>
                <w:between w:val="nil"/>
              </w:pBdr>
              <w:spacing w:before="240" w:after="0" w:line="276" w:lineRule="auto"/>
              <w:ind w:firstLine="3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Підрозділ 10. Інші перехідні положення</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40" w:after="0" w:line="240" w:lineRule="auto"/>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Підрозділ 10. Інші перехідні положення</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Відсутня</w:t>
            </w: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314"/>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before="40" w:after="0" w:line="240" w:lineRule="auto"/>
              <w:ind w:firstLine="426"/>
              <w:jc w:val="both"/>
              <w:rPr>
                <w:rFonts w:ascii="Times New Roman" w:eastAsia="Times New Roman" w:hAnsi="Times New Roman" w:cs="Times New Roman"/>
                <w:b/>
                <w:sz w:val="28"/>
                <w:szCs w:val="28"/>
              </w:rPr>
            </w:pP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40" w:after="0" w:line="240" w:lineRule="auto"/>
              <w:ind w:firstLine="42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Pr>
                <w:rFonts w:ascii="Times New Roman" w:eastAsia="Times New Roman" w:hAnsi="Times New Roman" w:cs="Times New Roman"/>
                <w:b/>
                <w:sz w:val="28"/>
                <w:szCs w:val="28"/>
                <w:vertAlign w:val="superscript"/>
              </w:rPr>
              <w:t>3</w:t>
            </w:r>
            <w:r>
              <w:rPr>
                <w:rFonts w:ascii="Times New Roman" w:eastAsia="Times New Roman" w:hAnsi="Times New Roman" w:cs="Times New Roman"/>
                <w:b/>
                <w:sz w:val="28"/>
                <w:szCs w:val="28"/>
              </w:rPr>
              <w:t>. У разі погашення у повному обсязі платниками податків протягом шести місяців з дня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суми податкового боргу  (без штрафних санкцій, пені, крім несплачених процентів за користування розстроченням/відстроченням), що виник станом на 1 березня 2020 року і залишився несплаченим/не погашеним станом на 1 вересня 2020 року, штрафні санкції та пеня підлягають списанню у порядку, визначеному для списання безнадійного податкового боргу, за заявою платника податків.</w:t>
            </w:r>
          </w:p>
          <w:p w:rsidR="00CA6C41" w:rsidRDefault="00FC4AC1">
            <w:pPr>
              <w:pBdr>
                <w:top w:val="nil"/>
                <w:left w:val="nil"/>
                <w:bottom w:val="nil"/>
                <w:right w:val="nil"/>
                <w:between w:val="nil"/>
              </w:pBdr>
              <w:spacing w:before="40" w:after="0" w:line="240" w:lineRule="auto"/>
              <w:ind w:firstLine="28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Положення цього пункту не застосовується щодо: </w:t>
            </w:r>
          </w:p>
          <w:p w:rsidR="00CA6C41" w:rsidRDefault="00FC4AC1">
            <w:pPr>
              <w:pBdr>
                <w:top w:val="nil"/>
                <w:left w:val="nil"/>
                <w:bottom w:val="nil"/>
                <w:right w:val="nil"/>
                <w:between w:val="nil"/>
              </w:pBdr>
              <w:spacing w:before="40" w:after="0" w:line="240" w:lineRule="auto"/>
              <w:ind w:firstLine="28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осіб, на яких поширюються судові процедури, визначені Кодексом України з процедур банкрутства;</w:t>
            </w:r>
          </w:p>
          <w:p w:rsidR="00CA6C41" w:rsidRDefault="00FC4AC1">
            <w:pPr>
              <w:pBdr>
                <w:top w:val="nil"/>
                <w:left w:val="nil"/>
                <w:bottom w:val="nil"/>
                <w:right w:val="nil"/>
                <w:between w:val="nil"/>
              </w:pBdr>
              <w:spacing w:before="40" w:after="0" w:line="240" w:lineRule="auto"/>
              <w:ind w:firstLine="28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осіб, відносно яких наявні судові рішення, що набрали законної сили, якими розстрочено (відстрочено) стягнення податкового боргу;</w:t>
            </w:r>
          </w:p>
          <w:p w:rsidR="00CA6C41" w:rsidRDefault="00FC4AC1">
            <w:pPr>
              <w:pBdr>
                <w:top w:val="nil"/>
                <w:left w:val="nil"/>
                <w:bottom w:val="nil"/>
                <w:right w:val="nil"/>
                <w:between w:val="nil"/>
              </w:pBdr>
              <w:spacing w:before="40" w:after="0" w:line="240" w:lineRule="auto"/>
              <w:ind w:firstLine="28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банків, на які поширюються норми Закону України «Про систему гарантування вкладів фізичних осіб»;</w:t>
            </w:r>
          </w:p>
          <w:p w:rsidR="00CA6C41" w:rsidRDefault="00FC4AC1">
            <w:pPr>
              <w:pBdr>
                <w:top w:val="nil"/>
                <w:left w:val="nil"/>
                <w:bottom w:val="nil"/>
                <w:right w:val="nil"/>
                <w:between w:val="nil"/>
              </w:pBdr>
              <w:spacing w:before="40" w:after="0" w:line="240" w:lineRule="auto"/>
              <w:ind w:firstLine="28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осіб, які мають податковий борг з податків та зборів, які відповідно до податкового, митного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w:t>
            </w:r>
          </w:p>
          <w:p w:rsidR="00CA6C41" w:rsidRDefault="00FC4AC1">
            <w:pPr>
              <w:pBdr>
                <w:top w:val="nil"/>
                <w:left w:val="nil"/>
                <w:bottom w:val="nil"/>
                <w:right w:val="nil"/>
                <w:between w:val="nil"/>
              </w:pBdr>
              <w:spacing w:before="40" w:after="0" w:line="240" w:lineRule="auto"/>
              <w:ind w:firstLine="28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осіб, які мають заборгованість зі сплати санкцій за порушення законодавства у сфері зовнішньоекономічної діяльності та пені. </w:t>
            </w:r>
          </w:p>
          <w:p w:rsidR="00CA6C41" w:rsidRDefault="00FC4AC1">
            <w:pPr>
              <w:pBdr>
                <w:top w:val="nil"/>
                <w:left w:val="nil"/>
                <w:bottom w:val="nil"/>
                <w:right w:val="nil"/>
                <w:between w:val="nil"/>
              </w:pBdr>
              <w:spacing w:before="40" w:after="0" w:line="240" w:lineRule="auto"/>
              <w:ind w:firstLine="28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Штрафні санкції та пеня, що підлягають нарахуванню та застосуванню в результаті списання податкового боргу, станом на дату прийняття рішення про списання не підлягають застосуванню та нарахуванню.</w:t>
            </w:r>
          </w:p>
          <w:p w:rsidR="00CA6C41" w:rsidRDefault="00CA6C41">
            <w:pPr>
              <w:pBdr>
                <w:top w:val="nil"/>
                <w:left w:val="nil"/>
                <w:bottom w:val="nil"/>
                <w:right w:val="nil"/>
                <w:between w:val="nil"/>
              </w:pBdr>
              <w:spacing w:before="40" w:after="0" w:line="240" w:lineRule="auto"/>
              <w:ind w:firstLine="426"/>
              <w:jc w:val="both"/>
              <w:rPr>
                <w:rFonts w:ascii="Times New Roman" w:eastAsia="Times New Roman" w:hAnsi="Times New Roman" w:cs="Times New Roman"/>
                <w:b/>
                <w:sz w:val="28"/>
                <w:szCs w:val="28"/>
              </w:rPr>
            </w:pP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Відсутній </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 Підлягає списанню контролюючим органом, визначений  </w:t>
            </w:r>
            <w:hyperlink r:id="rId118" w:anchor="n16558">
              <w:r>
                <w:rPr>
                  <w:rFonts w:ascii="Times New Roman" w:eastAsia="Times New Roman" w:hAnsi="Times New Roman" w:cs="Times New Roman"/>
                  <w:b/>
                  <w:sz w:val="28"/>
                  <w:szCs w:val="28"/>
                </w:rPr>
                <w:t>підпунктом 41.1.1</w:t>
              </w:r>
            </w:hyperlink>
            <w:r>
              <w:rPr>
                <w:rFonts w:ascii="Times New Roman" w:eastAsia="Times New Roman" w:hAnsi="Times New Roman" w:cs="Times New Roman"/>
                <w:b/>
                <w:sz w:val="28"/>
                <w:szCs w:val="28"/>
              </w:rPr>
              <w:t xml:space="preserve">  пункту 41.1 статті 41 цього Кодексу,</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податковий борг (у тому числі штрафні санкції та пеня) платників податків – фізичних осіб (резидентів), у т. ч. самозайнятих осіб  або  фізичних осіб-підприємців, сукупний розмір якого за усіма податками та зборами становить не перевищує 1020 грн. (включно), за виключенням  податкового боргу з  податків та зборів, які відповідно до податкового, митного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 та який обліковується контролюючим органом за місцем адміністрування (обліку) платника податків станом на дату набрання чинності Законом України «Про внесення змін до Податкового кодексу України та деяких інших законів </w:t>
            </w:r>
            <w:r>
              <w:rPr>
                <w:rFonts w:ascii="Times New Roman" w:eastAsia="Times New Roman" w:hAnsi="Times New Roman" w:cs="Times New Roman"/>
                <w:b/>
                <w:sz w:val="28"/>
                <w:szCs w:val="28"/>
              </w:rPr>
              <w:lastRenderedPageBreak/>
              <w:t xml:space="preserve">України щодо забезпечення збалансованості бюджетних надходжень» за умови, що такий борг залишається несплаченим/не погашеним станом на дату прийняття рішення про списання такого боргу. </w:t>
            </w:r>
          </w:p>
          <w:p w:rsidR="00CA6C41" w:rsidRDefault="00CA6C4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Рішення про списання податкового боргу, визначеного у частині першій цього підпункту, приймаються керівником (його заступником або уповноваженими особами) контролюючого органу, визначеного  </w:t>
            </w:r>
            <w:hyperlink r:id="rId119" w:anchor="n16558">
              <w:r>
                <w:rPr>
                  <w:rFonts w:ascii="Times New Roman" w:eastAsia="Times New Roman" w:hAnsi="Times New Roman" w:cs="Times New Roman"/>
                  <w:b/>
                  <w:sz w:val="28"/>
                  <w:szCs w:val="28"/>
                </w:rPr>
                <w:t>підпунктом 41.1.1</w:t>
              </w:r>
            </w:hyperlink>
            <w:r>
              <w:rPr>
                <w:rFonts w:ascii="Times New Roman" w:eastAsia="Times New Roman" w:hAnsi="Times New Roman" w:cs="Times New Roman"/>
                <w:b/>
                <w:sz w:val="28"/>
                <w:szCs w:val="28"/>
              </w:rPr>
              <w:t> пункту 41.1 статті 41 цього Кодексу, у порядку передбаченому для списання безнадійного податкового боргу протягом трьох календарних місяців з дати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без подання заяв платниками податків.</w:t>
            </w:r>
          </w:p>
          <w:p w:rsidR="00CA6C41" w:rsidRDefault="00FC4AC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Повідомлення про списання суми податкового боргу надсилається платнику податків протягом трьох робочих днів засобами електронного зв’язку в електронній формі,  у порядку, визначеному пунктом 42.4 статті  42 цього  Кодексу. </w:t>
            </w:r>
          </w:p>
          <w:p w:rsidR="00CA6C41" w:rsidRDefault="00FC4AC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 вимогу платника податків, якому списано податковий борг відповідно до цього підпункту, контролюючий орган, визначений  </w:t>
            </w:r>
            <w:hyperlink r:id="rId120" w:anchor="n16558">
              <w:r>
                <w:rPr>
                  <w:rFonts w:ascii="Times New Roman" w:eastAsia="Times New Roman" w:hAnsi="Times New Roman" w:cs="Times New Roman"/>
                  <w:b/>
                  <w:sz w:val="28"/>
                  <w:szCs w:val="28"/>
                </w:rPr>
                <w:t>підпунктом 41.1.</w:t>
              </w:r>
            </w:hyperlink>
            <w:hyperlink r:id="rId121" w:anchor="n16558">
              <w:r>
                <w:rPr>
                  <w:rFonts w:ascii="Times New Roman" w:eastAsia="Times New Roman" w:hAnsi="Times New Roman" w:cs="Times New Roman"/>
                  <w:b/>
                  <w:sz w:val="28"/>
                  <w:szCs w:val="28"/>
                  <w:u w:val="single"/>
                </w:rPr>
                <w:t>1</w:t>
              </w:r>
            </w:hyperlink>
            <w:r>
              <w:rPr>
                <w:rFonts w:ascii="Times New Roman" w:eastAsia="Times New Roman" w:hAnsi="Times New Roman" w:cs="Times New Roman"/>
                <w:b/>
                <w:sz w:val="28"/>
                <w:szCs w:val="28"/>
              </w:rPr>
              <w:t> пункту 41.1 статті 41 цього Кодексу, протягом п’яти робочих днів з дня її надходження надає рішення про списання  податкового  боргу у паперовій формі.</w:t>
            </w:r>
          </w:p>
          <w:p w:rsidR="00CA6C41" w:rsidRDefault="00FC4AC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Нараховані та сплачені або стягнуті за період з дати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до дати виконання рішення про списання </w:t>
            </w:r>
            <w:r>
              <w:rPr>
                <w:rFonts w:ascii="Times New Roman" w:eastAsia="Times New Roman" w:hAnsi="Times New Roman" w:cs="Times New Roman"/>
                <w:b/>
                <w:sz w:val="28"/>
                <w:szCs w:val="28"/>
              </w:rPr>
              <w:lastRenderedPageBreak/>
              <w:t>податкового боргу, суми податкового боргу, штрафних санкцій, пені не підлягають поверненню на поточний рахунок платника податку, не спрямовуються на погашення грошового зобов’язання (податкового боргу) з інших податків,  зборів, не повертаються у готівковій формі за чеком у разі відсутності у платника податків рахунків у банках.</w:t>
            </w:r>
          </w:p>
          <w:p w:rsidR="00CA6C41" w:rsidRDefault="00CA6C4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 списані відповідно до положень цього пункту суми не нараховується пеня, штрафні санкції, встановлені цим Кодексом, за період з дати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і до дати його списання включно.</w:t>
            </w:r>
          </w:p>
          <w:p w:rsidR="00CA6C41" w:rsidRDefault="00CA6C4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Контролюючий орган, визначений  </w:t>
            </w:r>
            <w:hyperlink r:id="rId122" w:anchor="n16558">
              <w:r>
                <w:rPr>
                  <w:rFonts w:ascii="Times New Roman" w:eastAsia="Times New Roman" w:hAnsi="Times New Roman" w:cs="Times New Roman"/>
                  <w:b/>
                  <w:sz w:val="28"/>
                  <w:szCs w:val="28"/>
                </w:rPr>
                <w:t>підпунктом 41.1.1</w:t>
              </w:r>
            </w:hyperlink>
            <w:r>
              <w:rPr>
                <w:rFonts w:ascii="Times New Roman" w:eastAsia="Times New Roman" w:hAnsi="Times New Roman" w:cs="Times New Roman"/>
                <w:b/>
                <w:sz w:val="28"/>
                <w:szCs w:val="28"/>
              </w:rPr>
              <w:t> пункту 41.1 статті 41 цього Кодексу, протягом п’яти  робочих днів з дня прийняття рішення про списання податкового боргу надає територіальним підрозділам державної виконавчої служби інформацію про списані суми податкового боргу в розрізі платників податків.</w:t>
            </w:r>
          </w:p>
          <w:p w:rsidR="00CA6C41" w:rsidRDefault="00CA6C41">
            <w:pPr>
              <w:pBdr>
                <w:top w:val="nil"/>
                <w:left w:val="nil"/>
                <w:bottom w:val="nil"/>
                <w:right w:val="nil"/>
                <w:between w:val="nil"/>
              </w:pBdr>
              <w:spacing w:after="0" w:line="240" w:lineRule="auto"/>
              <w:ind w:firstLine="528"/>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 дня винесення контролюючим органом рішення про списання податкового боргу на підставі наданої контролюючими органами інформації 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податкового боргу платникам податків, яким здійснюється списання сум </w:t>
            </w:r>
            <w:r>
              <w:rPr>
                <w:rFonts w:ascii="Times New Roman" w:eastAsia="Times New Roman" w:hAnsi="Times New Roman" w:cs="Times New Roman"/>
                <w:b/>
                <w:sz w:val="28"/>
                <w:szCs w:val="28"/>
              </w:rPr>
              <w:lastRenderedPageBreak/>
              <w:t>податкового боргу відповідно до цього пункту в порядку, визначеному Законом України «Про виконавче провадження».</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16-1. Тимчасово, до набрання чинності рішенням Верховної Ради України про завершення реформи Збройних Сил України, встановлюється військовий збір.</w:t>
            </w: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1.10. Звільняються від оподаткування військовим збором доходи, зазначені в пункті 13 підрозділу 1 цього розділу.</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16-1. Тимчасово, до набрання чинності рішенням Верховної Ради України про завершення реформи Збройних Сил України, встановлюється військовий збір.</w:t>
            </w:r>
          </w:p>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1.10. Звільняються від оподаткування військовим збором доходи, зазначені в пункті 13   та </w:t>
            </w:r>
            <w:r>
              <w:rPr>
                <w:rFonts w:ascii="Times New Roman" w:eastAsia="Times New Roman" w:hAnsi="Times New Roman" w:cs="Times New Roman"/>
                <w:b/>
                <w:sz w:val="28"/>
                <w:szCs w:val="28"/>
              </w:rPr>
              <w:t>15</w:t>
            </w:r>
            <w:r>
              <w:rPr>
                <w:rFonts w:ascii="Times New Roman" w:eastAsia="Times New Roman" w:hAnsi="Times New Roman" w:cs="Times New Roman"/>
                <w:sz w:val="28"/>
                <w:szCs w:val="28"/>
              </w:rPr>
              <w:t xml:space="preserve"> підрозділу 1 цього розділу.</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52</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Установити мораторій на проведення документальних та фактичних перевірок на період з 18 березня 2020 року по </w:t>
            </w:r>
            <w:r>
              <w:rPr>
                <w:rFonts w:ascii="Times New Roman" w:eastAsia="Times New Roman" w:hAnsi="Times New Roman" w:cs="Times New Roman"/>
                <w:b/>
                <w:sz w:val="28"/>
                <w:szCs w:val="28"/>
              </w:rPr>
              <w:t>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eastAsia="Times New Roman" w:hAnsi="Times New Roman" w:cs="Times New Roman"/>
                <w:sz w:val="28"/>
                <w:szCs w:val="28"/>
              </w:rPr>
              <w:t>, крім:</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документальних позапланових перевірок, що проводяться на звернення платника податків;</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документальних позапланових перевірок з підстав, визначених підпунктами 78.1.7 та 78.1.8 пункту 78.1 статті 78 цього Кодексу;</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фактичних перевірок в частині порушення вимог законодавства в частині:</w:t>
            </w: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обліку, ліцензування, виробництва, зберігання, транспортування та обігу пального, спирту етилового, алкогольних напоїв та тютюнових виробів;</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цільового використання пального та спирту етилового платниками податків;</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обладнання акцизних складів витратомірами-лічильниками та/або рівномірами-лічильниками;</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80.2.2, 80.2.3 та 80.2.5 пункту 80.2 статті 80 цього Кодексу.</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Інформація про перенесення документальних планових перевірок, які відповідно до плану – графіку проведення планових документальних перевірок мали розпочатися у період з 18 березня 2020 року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та на день набрання чинності Законом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не були розпочаті, включається до оновленого плану – графіку, який оприлюднюється на офіційному веб-сайті центрального органу виконавчої влади, що реалізує державну податкову політику, протягом 10 календарних днів з дня завершення дії карантину, встановленого Кабінетом Міністрів України </w:t>
            </w:r>
            <w:r>
              <w:rPr>
                <w:rFonts w:ascii="Times New Roman" w:eastAsia="Times New Roman" w:hAnsi="Times New Roman" w:cs="Times New Roman"/>
                <w:b/>
                <w:sz w:val="28"/>
                <w:szCs w:val="28"/>
              </w:rPr>
              <w:lastRenderedPageBreak/>
              <w:t>на всій території України з метою запобігання поширенню на території України коронавірусної хвороби (COVID-19).</w:t>
            </w: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Документальні та фактичні перевірки, що були розпочаті до 18 березня 2020 року та не були завершеними, тимчасово зупиняються </w:t>
            </w:r>
            <w:r>
              <w:rPr>
                <w:rFonts w:ascii="Times New Roman" w:eastAsia="Times New Roman" w:hAnsi="Times New Roman" w:cs="Times New Roman"/>
                <w:b/>
                <w:sz w:val="28"/>
                <w:szCs w:val="28"/>
              </w:rPr>
              <w:t>на період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eastAsia="Times New Roman" w:hAnsi="Times New Roman" w:cs="Times New Roman"/>
                <w:sz w:val="28"/>
                <w:szCs w:val="28"/>
              </w:rPr>
              <w:t>. Таке зупинення перериває термін проведення перевірки та не потребує прийняття будь-яких додаткових рішень контролюючим органом.</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період з 18 березня 2020 року по</w:t>
            </w:r>
            <w:r>
              <w:rPr>
                <w:rFonts w:ascii="Times New Roman" w:eastAsia="Times New Roman" w:hAnsi="Times New Roman" w:cs="Times New Roman"/>
                <w:b/>
                <w:sz w:val="28"/>
                <w:szCs w:val="28"/>
              </w:rPr>
              <w:t xml:space="preserve">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eastAsia="Times New Roman" w:hAnsi="Times New Roman" w:cs="Times New Roman"/>
                <w:sz w:val="28"/>
                <w:szCs w:val="28"/>
              </w:rPr>
              <w:t>, зупиняється перебіг строків давності, передбачених </w:t>
            </w:r>
            <w:hyperlink r:id="rId123" w:anchor="n2287">
              <w:r>
                <w:rPr>
                  <w:rFonts w:ascii="Times New Roman" w:eastAsia="Times New Roman" w:hAnsi="Times New Roman" w:cs="Times New Roman"/>
                  <w:sz w:val="28"/>
                  <w:szCs w:val="28"/>
                </w:rPr>
                <w:t>статтею 102</w:t>
              </w:r>
            </w:hyperlink>
            <w:r>
              <w:rPr>
                <w:rFonts w:ascii="Times New Roman" w:eastAsia="Times New Roman" w:hAnsi="Times New Roman" w:cs="Times New Roman"/>
                <w:sz w:val="28"/>
                <w:szCs w:val="28"/>
              </w:rPr>
              <w:t> цього Кодексу.</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52</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Установити мораторій на проведення документальних перевірок платників податків з обсягом доходу до 20 мільйонів гривень за попередній календарний рік на період з 18 березня 2020 року </w:t>
            </w:r>
            <w:r>
              <w:rPr>
                <w:rFonts w:ascii="Times New Roman" w:eastAsia="Times New Roman" w:hAnsi="Times New Roman" w:cs="Times New Roman"/>
                <w:b/>
                <w:sz w:val="28"/>
                <w:szCs w:val="28"/>
              </w:rPr>
              <w:t>до 01.07.2021 року</w:t>
            </w:r>
            <w:r>
              <w:rPr>
                <w:rFonts w:ascii="Times New Roman" w:eastAsia="Times New Roman" w:hAnsi="Times New Roman" w:cs="Times New Roman"/>
                <w:sz w:val="28"/>
                <w:szCs w:val="28"/>
              </w:rPr>
              <w:t>, крім:</w:t>
            </w:r>
          </w:p>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документальних позапланових перевірок, що проводяться на звернення платника податків;</w:t>
            </w:r>
          </w:p>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документальних позапланових перевірок з підстав, визначених підпунктами 78.1.7 та 78.1.8 пункту 78.1 статті 78 цього Кодексу;</w:t>
            </w:r>
          </w:p>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Документальні планові перевірки, які відповідно до плану – графіку проведення планових документальних перевірок  мали розпочатися у період з 18 березня 2020 року по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w:t>
            </w:r>
            <w:r>
              <w:rPr>
                <w:rFonts w:ascii="Times New Roman" w:eastAsia="Times New Roman" w:hAnsi="Times New Roman" w:cs="Times New Roman"/>
                <w:b/>
                <w:sz w:val="28"/>
                <w:szCs w:val="28"/>
              </w:rPr>
              <w:lastRenderedPageBreak/>
              <w:t>бюджетних надходжень» та не були розпочаті, виключаються з плану - графіку проведення планових документальних перевірок на 2020 рік. Оновлений план - графік оприлюднюється на офіційному веб-сайті центрального органу виконавчої влади, що реалізує державну податкову політику, протягом 10 робочих днів з дня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Документальні перевірки, крім перевірок платників податків з обсягом доходу до 20 мільйонів гривень за попередній календарний рік та фактичні перевірки, що були розпочаті до 18 березня 2020 року та не були завершеними, тимчасово зупиняються</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по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Pr>
                <w:rFonts w:ascii="Times New Roman" w:eastAsia="Times New Roman" w:hAnsi="Times New Roman" w:cs="Times New Roman"/>
                <w:sz w:val="28"/>
                <w:szCs w:val="28"/>
              </w:rPr>
              <w:t xml:space="preserve">. Документальні перевірки </w:t>
            </w:r>
            <w:r>
              <w:rPr>
                <w:rFonts w:ascii="Times New Roman" w:eastAsia="Times New Roman" w:hAnsi="Times New Roman" w:cs="Times New Roman"/>
                <w:b/>
                <w:sz w:val="28"/>
                <w:szCs w:val="28"/>
              </w:rPr>
              <w:t>платників податків з обсягом доходу до 20 мільйонів гривень за попередній календарний рік</w:t>
            </w:r>
            <w:r>
              <w:rPr>
                <w:rFonts w:ascii="Times New Roman" w:eastAsia="Times New Roman" w:hAnsi="Times New Roman" w:cs="Times New Roman"/>
                <w:sz w:val="28"/>
                <w:szCs w:val="28"/>
              </w:rPr>
              <w:t xml:space="preserve">, що були розпочаті до 18 березня 2020 року та не були завершеними, тимчасово зупиняються </w:t>
            </w:r>
            <w:r>
              <w:rPr>
                <w:rFonts w:ascii="Times New Roman" w:eastAsia="Times New Roman" w:hAnsi="Times New Roman" w:cs="Times New Roman"/>
                <w:b/>
                <w:sz w:val="28"/>
                <w:szCs w:val="28"/>
              </w:rPr>
              <w:t>до 01.07.2021 року</w:t>
            </w:r>
            <w:r>
              <w:rPr>
                <w:rFonts w:ascii="Times New Roman" w:eastAsia="Times New Roman" w:hAnsi="Times New Roman" w:cs="Times New Roman"/>
                <w:sz w:val="28"/>
                <w:szCs w:val="28"/>
              </w:rPr>
              <w:t>. Таке зупинення перериває термін проведення перевірки та не потребує прийняття будь-яких додаткових рішень контролюючим органом.</w:t>
            </w:r>
          </w:p>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Зупиняється перебіг строків давності, передбачених</w:t>
            </w:r>
            <w:hyperlink r:id="rId124" w:anchor="n2287">
              <w:r>
                <w:rPr>
                  <w:rFonts w:ascii="Times New Roman" w:eastAsia="Times New Roman" w:hAnsi="Times New Roman" w:cs="Times New Roman"/>
                  <w:b/>
                  <w:sz w:val="28"/>
                  <w:szCs w:val="28"/>
                </w:rPr>
                <w:t xml:space="preserve"> статтею 102</w:t>
              </w:r>
            </w:hyperlink>
            <w:r>
              <w:rPr>
                <w:rFonts w:ascii="Times New Roman" w:eastAsia="Times New Roman" w:hAnsi="Times New Roman" w:cs="Times New Roman"/>
                <w:b/>
                <w:sz w:val="28"/>
                <w:szCs w:val="28"/>
              </w:rPr>
              <w:t xml:space="preserve"> цього Кодексу:</w:t>
            </w:r>
          </w:p>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для документальних перевірок, крім перевірок платників податків з обсягом доходу до 20 мільйонів гривень за попередній календарний рік, та фактичних перевірок,</w:t>
            </w:r>
            <w:r>
              <w:rPr>
                <w:rFonts w:ascii="Times New Roman" w:eastAsia="Times New Roman" w:hAnsi="Times New Roman" w:cs="Times New Roman"/>
                <w:sz w:val="28"/>
                <w:szCs w:val="28"/>
              </w:rPr>
              <w:t xml:space="preserve"> на період з 18 березня 2020 року по</w:t>
            </w:r>
            <w:r>
              <w:rPr>
                <w:rFonts w:ascii="Times New Roman" w:eastAsia="Times New Roman" w:hAnsi="Times New Roman" w:cs="Times New Roman"/>
                <w:b/>
                <w:sz w:val="28"/>
                <w:szCs w:val="28"/>
              </w:rPr>
              <w:t xml:space="preserve">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для документальних перевірок платників податків з обсягом доходу до 20 мільйонів гривень за попередній календарний рік на період з 18 березня 2020 року до 01.07.2021 року.</w:t>
            </w:r>
          </w:p>
          <w:p w:rsidR="00CA6C41" w:rsidRDefault="00FC4AC1">
            <w:pPr>
              <w:pBdr>
                <w:top w:val="nil"/>
                <w:left w:val="nil"/>
                <w:bottom w:val="nil"/>
                <w:right w:val="nil"/>
                <w:between w:val="nil"/>
              </w:pBdr>
              <w:spacing w:before="240" w:after="0" w:line="276" w:lineRule="auto"/>
              <w:ind w:firstLine="8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b/>
                <w:sz w:val="28"/>
                <w:szCs w:val="28"/>
              </w:rPr>
            </w:pP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52</w:t>
            </w:r>
            <w:r>
              <w:rPr>
                <w:rFonts w:ascii="Times New Roman" w:eastAsia="Times New Roman" w:hAnsi="Times New Roman" w:cs="Times New Roman"/>
                <w:b/>
                <w:sz w:val="28"/>
                <w:szCs w:val="28"/>
                <w:vertAlign w:val="superscript"/>
              </w:rPr>
              <w:t>-8</w:t>
            </w:r>
            <w:r>
              <w:rPr>
                <w:rFonts w:ascii="Times New Roman" w:eastAsia="Times New Roman" w:hAnsi="Times New Roman" w:cs="Times New Roman"/>
                <w:sz w:val="28"/>
                <w:szCs w:val="28"/>
              </w:rPr>
              <w:t xml:space="preserve">. Тимчасово, на період по </w:t>
            </w:r>
            <w:r>
              <w:rPr>
                <w:rFonts w:ascii="Times New Roman" w:eastAsia="Times New Roman" w:hAnsi="Times New Roman" w:cs="Times New Roman"/>
                <w:b/>
                <w:sz w:val="28"/>
                <w:szCs w:val="28"/>
              </w:rPr>
              <w:t>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eastAsia="Times New Roman" w:hAnsi="Times New Roman" w:cs="Times New Roman"/>
                <w:sz w:val="28"/>
                <w:szCs w:val="28"/>
              </w:rPr>
              <w:t>, зупиняється перебіг строків, встановлених:</w:t>
            </w:r>
          </w:p>
          <w:p w:rsidR="00CA6C41" w:rsidRDefault="0050376E">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hyperlink r:id="rId125" w:anchor="n1321">
              <w:r w:rsidR="00FC4AC1">
                <w:rPr>
                  <w:rFonts w:ascii="Times New Roman" w:eastAsia="Times New Roman" w:hAnsi="Times New Roman" w:cs="Times New Roman"/>
                  <w:sz w:val="28"/>
                  <w:szCs w:val="28"/>
                  <w:u w:val="single"/>
                </w:rPr>
                <w:t>статтею 56</w:t>
              </w:r>
            </w:hyperlink>
            <w:r w:rsidR="00FC4AC1">
              <w:rPr>
                <w:rFonts w:ascii="Times New Roman" w:eastAsia="Times New Roman" w:hAnsi="Times New Roman" w:cs="Times New Roman"/>
                <w:sz w:val="28"/>
                <w:szCs w:val="28"/>
              </w:rPr>
              <w:t xml:space="preserve"> цього Кодексу (в частині процедури адміністративного оскарження) щодо скарг платників податків (крім скарг щодо законності декларування заявленого до відшкодування з бюджету податку на додану вартість та/або з від’ємного значення з податку на додану </w:t>
            </w:r>
            <w:r w:rsidR="00FC4AC1">
              <w:rPr>
                <w:rFonts w:ascii="Times New Roman" w:eastAsia="Times New Roman" w:hAnsi="Times New Roman" w:cs="Times New Roman"/>
                <w:sz w:val="28"/>
                <w:szCs w:val="28"/>
              </w:rPr>
              <w:lastRenderedPageBreak/>
              <w:t xml:space="preserve">вартість), що надійшли (надійдуть) по </w:t>
            </w:r>
            <w:r w:rsidR="00FC4AC1">
              <w:rPr>
                <w:rFonts w:ascii="Times New Roman" w:eastAsia="Times New Roman" w:hAnsi="Times New Roman" w:cs="Times New Roman"/>
                <w:b/>
                <w:sz w:val="28"/>
                <w:szCs w:val="28"/>
              </w:rPr>
              <w:t>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00FC4AC1">
              <w:rPr>
                <w:rFonts w:ascii="Times New Roman" w:eastAsia="Times New Roman" w:hAnsi="Times New Roman" w:cs="Times New Roman"/>
                <w:sz w:val="28"/>
                <w:szCs w:val="28"/>
              </w:rPr>
              <w:t>, та/або які не розглянуті станом на 18 березня 2020 року. Таке зупинення не породжує будь-яких наслідків, передбачених статтею 56 цього Кодексу;</w:t>
            </w:r>
          </w:p>
          <w:p w:rsidR="00CA6C41" w:rsidRDefault="0050376E">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hyperlink r:id="rId126" w:anchor="n1278">
              <w:r w:rsidR="00FC4AC1">
                <w:rPr>
                  <w:rFonts w:ascii="Times New Roman" w:eastAsia="Times New Roman" w:hAnsi="Times New Roman" w:cs="Times New Roman"/>
                  <w:sz w:val="28"/>
                  <w:szCs w:val="28"/>
                  <w:u w:val="single"/>
                </w:rPr>
                <w:t>статтями 52</w:t>
              </w:r>
            </w:hyperlink>
            <w:r w:rsidR="00FC4AC1">
              <w:rPr>
                <w:rFonts w:ascii="Times New Roman" w:eastAsia="Times New Roman" w:hAnsi="Times New Roman" w:cs="Times New Roman"/>
                <w:sz w:val="28"/>
                <w:szCs w:val="28"/>
              </w:rPr>
              <w:t xml:space="preserve"> і </w:t>
            </w:r>
            <w:hyperlink r:id="rId127" w:anchor="n1289">
              <w:r w:rsidR="00FC4AC1">
                <w:rPr>
                  <w:rFonts w:ascii="Times New Roman" w:eastAsia="Times New Roman" w:hAnsi="Times New Roman" w:cs="Times New Roman"/>
                  <w:sz w:val="28"/>
                  <w:szCs w:val="28"/>
                  <w:u w:val="single"/>
                </w:rPr>
                <w:t>53</w:t>
              </w:r>
            </w:hyperlink>
            <w:r w:rsidR="00FC4AC1">
              <w:rPr>
                <w:rFonts w:ascii="Times New Roman" w:eastAsia="Times New Roman" w:hAnsi="Times New Roman" w:cs="Times New Roman"/>
                <w:sz w:val="28"/>
                <w:szCs w:val="28"/>
              </w:rPr>
              <w:t xml:space="preserve"> цього Кодексу щодо надання контролюючими органами індивідуальних податкових консультацій в письмовій формі;</w:t>
            </w:r>
          </w:p>
          <w:p w:rsidR="00CA6C41" w:rsidRDefault="0050376E">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hyperlink r:id="rId128" w:anchor="n1715">
              <w:r w:rsidR="00FC4AC1">
                <w:rPr>
                  <w:rFonts w:ascii="Times New Roman" w:eastAsia="Times New Roman" w:hAnsi="Times New Roman" w:cs="Times New Roman"/>
                  <w:sz w:val="28"/>
                  <w:szCs w:val="28"/>
                  <w:u w:val="single"/>
                </w:rPr>
                <w:t>статтями 73</w:t>
              </w:r>
            </w:hyperlink>
            <w:r w:rsidR="00FC4AC1">
              <w:rPr>
                <w:rFonts w:ascii="Times New Roman" w:eastAsia="Times New Roman" w:hAnsi="Times New Roman" w:cs="Times New Roman"/>
                <w:sz w:val="28"/>
                <w:szCs w:val="28"/>
              </w:rPr>
              <w:t xml:space="preserve"> і </w:t>
            </w:r>
            <w:hyperlink r:id="rId129" w:anchor="n1788">
              <w:r w:rsidR="00FC4AC1">
                <w:rPr>
                  <w:rFonts w:ascii="Times New Roman" w:eastAsia="Times New Roman" w:hAnsi="Times New Roman" w:cs="Times New Roman"/>
                  <w:sz w:val="28"/>
                  <w:szCs w:val="28"/>
                  <w:u w:val="single"/>
                </w:rPr>
                <w:t>78</w:t>
              </w:r>
            </w:hyperlink>
            <w:r w:rsidR="00FC4AC1">
              <w:rPr>
                <w:rFonts w:ascii="Times New Roman" w:eastAsia="Times New Roman" w:hAnsi="Times New Roman" w:cs="Times New Roman"/>
                <w:sz w:val="28"/>
                <w:szCs w:val="28"/>
              </w:rPr>
              <w:t xml:space="preserve"> цього Кодексу щодо надання платниками податків відповідей на запити контролюючих органів (крім запитів контролюючих органів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(надійдуть) платникам податків по </w:t>
            </w:r>
            <w:r w:rsidR="00FC4AC1">
              <w:rPr>
                <w:rFonts w:ascii="Times New Roman" w:eastAsia="Times New Roman" w:hAnsi="Times New Roman" w:cs="Times New Roman"/>
                <w:b/>
                <w:sz w:val="28"/>
                <w:szCs w:val="28"/>
              </w:rPr>
              <w:t>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00FC4AC1">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 першого календарного дня місяця, наступного за місяцем, в якому </w:t>
            </w:r>
            <w:r>
              <w:rPr>
                <w:rFonts w:ascii="Times New Roman" w:eastAsia="Times New Roman" w:hAnsi="Times New Roman" w:cs="Times New Roman"/>
                <w:b/>
                <w:sz w:val="28"/>
                <w:szCs w:val="28"/>
              </w:rPr>
              <w:t>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eastAsia="Times New Roman" w:hAnsi="Times New Roman" w:cs="Times New Roman"/>
                <w:sz w:val="28"/>
                <w:szCs w:val="28"/>
              </w:rPr>
              <w:t xml:space="preserve">, перебіг строків, які зупинялися відповідно до цього пункту, </w:t>
            </w:r>
            <w:r>
              <w:rPr>
                <w:rFonts w:ascii="Times New Roman" w:eastAsia="Times New Roman" w:hAnsi="Times New Roman" w:cs="Times New Roman"/>
                <w:sz w:val="28"/>
                <w:szCs w:val="28"/>
              </w:rPr>
              <w:lastRenderedPageBreak/>
              <w:t>продовжується з урахуванням часу, що минув до такого зупинення.</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52</w:t>
            </w:r>
            <w:r>
              <w:rPr>
                <w:rFonts w:ascii="Times New Roman" w:eastAsia="Times New Roman" w:hAnsi="Times New Roman" w:cs="Times New Roman"/>
                <w:sz w:val="28"/>
                <w:szCs w:val="28"/>
                <w:vertAlign w:val="superscript"/>
              </w:rPr>
              <w:t>8</w:t>
            </w:r>
            <w:r>
              <w:rPr>
                <w:rFonts w:ascii="Times New Roman" w:eastAsia="Times New Roman" w:hAnsi="Times New Roman" w:cs="Times New Roman"/>
                <w:sz w:val="28"/>
                <w:szCs w:val="28"/>
              </w:rPr>
              <w:t>. Тимчасово, на період по</w:t>
            </w:r>
            <w:r>
              <w:rPr>
                <w:rFonts w:ascii="Times New Roman" w:eastAsia="Times New Roman" w:hAnsi="Times New Roman" w:cs="Times New Roman"/>
                <w:b/>
                <w:sz w:val="28"/>
                <w:szCs w:val="28"/>
              </w:rPr>
              <w:t xml:space="preserve">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Pr>
                <w:rFonts w:ascii="Times New Roman" w:eastAsia="Times New Roman" w:hAnsi="Times New Roman" w:cs="Times New Roman"/>
                <w:sz w:val="28"/>
                <w:szCs w:val="28"/>
              </w:rPr>
              <w:t>, зупиняється перебіг строків, встановлених:</w:t>
            </w:r>
          </w:p>
          <w:p w:rsidR="00CA6C41" w:rsidRDefault="00CA6C4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статтею 56 цього Кодексу (в частині процедури адміністративного оскарження) щодо скарг платників податків (крім скарг щодо законності декларування заявленого до відшкодування з бюджету податку на додану вартість та/або з </w:t>
            </w:r>
            <w:r>
              <w:rPr>
                <w:rFonts w:ascii="Times New Roman" w:eastAsia="Times New Roman" w:hAnsi="Times New Roman" w:cs="Times New Roman"/>
                <w:sz w:val="28"/>
                <w:szCs w:val="28"/>
              </w:rPr>
              <w:lastRenderedPageBreak/>
              <w:t>від'ємного значення з податку на додану вартість), що надійшли (надійдуть) по</w:t>
            </w:r>
            <w:r>
              <w:rPr>
                <w:rFonts w:ascii="Times New Roman" w:eastAsia="Times New Roman" w:hAnsi="Times New Roman" w:cs="Times New Roman"/>
                <w:b/>
                <w:sz w:val="28"/>
                <w:szCs w:val="28"/>
              </w:rPr>
              <w:t xml:space="preserve">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Pr>
                <w:rFonts w:ascii="Times New Roman" w:eastAsia="Times New Roman" w:hAnsi="Times New Roman" w:cs="Times New Roman"/>
                <w:sz w:val="28"/>
                <w:szCs w:val="28"/>
              </w:rPr>
              <w:t>, та/або які не розглянуті станом на 18 березня 2020 року. Таке зупинення не породжує будь-яких наслідків, передбачених статтею 56 цього Кодексу;</w:t>
            </w:r>
          </w:p>
          <w:p w:rsidR="00CA6C41" w:rsidRDefault="00CA6C4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статтями 52 і 53 цього Кодексу щодо надання контролюючими органами індивідуальних податкових консультацій в письмовій формі.</w:t>
            </w:r>
          </w:p>
          <w:p w:rsidR="00CA6C41" w:rsidRDefault="0050376E">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hyperlink r:id="rId130" w:anchor="n1715">
              <w:r w:rsidR="00FC4AC1">
                <w:rPr>
                  <w:rFonts w:ascii="Times New Roman" w:eastAsia="Times New Roman" w:hAnsi="Times New Roman" w:cs="Times New Roman"/>
                  <w:sz w:val="28"/>
                  <w:szCs w:val="28"/>
                  <w:u w:val="single"/>
                </w:rPr>
                <w:t>статтями 73</w:t>
              </w:r>
            </w:hyperlink>
            <w:r w:rsidR="00FC4AC1">
              <w:rPr>
                <w:rFonts w:ascii="Times New Roman" w:eastAsia="Times New Roman" w:hAnsi="Times New Roman" w:cs="Times New Roman"/>
                <w:sz w:val="28"/>
                <w:szCs w:val="28"/>
              </w:rPr>
              <w:t xml:space="preserve"> і </w:t>
            </w:r>
            <w:hyperlink r:id="rId131" w:anchor="n1788">
              <w:r w:rsidR="00FC4AC1">
                <w:rPr>
                  <w:rFonts w:ascii="Times New Roman" w:eastAsia="Times New Roman" w:hAnsi="Times New Roman" w:cs="Times New Roman"/>
                  <w:sz w:val="28"/>
                  <w:szCs w:val="28"/>
                  <w:u w:val="single"/>
                </w:rPr>
                <w:t>78</w:t>
              </w:r>
            </w:hyperlink>
            <w:r w:rsidR="00FC4AC1">
              <w:rPr>
                <w:rFonts w:ascii="Times New Roman" w:eastAsia="Times New Roman" w:hAnsi="Times New Roman" w:cs="Times New Roman"/>
                <w:sz w:val="28"/>
                <w:szCs w:val="28"/>
              </w:rPr>
              <w:t xml:space="preserve"> цього Кодексу щодо надання платниками податків відповідей на запити контролюючих органів (крім запитів контролюючих органів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(надійдуть) платникам податків по </w:t>
            </w:r>
            <w:r w:rsidR="00FC4AC1">
              <w:rPr>
                <w:rFonts w:ascii="Times New Roman" w:eastAsia="Times New Roman" w:hAnsi="Times New Roman" w:cs="Times New Roman"/>
                <w:b/>
                <w:sz w:val="28"/>
                <w:szCs w:val="28"/>
              </w:rPr>
              <w:t>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sidR="00FC4AC1">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першого календарного дня місяця, наступного за місяцем, в якому</w:t>
            </w:r>
            <w:r>
              <w:rPr>
                <w:rFonts w:ascii="Times New Roman" w:eastAsia="Times New Roman" w:hAnsi="Times New Roman" w:cs="Times New Roman"/>
                <w:b/>
                <w:sz w:val="28"/>
                <w:szCs w:val="28"/>
              </w:rPr>
              <w:t xml:space="preserve"> Закон України "Про внесення змін до Податкового кодексу України та деяких інших законів України щодо забезпечення збалансованості бюджетних надходжень" набрав чинність,</w:t>
            </w:r>
            <w:r>
              <w:rPr>
                <w:rFonts w:ascii="Times New Roman" w:eastAsia="Times New Roman" w:hAnsi="Times New Roman" w:cs="Times New Roman"/>
                <w:sz w:val="28"/>
                <w:szCs w:val="28"/>
              </w:rPr>
              <w:t xml:space="preserve"> перебіг строків, які зупинялися відповідно до цього пункту, продовжується з урахуванням часу, що минув до такого зупинення;</w:t>
            </w:r>
          </w:p>
          <w:p w:rsidR="00CA6C41" w:rsidRDefault="00CA6C4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76" w:lineRule="auto"/>
              <w:ind w:firstLine="860"/>
              <w:jc w:val="both"/>
              <w:rPr>
                <w:rFonts w:ascii="Times New Roman" w:eastAsia="Times New Roman" w:hAnsi="Times New Roman" w:cs="Times New Roman"/>
                <w:sz w:val="28"/>
                <w:szCs w:val="28"/>
              </w:rPr>
            </w:pPr>
          </w:p>
        </w:tc>
      </w:tr>
      <w:tr w:rsidR="00CA6C41">
        <w:tc>
          <w:tcPr>
            <w:tcW w:w="15655" w:type="dxa"/>
            <w:gridSpan w:val="2"/>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Лісовий кодекс України</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19. Права та обов'язки постійних лісокористувачів</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19. Права та обов'язки постійних лісокористувачів</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Постійні лісокористувачі мають:</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Постійні лісокористувачі зобов'язані:</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самостійно господарювати в лісах;</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 відсутня</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Постійні лісокористувачі мають:</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Постійні лісокористувачі зобов'язані:</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самостійно господарювати в лісах;</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 своєчасно та у повному обсязі сплачувати земельний  податок;</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20. Права та обов'язки тимчасових лісокористувачів на умовах довгострокового користування</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20. Права та обов'язки тимчасових лісокористувачів на умовах довгострокового користування</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Тимчасові лісокористувачі на умовах довгострокового користування мають право:</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Тимчасові лісокористувачі на умовах довгострокового користування зобов'язані:</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 відсутня</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Тимчасові лісокористувачі на умовах довгострокового користування мають право:</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Тимчасові лісокористувачі на умовах довгострокового користування зобов'язані:</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 своєчасно та у повному обсязі сплачувати земельний податок.</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21. Права та обов'язки тимчасових лісокористувачів на умовах короткострокового користування</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21. Права та обов'язки тимчасових лісокористувачів на умовах короткострокового користування</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Тимчасові лісокористувачі на умовах короткострокового користування мають право:</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Тимчасові лісокористувачі на умовах короткострокового користування зобов'язані:</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 відсутня</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Тимчасові лісокористувачі на умовах короткострокового користування мають право:</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Тимчасові лісокористувачі на умовах короткострокового користування зобов'язані:</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 своєчасно та у повному обсязі сплачувати земельний податок.</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77. Рентна плата за спеціальне використання лісових ресурсів</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77. Плата за спеціальне використання лісових ресурсів</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Спеціальне використання лісових ресурсів, крім розміщення пасік, є платним.</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Рентна плата за спеціальне використання лісових ресурсів встановлюється Податковим кодексом України.</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Спеціальне використання лісових ресурсів, </w:t>
            </w:r>
            <w:r>
              <w:rPr>
                <w:rFonts w:ascii="Times New Roman" w:eastAsia="Times New Roman" w:hAnsi="Times New Roman" w:cs="Times New Roman"/>
                <w:b/>
                <w:sz w:val="28"/>
                <w:szCs w:val="28"/>
              </w:rPr>
              <w:t>включаючи земельні ділянки лісового фонду</w:t>
            </w:r>
            <w:r>
              <w:rPr>
                <w:rFonts w:ascii="Times New Roman" w:eastAsia="Times New Roman" w:hAnsi="Times New Roman" w:cs="Times New Roman"/>
                <w:sz w:val="28"/>
                <w:szCs w:val="28"/>
              </w:rPr>
              <w:t>, крім розміщення пасік, є платним.</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Земельний податок справляється у порядку, визначеному Податковим кодексом України.</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78. Припинення права використання лісових ресурсів</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78. Припинення права використання лісових ресурсів</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 використання лісових ресурсів припиняється в разі:</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добровільної відмови від використання лісових ресурсів;</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порушення встановлених строків справляння збору за використання лісових ресурсів;</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Право використання лісових ресурсів припиняється в разі:</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добровільної відмови від використання лісових ресурсів;</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несвоєчасної або у неповному обсязі сплати земельного податку</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105. Відповідальність за порушення лісового законодавства</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105. Відповідальність за порушення лісового законодавства</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лісового законодавства тягне за собою дисциплінарну, адміністративну, цивільно-правову або кримінальну відповідальність відповідно до закону.</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Відповідальність за порушення лісового законодавства несуть особи, винні у:</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незаконному вирубуванні та пошкодженні дерев і чагарників;</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13) невнесенні плати за використання лісових ресурсів у встановлені строки;</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лісового законодавства тягне за собою дисциплінарну, адміністративну, цивільно-правову або кримінальну відповідальність відповідно до закону.</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Відповідальність за порушення лісового законодавства несуть особи, винні у:</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незаконному вирубуванні та пошкодженні дерев і чагарників;</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after="60" w:line="240" w:lineRule="auto"/>
              <w:ind w:left="60" w:right="6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13) несвоєчасної або у неповному обсязі сплати земельного податку;</w:t>
            </w:r>
          </w:p>
        </w:tc>
      </w:tr>
      <w:tr w:rsidR="00CA6C41">
        <w:tc>
          <w:tcPr>
            <w:tcW w:w="15655" w:type="dxa"/>
            <w:gridSpan w:val="2"/>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від 19 вересня 2019 року № 116 «Про внесення змін до Податкового кодексу України щодо подання єдиної звітності з єдиного внеску на загальнообов’язкове державне соціальне страхування і податку на доходи фізичних осіб»</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24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Внести до </w:t>
            </w:r>
            <w:hyperlink r:id="rId132">
              <w:r>
                <w:rPr>
                  <w:rFonts w:ascii="Times New Roman" w:eastAsia="Times New Roman" w:hAnsi="Times New Roman" w:cs="Times New Roman"/>
                  <w:sz w:val="28"/>
                  <w:szCs w:val="28"/>
                </w:rPr>
                <w:t>Податкового кодексу України</w:t>
              </w:r>
            </w:hyperlink>
            <w:r>
              <w:rPr>
                <w:rFonts w:ascii="Times New Roman" w:eastAsia="Times New Roman" w:hAnsi="Times New Roman" w:cs="Times New Roman"/>
                <w:sz w:val="28"/>
                <w:szCs w:val="28"/>
              </w:rPr>
              <w:t xml:space="preserve"> (Відомості Верховної Ради України, 2011 р., №№ 13-17, ст. 112) такі зміни:</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240" w:line="276"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Внести до </w:t>
            </w:r>
            <w:hyperlink r:id="rId133">
              <w:r>
                <w:rPr>
                  <w:rFonts w:ascii="Times New Roman" w:eastAsia="Times New Roman" w:hAnsi="Times New Roman" w:cs="Times New Roman"/>
                  <w:sz w:val="28"/>
                  <w:szCs w:val="28"/>
                </w:rPr>
                <w:t>Податкового кодексу України</w:t>
              </w:r>
            </w:hyperlink>
            <w:r>
              <w:rPr>
                <w:rFonts w:ascii="Times New Roman" w:eastAsia="Times New Roman" w:hAnsi="Times New Roman" w:cs="Times New Roman"/>
                <w:sz w:val="28"/>
                <w:szCs w:val="28"/>
              </w:rPr>
              <w:t xml:space="preserve"> (Відомості Верховної Ради України, 2011 р., №№ 13-17, ст. 112) такі зміни:</w:t>
            </w:r>
          </w:p>
          <w:p w:rsidR="00CA6C41" w:rsidRDefault="00CA6C41">
            <w:pPr>
              <w:pBdr>
                <w:top w:val="nil"/>
                <w:left w:val="nil"/>
                <w:bottom w:val="nil"/>
                <w:right w:val="nil"/>
                <w:between w:val="nil"/>
              </w:pBdr>
              <w:spacing w:before="240" w:after="0" w:line="276" w:lineRule="auto"/>
              <w:ind w:firstLine="860"/>
              <w:jc w:val="both"/>
              <w:rPr>
                <w:rFonts w:ascii="Times New Roman" w:eastAsia="Times New Roman" w:hAnsi="Times New Roman" w:cs="Times New Roman"/>
                <w:sz w:val="28"/>
                <w:szCs w:val="28"/>
              </w:rPr>
            </w:pP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119.2. Неподання, подання з порушенням установлених строків, подання не у повному обсязі, з недостовірними відомостями або з помилками податкової звітності про суми доходів, нарахованих (сплачених) на користь платників </w:t>
            </w:r>
            <w:r>
              <w:rPr>
                <w:rFonts w:ascii="Times New Roman" w:eastAsia="Times New Roman" w:hAnsi="Times New Roman" w:cs="Times New Roman"/>
                <w:sz w:val="28"/>
                <w:szCs w:val="28"/>
              </w:rPr>
              <w:lastRenderedPageBreak/>
              <w:t>податків - фізичних осіб, суми утриманого з них податку, суми нарахованого єдиного внеску, а також суми отриманої оплати від фізичних осіб за товари (роботи, послуги), якщо такі недостовірні відомості або помилки призвели до зменшення податкових зобов’язань платника податку, зменшення сум єдиного внеску та/або до зміни платника податку (застрахованої особи);</w:t>
            </w: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Передбачені цим пунктом штрафи не застосовуються у випадках, якщо недостовірні відомості або помилки у податковій звітності про суми доходів, нарахованих (сплачених) на користь платників податків - фізичних осіб, суми утриманого з них податку, суми нарахованого єдиного внеску, а також суми отриманої оплати від фізичних осіб за товари (роботи, послуги) виникли у зв’язку з виконанням податковим агентом вимог пункту 169.4 статті 169 цього Кодексу та були виправлені відповідно до вимог статті 50 цього Кодексу.</w:t>
            </w:r>
          </w:p>
          <w:p w:rsidR="00CA6C41" w:rsidRDefault="00FC4AC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CA6C41" w:rsidRDefault="00FC4AC1">
            <w:pPr>
              <w:pBdr>
                <w:top w:val="nil"/>
                <w:left w:val="nil"/>
                <w:bottom w:val="nil"/>
                <w:right w:val="nil"/>
                <w:between w:val="nil"/>
              </w:pBd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119.1.</w:t>
            </w:r>
            <w:r>
              <w:rPr>
                <w:rFonts w:ascii="Times New Roman" w:eastAsia="Times New Roman" w:hAnsi="Times New Roman" w:cs="Times New Roman"/>
                <w:sz w:val="28"/>
                <w:szCs w:val="28"/>
              </w:rPr>
              <w:t xml:space="preserve"> Неподання, подання з порушенням встановлених строків, подання не в повному обсязі, з недостовірними відомостями або з помилками податкової звітності про суми </w:t>
            </w:r>
            <w:r>
              <w:rPr>
                <w:rFonts w:ascii="Times New Roman" w:eastAsia="Times New Roman" w:hAnsi="Times New Roman" w:cs="Times New Roman"/>
                <w:sz w:val="28"/>
                <w:szCs w:val="28"/>
              </w:rPr>
              <w:lastRenderedPageBreak/>
              <w:t>доходів, нарахованих (сплачених) на користь платників податків – фізичних осіб, суми утриманого з них податку, суми нарахованого єдиного внеску, а також суми отриманої оплати від фізичних осіб за товари (роботи, послуги), якщо такі недостовірні відомості або помилки призвели до зменшення та/або збільшення податкових зобов’язань платника податку, зменшення сум єдиного внеску та/або до зміни платника податку (застрахованої особи);</w:t>
            </w:r>
          </w:p>
          <w:p w:rsidR="00CA6C41" w:rsidRDefault="00FC4AC1">
            <w:pPr>
              <w:pBdr>
                <w:top w:val="nil"/>
                <w:left w:val="nil"/>
                <w:bottom w:val="nil"/>
                <w:right w:val="nil"/>
                <w:between w:val="nil"/>
              </w:pBd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«Передбачені цим пунктом штрафи не застосовуються у випадках, якщо недостовірні відомості або помилки у податковій звітності про суми доходів, нарахованих (сплачених) на користь платників податків – фізичних осіб, суми утриманого з них податку, суми нарахованого єдиного внеску, а також суми отриманої оплати від фізичних осіб за товари (роботи, послуги) виникли у зв’язку з виконанням податковим агентом вимог пункту 169.4 статті 169 цього Кодексу та були виправлені відповідно до вимог статті 50 цього Кодексу»</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126.</w:t>
            </w:r>
            <w:r>
              <w:rPr>
                <w:rFonts w:ascii="Times New Roman" w:eastAsia="Times New Roman" w:hAnsi="Times New Roman" w:cs="Times New Roman"/>
                <w:sz w:val="28"/>
                <w:szCs w:val="28"/>
              </w:rPr>
              <w:t xml:space="preserve"> Порушення правил сплати (перерахування) податків</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126.1. У разі якщо платник податків не сплачує узгоджену суму грошового зобов’язання (крім випадків, передбачених пунктом 126.2 цієї статті) протягом строків, визначених цим Кодексом, такий платник податків притягується до відповідальності у вигляді штрафу у таких розмірах:</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затримці до 30 календарних днів включно, наступних за останнім днем строку сплати суми грошового зобов’язання, - у розмірі 10 відсотків погашеної суми податкового боргу;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затримці більше 30 календарних днів, наступних за останнім днем строку сплати суми грошового зобов’язання, - у розмірі 20 відсотків погашеної суми податкового боргу.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126.2. У разі порушення платником податків строку сплати до бюджету узгодженого грошового зобов’язання, передбаченого абзацом другим </w:t>
            </w:r>
            <w:hyperlink r:id="rId134" w:anchor="n5596">
              <w:r>
                <w:rPr>
                  <w:rFonts w:ascii="Times New Roman" w:eastAsia="Times New Roman" w:hAnsi="Times New Roman" w:cs="Times New Roman"/>
                  <w:sz w:val="28"/>
                  <w:szCs w:val="28"/>
                  <w:u w:val="single"/>
                </w:rPr>
                <w:t>підпункту 222.1.2</w:t>
              </w:r>
            </w:hyperlink>
            <w:r>
              <w:rPr>
                <w:rFonts w:ascii="Times New Roman" w:eastAsia="Times New Roman" w:hAnsi="Times New Roman" w:cs="Times New Roman"/>
                <w:sz w:val="28"/>
                <w:szCs w:val="28"/>
              </w:rPr>
              <w:t xml:space="preserve"> пункту 222.1 статті 222 цього Кодексу, такий платник податків притягується до відповідальності у вигляді штрафу в розмірі 20 відсотків суми такого грошового зобов’язання.</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126.3. У разі якщо контролюючий орган не надіслав (не вручив) фізичній особі податкове/податкові повідомлення-рішення з податку на майно у строки, встановлені відповідними нормами цього Кодексу, фізичні особи звільняються від відповідальності, передбаченої цим Кодексом за несвоєчасну сплату податкового зобов’язання.</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124. </w:t>
            </w:r>
            <w:r>
              <w:rPr>
                <w:rFonts w:ascii="Times New Roman" w:eastAsia="Times New Roman" w:hAnsi="Times New Roman" w:cs="Times New Roman"/>
                <w:sz w:val="28"/>
                <w:szCs w:val="28"/>
              </w:rPr>
              <w:t>Порушення правил сплати (перерахування) грошового зобов'язання</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124.1. У разі якщо платник податків не сплачує узгоджену суму грошового зобов'язання (крім грошового зобов'язання у вигляді штрафних (фінансових) санкцій, застосованих до нього на підставі цього Кодексу чи іншого законодавства, контроль за яким покладено на контролюючі органи, а також пені, застосованої до нього на підставі цього Кодексу чи іншого законодавства, контроль за яким покладено на контролюючі органи) протягом строків, визначених цим </w:t>
            </w:r>
            <w:r>
              <w:rPr>
                <w:rFonts w:ascii="Times New Roman" w:eastAsia="Times New Roman" w:hAnsi="Times New Roman" w:cs="Times New Roman"/>
                <w:b/>
                <w:sz w:val="28"/>
                <w:szCs w:val="28"/>
              </w:rPr>
              <w:lastRenderedPageBreak/>
              <w:t>Кодексом, такий платник податків притягується до відповідальності у вигляді штрафу в таких розмірах:</w:t>
            </w:r>
          </w:p>
          <w:p w:rsidR="00CA6C41" w:rsidRDefault="00CA6C4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 затримці до 30 календарних днів включно, наступних за останнім днем строку сплати суми грошового зобов'язання, - у розмірі 5 відсотків погашеної суми податкового боргу;</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 затримці більше 30 календарних днів, наступних за останнім днем строку сплати суми грошового зобов'язання, - у розмірі 10 відсотків погашеної суми податкового боргу.</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Якщо зарахування коштів з електронного рахунку в системі електронного адміністрування податку на додану вартість в оплату узгодженої суми грошового зобов'язання, визначеного в уточнюючому розрахунку до податкової декларації, здійснюється на наступний операційний (банківський) день, штрафи, визначені у цьому пункті, не застосовуються.</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124.2 У разі 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в розмірі 20 відсотків суми такого акцизного податку.</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124.3. Діяння, передбачені пунктами 124.1, 124.2 цієї статті вчинені умисно, -</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тягнуть за собою накладення штрафу в розмірі 25 відсотків від суми несплаченого (несвоєчасно сплаченого) грошового зобов'язання.</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124.4. Діяння, передбачені пунктом 124.3 цієї статті, вчинені повторно протягом 1095 календарних днів або які </w:t>
            </w:r>
            <w:r>
              <w:rPr>
                <w:rFonts w:ascii="Times New Roman" w:eastAsia="Times New Roman" w:hAnsi="Times New Roman" w:cs="Times New Roman"/>
                <w:b/>
                <w:sz w:val="28"/>
                <w:szCs w:val="28"/>
              </w:rPr>
              <w:lastRenderedPageBreak/>
              <w:t>призвели до прострочення сплати грошового зобов'язання на строк більше 90 календарних днів, -</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тягнуть за собою накладення штрафу в розмірі 50 відсотків від суми несплаченого (несвоєчасно сплаченого) грошового зобов'язання.</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124.5. За порушення строку зарахування податків до бюджетів або державних цільових фондів, установлених Законом України "Про платіжні системи та переказ коштів в Україні", з вини банку, органу, що здійснює казначейське обслуговування бюджетних коштів, установи - учасника платіжної системи, еквайрія такий банк/орган сплачує штрафи в розмірах, встановлених пунктом 124.1 цієї статті".</w:t>
            </w:r>
          </w:p>
        </w:tc>
      </w:tr>
      <w:tr w:rsidR="00CA6C41">
        <w:tc>
          <w:tcPr>
            <w:tcW w:w="7655" w:type="dxa"/>
            <w:shd w:val="clear" w:color="auto" w:fill="auto"/>
            <w:tcMar>
              <w:top w:w="0" w:type="dxa"/>
              <w:left w:w="108" w:type="dxa"/>
              <w:bottom w:w="0" w:type="dxa"/>
              <w:right w:w="108" w:type="dxa"/>
            </w:tcMar>
          </w:tcPr>
          <w:p w:rsidR="00CA6C41" w:rsidRDefault="00FC4AC1">
            <w:pPr>
              <w:spacing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У статті 215:</w:t>
            </w:r>
          </w:p>
          <w:p w:rsidR="00CA6C41" w:rsidRDefault="00FC4AC1">
            <w:pPr>
              <w:spacing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spacing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пункті 215.3:</w:t>
            </w:r>
          </w:p>
          <w:p w:rsidR="00CA6C41" w:rsidRDefault="00FC4AC1">
            <w:pPr>
              <w:spacing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spacing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підпунктом 215.3.3</w:t>
            </w:r>
            <w:r>
              <w:rPr>
                <w:rFonts w:ascii="Times New Roman" w:eastAsia="Times New Roman" w:hAnsi="Times New Roman" w:cs="Times New Roman"/>
                <w:sz w:val="28"/>
                <w:szCs w:val="28"/>
                <w:vertAlign w:val="superscript"/>
              </w:rPr>
              <w:t xml:space="preserve"> 1</w:t>
            </w:r>
            <w:r>
              <w:rPr>
                <w:rFonts w:ascii="Times New Roman" w:eastAsia="Times New Roman" w:hAnsi="Times New Roman" w:cs="Times New Roman"/>
                <w:sz w:val="28"/>
                <w:szCs w:val="28"/>
              </w:rPr>
              <w:t xml:space="preserve"> такого змісту:</w:t>
            </w:r>
          </w:p>
          <w:p w:rsidR="00CA6C41" w:rsidRDefault="00FC4AC1">
            <w:pPr>
              <w:spacing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215.3.3 1. рідини, що використовуються в електронних сигаретах:</w:t>
            </w:r>
          </w:p>
          <w:tbl>
            <w:tblPr>
              <w:tblStyle w:val="affffffffa"/>
              <w:tblW w:w="68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15"/>
              <w:gridCol w:w="2760"/>
              <w:gridCol w:w="1020"/>
              <w:gridCol w:w="975"/>
            </w:tblGrid>
            <w:tr w:rsidR="00CA6C41">
              <w:trPr>
                <w:trHeight w:val="59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Код товару (продукції) згідно з УКТ ЗЕД</w:t>
                  </w:r>
                </w:p>
              </w:tc>
              <w:tc>
                <w:tcPr>
                  <w:tcW w:w="27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Опис товару (продукції) згідно з УКТ ЗЕД</w:t>
                  </w:r>
                </w:p>
              </w:tc>
              <w:tc>
                <w:tcPr>
                  <w:tcW w:w="10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Одиниця виміру</w:t>
                  </w:r>
                </w:p>
              </w:tc>
              <w:tc>
                <w:tcPr>
                  <w:tcW w:w="9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p>
              </w:tc>
            </w:tr>
            <w:tr w:rsidR="00CA6C41">
              <w:trPr>
                <w:trHeight w:val="605"/>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line="240" w:lineRule="auto"/>
                    <w:ind w:left="140" w:right="140" w:firstLine="18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3824 90 97 20</w:t>
                  </w:r>
                </w:p>
              </w:tc>
              <w:tc>
                <w:tcPr>
                  <w:tcW w:w="2760"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Рідини, що використовуються в електронних сигаретах</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гривень за 1 літр</w:t>
                  </w: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3000";</w:t>
                  </w:r>
                </w:p>
              </w:tc>
            </w:tr>
          </w:tbl>
          <w:p w:rsidR="00CA6C41" w:rsidRDefault="00CA6C41">
            <w:pPr>
              <w:spacing w:line="240" w:lineRule="auto"/>
              <w:ind w:right="110"/>
              <w:jc w:val="both"/>
              <w:rPr>
                <w:rFonts w:ascii="Times New Roman" w:eastAsia="Times New Roman" w:hAnsi="Times New Roman" w:cs="Times New Roman"/>
                <w:sz w:val="28"/>
                <w:szCs w:val="28"/>
              </w:rPr>
            </w:pPr>
          </w:p>
        </w:tc>
        <w:tc>
          <w:tcPr>
            <w:tcW w:w="8000" w:type="dxa"/>
            <w:shd w:val="clear" w:color="auto" w:fill="auto"/>
            <w:tcMar>
              <w:top w:w="0" w:type="dxa"/>
              <w:left w:w="108" w:type="dxa"/>
              <w:bottom w:w="0" w:type="dxa"/>
              <w:right w:w="108" w:type="dxa"/>
            </w:tcMar>
          </w:tcPr>
          <w:p w:rsidR="00CA6C41" w:rsidRDefault="00FC4AC1">
            <w:pPr>
              <w:spacing w:after="0"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У статті 215:</w:t>
            </w:r>
          </w:p>
          <w:p w:rsidR="00CA6C41" w:rsidRDefault="00FC4AC1">
            <w:pPr>
              <w:spacing w:after="0"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spacing w:after="0"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пункті 215.3:</w:t>
            </w:r>
          </w:p>
          <w:p w:rsidR="00CA6C41" w:rsidRDefault="00FC4AC1">
            <w:pPr>
              <w:spacing w:after="0"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spacing w:after="0"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підпунктом 215.3.3</w:t>
            </w:r>
            <w:r>
              <w:rPr>
                <w:rFonts w:ascii="Times New Roman" w:eastAsia="Times New Roman" w:hAnsi="Times New Roman" w:cs="Times New Roman"/>
                <w:sz w:val="28"/>
                <w:szCs w:val="28"/>
                <w:vertAlign w:val="superscript"/>
              </w:rPr>
              <w:t xml:space="preserve"> 1</w:t>
            </w:r>
            <w:r>
              <w:rPr>
                <w:rFonts w:ascii="Times New Roman" w:eastAsia="Times New Roman" w:hAnsi="Times New Roman" w:cs="Times New Roman"/>
                <w:sz w:val="28"/>
                <w:szCs w:val="28"/>
              </w:rPr>
              <w:t xml:space="preserve"> такого змісту:</w:t>
            </w:r>
          </w:p>
          <w:p w:rsidR="00CA6C41" w:rsidRDefault="00FC4AC1">
            <w:pPr>
              <w:spacing w:after="0" w:line="240" w:lineRule="auto"/>
              <w:ind w:firstLine="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215.3.3 1. рідини, що використовуються в електронних сигаретах:</w:t>
            </w:r>
          </w:p>
          <w:tbl>
            <w:tblPr>
              <w:tblStyle w:val="affffffffb"/>
              <w:tblW w:w="68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15"/>
              <w:gridCol w:w="2760"/>
              <w:gridCol w:w="1020"/>
              <w:gridCol w:w="975"/>
            </w:tblGrid>
            <w:tr w:rsidR="00CA6C41">
              <w:trPr>
                <w:trHeight w:val="59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Код товару (продукції) згідно з УКТ ЗЕД</w:t>
                  </w:r>
                </w:p>
              </w:tc>
              <w:tc>
                <w:tcPr>
                  <w:tcW w:w="27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Опис товару (продукції) згідно з УКТ ЗЕД</w:t>
                  </w:r>
                </w:p>
              </w:tc>
              <w:tc>
                <w:tcPr>
                  <w:tcW w:w="10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Одиниця виміру</w:t>
                  </w:r>
                </w:p>
              </w:tc>
              <w:tc>
                <w:tcPr>
                  <w:tcW w:w="9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Ставка податку</w:t>
                  </w:r>
                </w:p>
              </w:tc>
            </w:tr>
            <w:tr w:rsidR="00CA6C41">
              <w:trPr>
                <w:trHeight w:val="605"/>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40" w:right="140" w:firstLine="18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3824 99 96 20</w:t>
                  </w:r>
                </w:p>
              </w:tc>
              <w:tc>
                <w:tcPr>
                  <w:tcW w:w="2760"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Рідини, що використовуються в електронних сигаретах</w:t>
                  </w:r>
                </w:p>
              </w:tc>
              <w:tc>
                <w:tcPr>
                  <w:tcW w:w="1020"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40" w:right="140" w:firstLine="180"/>
                    <w:rPr>
                      <w:rFonts w:ascii="Times New Roman" w:eastAsia="Times New Roman" w:hAnsi="Times New Roman" w:cs="Times New Roman"/>
                      <w:sz w:val="28"/>
                      <w:szCs w:val="28"/>
                    </w:rPr>
                  </w:pPr>
                  <w:r>
                    <w:rPr>
                      <w:rFonts w:ascii="Times New Roman" w:eastAsia="Times New Roman" w:hAnsi="Times New Roman" w:cs="Times New Roman"/>
                      <w:sz w:val="28"/>
                      <w:szCs w:val="28"/>
                    </w:rPr>
                    <w:t>гривень за 1 літр</w:t>
                  </w: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rsidR="00CA6C41" w:rsidRDefault="00FC4AC1">
                  <w:pPr>
                    <w:spacing w:after="0" w:line="240" w:lineRule="auto"/>
                    <w:ind w:left="140" w:right="140" w:firstLine="18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3000";</w:t>
                  </w:r>
                </w:p>
              </w:tc>
            </w:tr>
          </w:tbl>
          <w:p w:rsidR="00CA6C41" w:rsidRDefault="00CA6C41">
            <w:pPr>
              <w:spacing w:after="0" w:line="240" w:lineRule="auto"/>
              <w:ind w:right="110"/>
              <w:jc w:val="both"/>
              <w:rPr>
                <w:rFonts w:ascii="Times New Roman" w:eastAsia="Times New Roman" w:hAnsi="Times New Roman" w:cs="Times New Roman"/>
                <w:sz w:val="28"/>
                <w:szCs w:val="28"/>
              </w:rPr>
            </w:pP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II. Прикінцеві положення</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Цей Закон набирає чинності з 1 січня 2021 року.</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240" w:after="0" w:line="240" w:lineRule="auto"/>
              <w:ind w:firstLine="8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ІІ. Прикінцеві положення</w:t>
            </w:r>
          </w:p>
          <w:p w:rsidR="00CA6C41" w:rsidRDefault="00FC4AC1">
            <w:pPr>
              <w:pBdr>
                <w:top w:val="nil"/>
                <w:left w:val="nil"/>
                <w:bottom w:val="nil"/>
                <w:right w:val="nil"/>
                <w:between w:val="nil"/>
              </w:pBdr>
              <w:spacing w:before="240" w:after="0" w:line="240" w:lineRule="auto"/>
              <w:ind w:firstLine="86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1. Цей Закон набирає чинності з 1 січня 2021 року, </w:t>
            </w:r>
            <w:r>
              <w:rPr>
                <w:rFonts w:ascii="Times New Roman" w:eastAsia="Times New Roman" w:hAnsi="Times New Roman" w:cs="Times New Roman"/>
                <w:b/>
                <w:sz w:val="28"/>
                <w:szCs w:val="28"/>
              </w:rPr>
              <w:t>крім пунктів 3 (щодо змін до пункту 119.1 статті 119) та 3</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xml:space="preserve"> і 3</w:t>
            </w:r>
            <w:r>
              <w:rPr>
                <w:rFonts w:ascii="Times New Roman" w:eastAsia="Times New Roman" w:hAnsi="Times New Roman" w:cs="Times New Roman"/>
                <w:b/>
                <w:sz w:val="28"/>
                <w:szCs w:val="28"/>
                <w:vertAlign w:val="superscript"/>
              </w:rPr>
              <w:t>-2</w:t>
            </w:r>
            <w:r>
              <w:rPr>
                <w:rFonts w:ascii="Times New Roman" w:eastAsia="Times New Roman" w:hAnsi="Times New Roman" w:cs="Times New Roman"/>
                <w:b/>
                <w:sz w:val="28"/>
                <w:szCs w:val="28"/>
              </w:rPr>
              <w:t xml:space="preserve">  (щодо змін до статей 124 та 215), що набирають чинності з 2 січня 2021 року</w:t>
            </w:r>
          </w:p>
        </w:tc>
      </w:tr>
      <w:tr w:rsidR="00CA6C41">
        <w:tc>
          <w:tcPr>
            <w:tcW w:w="15655" w:type="dxa"/>
            <w:gridSpan w:val="2"/>
            <w:shd w:val="clear" w:color="auto" w:fill="auto"/>
            <w:tcMar>
              <w:top w:w="0" w:type="dxa"/>
              <w:left w:w="108" w:type="dxa"/>
              <w:bottom w:w="0" w:type="dxa"/>
              <w:right w:w="108" w:type="dxa"/>
            </w:tcMar>
          </w:tcPr>
          <w:p w:rsidR="00CA6C41" w:rsidRDefault="00CA6C41">
            <w:pPr>
              <w:pBdr>
                <w:top w:val="nil"/>
                <w:left w:val="nil"/>
                <w:bottom w:val="nil"/>
                <w:right w:val="nil"/>
                <w:between w:val="nil"/>
              </w:pBdr>
              <w:spacing w:after="0" w:line="240" w:lineRule="auto"/>
              <w:ind w:firstLine="312"/>
              <w:jc w:val="center"/>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збір та облік єдиного внеску на загальнообов’язкове державне соціальне страхування"  від 08 липня 2010 року № 2464-VI</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25.</w:t>
            </w:r>
            <w:r>
              <w:rPr>
                <w:rFonts w:ascii="Times New Roman" w:eastAsia="Times New Roman" w:hAnsi="Times New Roman" w:cs="Times New Roman"/>
                <w:sz w:val="28"/>
                <w:szCs w:val="28"/>
              </w:rPr>
              <w:t xml:space="preserve"> Заходи впливу та стягнення</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У разі якщо платник єдиного внеску протягом десяти календарних днів з дня отримання вимоги не сплатив зазначені у вимозі суми недоїмки та штрафів разом з нарахованою пенею, не узгодив вимогу з податковим органом шляхом оскарження в адміністративному чи судовому порядку або не сплатив узгоджену суму недоїмки протягом десяти календарних днів з дня отримання узгодженої вимоги, податковий орган </w:t>
            </w:r>
            <w:r>
              <w:rPr>
                <w:rFonts w:ascii="Times New Roman" w:eastAsia="Times New Roman" w:hAnsi="Times New Roman" w:cs="Times New Roman"/>
                <w:b/>
                <w:sz w:val="28"/>
                <w:szCs w:val="28"/>
              </w:rPr>
              <w:t>надсилає в порядку, встановленому законом</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до підрозділу державної виконавчої служби узгоджену вимогу про сплату недоїмки в електронній формі.</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25.</w:t>
            </w:r>
            <w:r>
              <w:rPr>
                <w:rFonts w:ascii="Times New Roman" w:eastAsia="Times New Roman" w:hAnsi="Times New Roman" w:cs="Times New Roman"/>
                <w:sz w:val="28"/>
                <w:szCs w:val="28"/>
              </w:rPr>
              <w:t xml:space="preserve"> Заходи впливу та стягнення</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разі якщо платник єдиного внеску протягом десяти календарних днів з дня отримання вимоги не сплатив зазначені у вимозі суми недоїмки та штрафів разом з нарахованою пенею, не узгодив вимогу з податковим органом шляхом оскарження в адміністративному чи судовому порядку або не сплатив узгоджену суму недоїмки протягом десяти календарних днів з дня отримання узгодженої вимоги, податковий орган </w:t>
            </w:r>
            <w:r>
              <w:rPr>
                <w:rFonts w:ascii="Times New Roman" w:eastAsia="Times New Roman" w:hAnsi="Times New Roman" w:cs="Times New Roman"/>
                <w:b/>
                <w:sz w:val="28"/>
                <w:szCs w:val="28"/>
              </w:rPr>
              <w:t>видає та пред’являє до виконання</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підрозділу державної виконавчої служби узгоджену вимогу про сплату недоїмки у порядку, встановленому Законом України «Про виконавче провадження</w:t>
            </w:r>
            <w:r>
              <w:rPr>
                <w:rFonts w:ascii="Times New Roman" w:eastAsia="Times New Roman" w:hAnsi="Times New Roman" w:cs="Times New Roman"/>
                <w:sz w:val="28"/>
                <w:szCs w:val="28"/>
              </w:rPr>
              <w:t>».</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60" w:line="240" w:lineRule="auto"/>
              <w:ind w:left="460" w:right="46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Розділ VIII ПРИКІНЦЕВІ ТА ПЕРЕХІДНІ ПОЛОЖЕННЯ</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160" w:line="240" w:lineRule="auto"/>
              <w:ind w:left="460" w:right="46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VIII ПРИКІНЦЕВІ ТА ПЕРЕХІДНІ ПОЛОЖЕННЯ</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Pr>
                <w:rFonts w:ascii="Times New Roman" w:eastAsia="Times New Roman" w:hAnsi="Times New Roman" w:cs="Times New Roman"/>
                <w:b/>
                <w:sz w:val="28"/>
                <w:szCs w:val="28"/>
                <w:vertAlign w:val="superscript"/>
              </w:rPr>
              <w:t>-12</w:t>
            </w:r>
            <w:r>
              <w:rPr>
                <w:rFonts w:ascii="Times New Roman" w:eastAsia="Times New Roman" w:hAnsi="Times New Roman" w:cs="Times New Roman"/>
                <w:sz w:val="28"/>
                <w:szCs w:val="28"/>
              </w:rPr>
              <w:t>. Установити мораторій на проведення документальних перевірок правильності нарахування, обчислення та сплати єдиного внеску на період з 18 березня 2020 року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CA6C41" w:rsidRDefault="00CA6C41">
            <w:pPr>
              <w:pBdr>
                <w:top w:val="nil"/>
                <w:left w:val="nil"/>
                <w:bottom w:val="nil"/>
                <w:right w:val="nil"/>
                <w:between w:val="nil"/>
              </w:pBdr>
              <w:spacing w:after="0" w:line="240" w:lineRule="auto"/>
              <w:ind w:firstLine="312"/>
              <w:jc w:val="both"/>
              <w:rPr>
                <w:rFonts w:ascii="Times New Roman" w:eastAsia="Times New Roman" w:hAnsi="Times New Roman" w:cs="Times New Roman"/>
                <w:sz w:val="28"/>
                <w:szCs w:val="28"/>
              </w:rPr>
            </w:pP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9</w:t>
            </w:r>
            <w:r>
              <w:rPr>
                <w:rFonts w:ascii="Times New Roman" w:eastAsia="Times New Roman" w:hAnsi="Times New Roman" w:cs="Times New Roman"/>
                <w:b/>
                <w:sz w:val="28"/>
                <w:szCs w:val="28"/>
                <w:vertAlign w:val="superscript"/>
              </w:rPr>
              <w:t>-12</w:t>
            </w:r>
            <w:r>
              <w:rPr>
                <w:rFonts w:ascii="Times New Roman" w:eastAsia="Times New Roman" w:hAnsi="Times New Roman" w:cs="Times New Roman"/>
                <w:sz w:val="28"/>
                <w:szCs w:val="28"/>
              </w:rPr>
              <w:t xml:space="preserve">. Установити мораторій на проведення документальних перевірок, правильності нарахування, обчислення та сплати єдиного внеску </w:t>
            </w:r>
            <w:r>
              <w:rPr>
                <w:rFonts w:ascii="Times New Roman" w:eastAsia="Times New Roman" w:hAnsi="Times New Roman" w:cs="Times New Roman"/>
                <w:b/>
                <w:sz w:val="28"/>
                <w:szCs w:val="28"/>
              </w:rPr>
              <w:t xml:space="preserve">платнитників податків з обсягом доходу до 20 мільйонів гривень за попередній календарний рік </w:t>
            </w:r>
            <w:r>
              <w:rPr>
                <w:rFonts w:ascii="Times New Roman" w:eastAsia="Times New Roman" w:hAnsi="Times New Roman" w:cs="Times New Roman"/>
                <w:sz w:val="28"/>
                <w:szCs w:val="28"/>
              </w:rPr>
              <w:t xml:space="preserve">на період з 18 березня 2020 року </w:t>
            </w:r>
            <w:r>
              <w:rPr>
                <w:rFonts w:ascii="Times New Roman" w:eastAsia="Times New Roman" w:hAnsi="Times New Roman" w:cs="Times New Roman"/>
                <w:b/>
                <w:sz w:val="28"/>
                <w:szCs w:val="28"/>
              </w:rPr>
              <w:t>до 01.07.2021 року.</w:t>
            </w:r>
          </w:p>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Документальні перевірки, правильності нарахування, обчислення та сплати єдиного внеску (</w:t>
            </w:r>
            <w:r>
              <w:rPr>
                <w:rFonts w:ascii="Times New Roman" w:eastAsia="Times New Roman" w:hAnsi="Times New Roman" w:cs="Times New Roman"/>
                <w:b/>
                <w:sz w:val="28"/>
                <w:szCs w:val="28"/>
              </w:rPr>
              <w:t>крім перевірок платників податків з обсягом доходу до 20 мільйонів гривень за попередній календарний рік</w:t>
            </w:r>
            <w:r>
              <w:rPr>
                <w:rFonts w:ascii="Times New Roman" w:eastAsia="Times New Roman" w:hAnsi="Times New Roman" w:cs="Times New Roman"/>
                <w:sz w:val="28"/>
                <w:szCs w:val="28"/>
              </w:rPr>
              <w:t xml:space="preserve">), що були розпочаті до 18 березня 2020 року та не були завершеними, </w:t>
            </w:r>
            <w:r>
              <w:rPr>
                <w:rFonts w:ascii="Times New Roman" w:eastAsia="Times New Roman" w:hAnsi="Times New Roman" w:cs="Times New Roman"/>
                <w:b/>
                <w:sz w:val="28"/>
                <w:szCs w:val="28"/>
              </w:rPr>
              <w:t>тимчасово зупиняються</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по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Pr>
                <w:rFonts w:ascii="Times New Roman" w:eastAsia="Times New Roman" w:hAnsi="Times New Roman" w:cs="Times New Roman"/>
                <w:sz w:val="28"/>
                <w:szCs w:val="28"/>
              </w:rPr>
              <w:t xml:space="preserve">. Документальні </w:t>
            </w:r>
            <w:r>
              <w:rPr>
                <w:rFonts w:ascii="Times New Roman" w:eastAsia="Times New Roman" w:hAnsi="Times New Roman" w:cs="Times New Roman"/>
                <w:b/>
                <w:sz w:val="28"/>
                <w:szCs w:val="28"/>
              </w:rPr>
              <w:t xml:space="preserve">перевірки правильності нарахування, обчислення та сплати єдиного внеску платників податків з обсягом доходу до 20 мільйонів гривень за попередній календарний рік, </w:t>
            </w:r>
            <w:r>
              <w:rPr>
                <w:rFonts w:ascii="Times New Roman" w:eastAsia="Times New Roman" w:hAnsi="Times New Roman" w:cs="Times New Roman"/>
                <w:sz w:val="28"/>
                <w:szCs w:val="28"/>
              </w:rPr>
              <w:t xml:space="preserve"> що були розпочаті до 18 березня 2020 року та не були завершеними, тимчасово зупиняються </w:t>
            </w:r>
            <w:r>
              <w:rPr>
                <w:rFonts w:ascii="Times New Roman" w:eastAsia="Times New Roman" w:hAnsi="Times New Roman" w:cs="Times New Roman"/>
                <w:b/>
                <w:sz w:val="28"/>
                <w:szCs w:val="28"/>
              </w:rPr>
              <w:t>до 01.07.2021 року</w:t>
            </w:r>
            <w:r>
              <w:rPr>
                <w:rFonts w:ascii="Times New Roman" w:eastAsia="Times New Roman" w:hAnsi="Times New Roman" w:cs="Times New Roman"/>
                <w:sz w:val="28"/>
                <w:szCs w:val="28"/>
              </w:rPr>
              <w:t xml:space="preserve">. </w:t>
            </w:r>
          </w:p>
          <w:p w:rsidR="00CA6C41" w:rsidRDefault="00CA6C41">
            <w:pPr>
              <w:pBdr>
                <w:top w:val="nil"/>
                <w:left w:val="nil"/>
                <w:bottom w:val="nil"/>
                <w:right w:val="nil"/>
                <w:between w:val="nil"/>
              </w:pBdr>
              <w:spacing w:before="240" w:after="0" w:line="276" w:lineRule="auto"/>
              <w:ind w:firstLine="860"/>
              <w:jc w:val="both"/>
              <w:rPr>
                <w:rFonts w:ascii="Times New Roman" w:eastAsia="Times New Roman" w:hAnsi="Times New Roman" w:cs="Times New Roman"/>
                <w:sz w:val="28"/>
                <w:szCs w:val="28"/>
              </w:rPr>
            </w:pP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9</w:t>
            </w:r>
            <w:r>
              <w:rPr>
                <w:rFonts w:ascii="Times New Roman" w:eastAsia="Times New Roman" w:hAnsi="Times New Roman" w:cs="Times New Roman"/>
                <w:sz w:val="28"/>
                <w:szCs w:val="28"/>
                <w:vertAlign w:val="superscript"/>
              </w:rPr>
              <w:t>15</w:t>
            </w:r>
            <w:r>
              <w:rPr>
                <w:rFonts w:ascii="Times New Roman" w:eastAsia="Times New Roman" w:hAnsi="Times New Roman" w:cs="Times New Roman"/>
                <w:sz w:val="28"/>
                <w:szCs w:val="28"/>
              </w:rPr>
              <w:t xml:space="preserve">. Підлягають списанню за заявою платника та у порядку, визначеному цим Законом, несплачені станом на </w:t>
            </w:r>
            <w:r>
              <w:rPr>
                <w:rFonts w:ascii="Times New Roman" w:eastAsia="Times New Roman" w:hAnsi="Times New Roman" w:cs="Times New Roman"/>
                <w:b/>
                <w:sz w:val="28"/>
                <w:szCs w:val="28"/>
              </w:rPr>
              <w:t>3 червня 2020 року</w:t>
            </w:r>
            <w:r>
              <w:rPr>
                <w:rFonts w:ascii="Times New Roman" w:eastAsia="Times New Roman" w:hAnsi="Times New Roman" w:cs="Times New Roman"/>
                <w:sz w:val="28"/>
                <w:szCs w:val="28"/>
              </w:rPr>
              <w:t xml:space="preserve"> з урахуванням особливостей, визначених цим пунктом, суми недоїмки, нараховані платникам єдиного </w:t>
            </w:r>
            <w:r>
              <w:rPr>
                <w:rFonts w:ascii="Times New Roman" w:eastAsia="Times New Roman" w:hAnsi="Times New Roman" w:cs="Times New Roman"/>
                <w:sz w:val="28"/>
                <w:szCs w:val="28"/>
              </w:rPr>
              <w:lastRenderedPageBreak/>
              <w:t>внеску, зазначеним у пунктах 4 (крім фізичних осіб - підприємців, які обрали спрощену систему оподаткування) та 5 частини першої статті 4 цього Закону, за період з 1 січня 2017 року д</w:t>
            </w:r>
            <w:r>
              <w:rPr>
                <w:rFonts w:ascii="Times New Roman" w:eastAsia="Times New Roman" w:hAnsi="Times New Roman" w:cs="Times New Roman"/>
                <w:b/>
                <w:sz w:val="28"/>
                <w:szCs w:val="28"/>
              </w:rPr>
              <w:t>о 3 червня 2020 року</w:t>
            </w:r>
            <w:r>
              <w:rPr>
                <w:rFonts w:ascii="Times New Roman" w:eastAsia="Times New Roman" w:hAnsi="Times New Roman" w:cs="Times New Roman"/>
                <w:sz w:val="28"/>
                <w:szCs w:val="28"/>
              </w:rPr>
              <w:t xml:space="preserve">, а також штрафи та пеня, нараховані на ці суми недоїмки, у разі якщо такими платниками не отримано дохід (прибуток) від їх діяльності, що підлягає обкладенню податком на доходи фізичних осіб, та за умови подання протягом </w:t>
            </w:r>
            <w:r>
              <w:rPr>
                <w:rFonts w:ascii="Times New Roman" w:eastAsia="Times New Roman" w:hAnsi="Times New Roman" w:cs="Times New Roman"/>
                <w:b/>
                <w:sz w:val="28"/>
                <w:szCs w:val="28"/>
              </w:rPr>
              <w:t>90</w:t>
            </w:r>
            <w:r>
              <w:rPr>
                <w:rFonts w:ascii="Times New Roman" w:eastAsia="Times New Roman" w:hAnsi="Times New Roman" w:cs="Times New Roman"/>
                <w:sz w:val="28"/>
                <w:szCs w:val="28"/>
              </w:rPr>
              <w:t xml:space="preserve"> календарних днів з </w:t>
            </w:r>
            <w:r>
              <w:rPr>
                <w:rFonts w:ascii="Times New Roman" w:eastAsia="Times New Roman" w:hAnsi="Times New Roman" w:cs="Times New Roman"/>
                <w:b/>
                <w:sz w:val="28"/>
                <w:szCs w:val="28"/>
              </w:rPr>
              <w:t>3 червня 2020 року:</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lastRenderedPageBreak/>
              <w:t>9</w:t>
            </w:r>
            <w:r>
              <w:rPr>
                <w:rFonts w:ascii="Times New Roman" w:eastAsia="Times New Roman" w:hAnsi="Times New Roman" w:cs="Times New Roman"/>
                <w:sz w:val="28"/>
                <w:szCs w:val="28"/>
                <w:vertAlign w:val="superscript"/>
              </w:rPr>
              <w:t>15</w:t>
            </w:r>
            <w:r>
              <w:rPr>
                <w:rFonts w:ascii="Times New Roman" w:eastAsia="Times New Roman" w:hAnsi="Times New Roman" w:cs="Times New Roman"/>
                <w:sz w:val="28"/>
                <w:szCs w:val="28"/>
              </w:rPr>
              <w:t xml:space="preserve">. Підлягають списанню за заявою платника та у порядку, визначеному цим Законом, несплачені станом на </w:t>
            </w:r>
            <w:r>
              <w:rPr>
                <w:rFonts w:ascii="Times New Roman" w:eastAsia="Times New Roman" w:hAnsi="Times New Roman" w:cs="Times New Roman"/>
                <w:b/>
                <w:sz w:val="28"/>
                <w:szCs w:val="28"/>
              </w:rPr>
              <w:t>1 січня 2021</w:t>
            </w:r>
            <w:r>
              <w:rPr>
                <w:rFonts w:ascii="Times New Roman" w:eastAsia="Times New Roman" w:hAnsi="Times New Roman" w:cs="Times New Roman"/>
                <w:sz w:val="28"/>
                <w:szCs w:val="28"/>
              </w:rPr>
              <w:t xml:space="preserve"> року з урахуванням особливостей, визначених цим пунктом, </w:t>
            </w:r>
            <w:r>
              <w:rPr>
                <w:rFonts w:ascii="Times New Roman" w:eastAsia="Times New Roman" w:hAnsi="Times New Roman" w:cs="Times New Roman"/>
                <w:sz w:val="28"/>
                <w:szCs w:val="28"/>
              </w:rPr>
              <w:lastRenderedPageBreak/>
              <w:t xml:space="preserve">суми недоїмки, нараховані платникам єдиного внеску, зазначеним у пунктах 4 (крім фізичних осіб - підприємців, які обрали спрощену систему оподаткування) та 5 частини першої статті 4 цього Закону, за період з 1 січня 2017 року до </w:t>
            </w:r>
            <w:r>
              <w:rPr>
                <w:rFonts w:ascii="Times New Roman" w:eastAsia="Times New Roman" w:hAnsi="Times New Roman" w:cs="Times New Roman"/>
                <w:b/>
                <w:sz w:val="28"/>
                <w:szCs w:val="28"/>
              </w:rPr>
              <w:t>1 січня 2021 року</w:t>
            </w:r>
            <w:r>
              <w:rPr>
                <w:rFonts w:ascii="Times New Roman" w:eastAsia="Times New Roman" w:hAnsi="Times New Roman" w:cs="Times New Roman"/>
                <w:sz w:val="28"/>
                <w:szCs w:val="28"/>
              </w:rPr>
              <w:t xml:space="preserve">, а також штрафи та пеня, нараховані на ці суми недоїмки </w:t>
            </w:r>
            <w:r>
              <w:rPr>
                <w:rFonts w:ascii="Times New Roman" w:eastAsia="Times New Roman" w:hAnsi="Times New Roman" w:cs="Times New Roman"/>
                <w:b/>
                <w:sz w:val="28"/>
                <w:szCs w:val="28"/>
              </w:rPr>
              <w:t>включно</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до дати подання заяви</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про списання недоїмки</w:t>
            </w:r>
            <w:r>
              <w:rPr>
                <w:rFonts w:ascii="Times New Roman" w:eastAsia="Times New Roman" w:hAnsi="Times New Roman" w:cs="Times New Roman"/>
                <w:sz w:val="28"/>
                <w:szCs w:val="28"/>
              </w:rPr>
              <w:t xml:space="preserve">, у разі якщо такими платниками не отримано дохід (прибуток) від їх діяльності, що підлягає обкладенню податком на доходи фізичних осіб, та за умови подання </w:t>
            </w:r>
            <w:r>
              <w:rPr>
                <w:rFonts w:ascii="Times New Roman" w:eastAsia="Times New Roman" w:hAnsi="Times New Roman" w:cs="Times New Roman"/>
                <w:b/>
                <w:sz w:val="28"/>
                <w:szCs w:val="28"/>
              </w:rPr>
              <w:t>до 1 березня 2021 року</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а) платниками, зазначеними у </w:t>
            </w:r>
            <w:hyperlink r:id="rId135" w:anchor="n85">
              <w:r>
                <w:rPr>
                  <w:rFonts w:ascii="Times New Roman" w:eastAsia="Times New Roman" w:hAnsi="Times New Roman" w:cs="Times New Roman"/>
                  <w:sz w:val="28"/>
                  <w:szCs w:val="28"/>
                </w:rPr>
                <w:t>пункті 4</w:t>
              </w:r>
            </w:hyperlink>
            <w:r>
              <w:rPr>
                <w:rFonts w:ascii="Times New Roman" w:eastAsia="Times New Roman" w:hAnsi="Times New Roman" w:cs="Times New Roman"/>
                <w:sz w:val="28"/>
                <w:szCs w:val="28"/>
              </w:rPr>
              <w:t xml:space="preserve"> частини першої статті 4 цього Закону (крім фізичних осіб - підприємців, які обрали спрощену систему оподаткування), - державному реєстратору за місцем знаходження реєстраційної справи фізичної особи - підприємця заяви про державну реєстрацію припинення підприємницької діяльності та до податкового органу - звітності відповідно до вимог </w:t>
            </w:r>
            <w:hyperlink r:id="rId136" w:anchor="n140">
              <w:r>
                <w:rPr>
                  <w:rFonts w:ascii="Times New Roman" w:eastAsia="Times New Roman" w:hAnsi="Times New Roman" w:cs="Times New Roman"/>
                  <w:sz w:val="28"/>
                  <w:szCs w:val="28"/>
                </w:rPr>
                <w:t>частини другої</w:t>
              </w:r>
            </w:hyperlink>
            <w:r>
              <w:rPr>
                <w:rFonts w:ascii="Times New Roman" w:eastAsia="Times New Roman" w:hAnsi="Times New Roman" w:cs="Times New Roman"/>
                <w:sz w:val="28"/>
                <w:szCs w:val="28"/>
              </w:rPr>
              <w:t xml:space="preserve"> статті 6 цього Закону за період з 1 січня 2017 року д</w:t>
            </w:r>
            <w:r>
              <w:rPr>
                <w:rFonts w:ascii="Times New Roman" w:eastAsia="Times New Roman" w:hAnsi="Times New Roman" w:cs="Times New Roman"/>
                <w:b/>
                <w:sz w:val="28"/>
                <w:szCs w:val="28"/>
              </w:rPr>
              <w:t>о 3 червня 2020</w:t>
            </w:r>
            <w:r>
              <w:rPr>
                <w:rFonts w:ascii="Times New Roman" w:eastAsia="Times New Roman" w:hAnsi="Times New Roman" w:cs="Times New Roman"/>
                <w:sz w:val="28"/>
                <w:szCs w:val="28"/>
              </w:rPr>
              <w:t xml:space="preserve"> року. </w:t>
            </w:r>
            <w:r>
              <w:rPr>
                <w:rFonts w:ascii="Times New Roman" w:eastAsia="Times New Roman" w:hAnsi="Times New Roman" w:cs="Times New Roman"/>
                <w:b/>
                <w:sz w:val="28"/>
                <w:szCs w:val="28"/>
              </w:rPr>
              <w:t>Зазначена звітність</w:t>
            </w:r>
            <w:r>
              <w:rPr>
                <w:rFonts w:ascii="Times New Roman" w:eastAsia="Times New Roman" w:hAnsi="Times New Roman" w:cs="Times New Roman"/>
                <w:sz w:val="28"/>
                <w:szCs w:val="28"/>
              </w:rPr>
              <w:t xml:space="preserve"> подається платником виключно у випадку, якщо вона не була подана раніше;</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r>
              <w:rPr>
                <w:rFonts w:ascii="Times New Roman" w:eastAsia="Times New Roman" w:hAnsi="Times New Roman" w:cs="Times New Roman"/>
                <w:b/>
                <w:sz w:val="28"/>
                <w:szCs w:val="28"/>
              </w:rPr>
              <w:t>особами, які станом на дату подання заяви про списання недоїмки є платниками, або у періоді з 1 січня 2017 року до дати подання заяви вважалися</w:t>
            </w:r>
            <w:r>
              <w:rPr>
                <w:rFonts w:ascii="Times New Roman" w:eastAsia="Times New Roman" w:hAnsi="Times New Roman" w:cs="Times New Roman"/>
                <w:sz w:val="28"/>
                <w:szCs w:val="28"/>
              </w:rPr>
              <w:t xml:space="preserve"> платниками, зазначеними у </w:t>
            </w:r>
            <w:hyperlink r:id="rId137" w:anchor="n85">
              <w:r>
                <w:rPr>
                  <w:rFonts w:ascii="Times New Roman" w:eastAsia="Times New Roman" w:hAnsi="Times New Roman" w:cs="Times New Roman"/>
                  <w:sz w:val="28"/>
                  <w:szCs w:val="28"/>
                </w:rPr>
                <w:t>пункті 4</w:t>
              </w:r>
            </w:hyperlink>
            <w:r>
              <w:rPr>
                <w:rFonts w:ascii="Times New Roman" w:eastAsia="Times New Roman" w:hAnsi="Times New Roman" w:cs="Times New Roman"/>
                <w:sz w:val="28"/>
                <w:szCs w:val="28"/>
              </w:rPr>
              <w:t xml:space="preserve"> частини першої статті 4 цього Закону (крім фізичних осіб - підприємців, які обрали спрощену систему оподаткування), - державному реєстратору за місцезнаходженням реєстраційної справи фізичної особи - підприємця заяви про державну реєстрацію припинення підприємницької діяльності та до податкового органу - звітності відповідно до вимог </w:t>
            </w:r>
            <w:hyperlink r:id="rId138" w:anchor="n140">
              <w:r>
                <w:rPr>
                  <w:rFonts w:ascii="Times New Roman" w:eastAsia="Times New Roman" w:hAnsi="Times New Roman" w:cs="Times New Roman"/>
                  <w:sz w:val="28"/>
                  <w:szCs w:val="28"/>
                </w:rPr>
                <w:t>частини другої</w:t>
              </w:r>
            </w:hyperlink>
            <w:r>
              <w:rPr>
                <w:rFonts w:ascii="Times New Roman" w:eastAsia="Times New Roman" w:hAnsi="Times New Roman" w:cs="Times New Roman"/>
                <w:sz w:val="28"/>
                <w:szCs w:val="28"/>
              </w:rPr>
              <w:t xml:space="preserve"> статті 6 цього Закону за період з 1 січня 2017 року до </w:t>
            </w:r>
            <w:r>
              <w:rPr>
                <w:rFonts w:ascii="Times New Roman" w:eastAsia="Times New Roman" w:hAnsi="Times New Roman" w:cs="Times New Roman"/>
                <w:b/>
                <w:sz w:val="28"/>
                <w:szCs w:val="28"/>
              </w:rPr>
              <w:t>1 січня 2021 року</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Такі документи</w:t>
            </w:r>
            <w:r>
              <w:rPr>
                <w:rFonts w:ascii="Times New Roman" w:eastAsia="Times New Roman" w:hAnsi="Times New Roman" w:cs="Times New Roman"/>
                <w:sz w:val="28"/>
                <w:szCs w:val="28"/>
              </w:rPr>
              <w:t xml:space="preserve"> подаються платником </w:t>
            </w:r>
            <w:r>
              <w:rPr>
                <w:rFonts w:ascii="Times New Roman" w:eastAsia="Times New Roman" w:hAnsi="Times New Roman" w:cs="Times New Roman"/>
                <w:b/>
                <w:sz w:val="28"/>
                <w:szCs w:val="28"/>
              </w:rPr>
              <w:t>(особою)</w:t>
            </w:r>
            <w:r>
              <w:rPr>
                <w:rFonts w:ascii="Times New Roman" w:eastAsia="Times New Roman" w:hAnsi="Times New Roman" w:cs="Times New Roman"/>
                <w:sz w:val="28"/>
                <w:szCs w:val="28"/>
              </w:rPr>
              <w:t xml:space="preserve"> виключно у випадку, якщо вони не були подані раніше.</w:t>
            </w:r>
          </w:p>
          <w:p w:rsidR="00CA6C41" w:rsidRDefault="00CA6C41">
            <w:pPr>
              <w:pBdr>
                <w:top w:val="nil"/>
                <w:left w:val="nil"/>
                <w:bottom w:val="nil"/>
                <w:right w:val="nil"/>
                <w:between w:val="nil"/>
              </w:pBdr>
              <w:spacing w:line="276" w:lineRule="auto"/>
              <w:jc w:val="both"/>
              <w:rPr>
                <w:rFonts w:ascii="Times New Roman" w:eastAsia="Times New Roman" w:hAnsi="Times New Roman" w:cs="Times New Roman"/>
                <w:sz w:val="28"/>
                <w:szCs w:val="28"/>
              </w:rPr>
            </w:pP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б) платниками, зазначеними у </w:t>
            </w:r>
            <w:hyperlink r:id="rId139" w:anchor="n87">
              <w:r>
                <w:rPr>
                  <w:rFonts w:ascii="Times New Roman" w:eastAsia="Times New Roman" w:hAnsi="Times New Roman" w:cs="Times New Roman"/>
                  <w:sz w:val="28"/>
                  <w:szCs w:val="28"/>
                </w:rPr>
                <w:t>пункті 5</w:t>
              </w:r>
            </w:hyperlink>
            <w:r>
              <w:rPr>
                <w:rFonts w:ascii="Times New Roman" w:eastAsia="Times New Roman" w:hAnsi="Times New Roman" w:cs="Times New Roman"/>
                <w:sz w:val="28"/>
                <w:szCs w:val="28"/>
              </w:rPr>
              <w:t xml:space="preserve"> частини першої статті 4 цього Закону, - до податкового органу за основним місцем обліку заяви про зняття з обліку як платника єдиного внеску та звітності відповідно до вимог </w:t>
            </w:r>
            <w:hyperlink r:id="rId140" w:anchor="n140">
              <w:r>
                <w:rPr>
                  <w:rFonts w:ascii="Times New Roman" w:eastAsia="Times New Roman" w:hAnsi="Times New Roman" w:cs="Times New Roman"/>
                  <w:sz w:val="28"/>
                  <w:szCs w:val="28"/>
                </w:rPr>
                <w:t>частини другої</w:t>
              </w:r>
            </w:hyperlink>
            <w:r>
              <w:rPr>
                <w:rFonts w:ascii="Times New Roman" w:eastAsia="Times New Roman" w:hAnsi="Times New Roman" w:cs="Times New Roman"/>
                <w:sz w:val="28"/>
                <w:szCs w:val="28"/>
              </w:rPr>
              <w:t xml:space="preserve"> статті 6 цього Закону за період з 1 січня 2017 року </w:t>
            </w:r>
            <w:r>
              <w:rPr>
                <w:rFonts w:ascii="Times New Roman" w:eastAsia="Times New Roman" w:hAnsi="Times New Roman" w:cs="Times New Roman"/>
                <w:b/>
                <w:sz w:val="28"/>
                <w:szCs w:val="28"/>
              </w:rPr>
              <w:t>до 3 червня 2020</w:t>
            </w:r>
            <w:r>
              <w:rPr>
                <w:rFonts w:ascii="Times New Roman" w:eastAsia="Times New Roman" w:hAnsi="Times New Roman" w:cs="Times New Roman"/>
                <w:sz w:val="28"/>
                <w:szCs w:val="28"/>
              </w:rPr>
              <w:t xml:space="preserve"> року. Зазначена звітність подається платником виключно у випадку, якщо вона не була подана раніше.</w:t>
            </w:r>
          </w:p>
        </w:tc>
        <w:tc>
          <w:tcPr>
            <w:tcW w:w="8000"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w:t>
            </w:r>
            <w:r>
              <w:rPr>
                <w:rFonts w:ascii="Times New Roman" w:eastAsia="Times New Roman" w:hAnsi="Times New Roman" w:cs="Times New Roman"/>
                <w:b/>
                <w:sz w:val="28"/>
                <w:szCs w:val="28"/>
              </w:rPr>
              <w:t>особами, які станом на дату подання заяви про списання недоїмки є платниками, або у періоді з 1 січня 2017 року до дати подання заяви вважалися</w:t>
            </w:r>
            <w:r>
              <w:rPr>
                <w:rFonts w:ascii="Times New Roman" w:eastAsia="Times New Roman" w:hAnsi="Times New Roman" w:cs="Times New Roman"/>
                <w:sz w:val="28"/>
                <w:szCs w:val="28"/>
              </w:rPr>
              <w:t xml:space="preserve"> платниками, зазначеними у </w:t>
            </w:r>
            <w:hyperlink r:id="rId141" w:anchor="n87">
              <w:r>
                <w:rPr>
                  <w:rFonts w:ascii="Times New Roman" w:eastAsia="Times New Roman" w:hAnsi="Times New Roman" w:cs="Times New Roman"/>
                  <w:sz w:val="28"/>
                  <w:szCs w:val="28"/>
                </w:rPr>
                <w:t>пункті 5</w:t>
              </w:r>
            </w:hyperlink>
            <w:r>
              <w:rPr>
                <w:rFonts w:ascii="Times New Roman" w:eastAsia="Times New Roman" w:hAnsi="Times New Roman" w:cs="Times New Roman"/>
                <w:sz w:val="28"/>
                <w:szCs w:val="28"/>
              </w:rPr>
              <w:t xml:space="preserve"> частини першої статті 4 цього Закону, - до податкового органу за основним місцем обліку заяви про зняття з обліку як платника єдиного внеску та звітності відповідно до вимог </w:t>
            </w:r>
            <w:hyperlink r:id="rId142" w:anchor="n140">
              <w:r>
                <w:rPr>
                  <w:rFonts w:ascii="Times New Roman" w:eastAsia="Times New Roman" w:hAnsi="Times New Roman" w:cs="Times New Roman"/>
                  <w:sz w:val="28"/>
                  <w:szCs w:val="28"/>
                </w:rPr>
                <w:t>частини другої</w:t>
              </w:r>
            </w:hyperlink>
            <w:r>
              <w:rPr>
                <w:rFonts w:ascii="Times New Roman" w:eastAsia="Times New Roman" w:hAnsi="Times New Roman" w:cs="Times New Roman"/>
                <w:sz w:val="28"/>
                <w:szCs w:val="28"/>
              </w:rPr>
              <w:t xml:space="preserve"> статті 6 цього Закону за період з 1 січня 2017 року до </w:t>
            </w:r>
            <w:r>
              <w:rPr>
                <w:rFonts w:ascii="Times New Roman" w:eastAsia="Times New Roman" w:hAnsi="Times New Roman" w:cs="Times New Roman"/>
                <w:b/>
                <w:sz w:val="28"/>
                <w:szCs w:val="28"/>
              </w:rPr>
              <w:t xml:space="preserve">1 січня 2021 </w:t>
            </w:r>
            <w:r>
              <w:rPr>
                <w:rFonts w:ascii="Times New Roman" w:eastAsia="Times New Roman" w:hAnsi="Times New Roman" w:cs="Times New Roman"/>
                <w:sz w:val="28"/>
                <w:szCs w:val="28"/>
              </w:rPr>
              <w:t xml:space="preserve">року. </w:t>
            </w:r>
            <w:r>
              <w:rPr>
                <w:rFonts w:ascii="Times New Roman" w:eastAsia="Times New Roman" w:hAnsi="Times New Roman" w:cs="Times New Roman"/>
                <w:b/>
                <w:sz w:val="28"/>
                <w:szCs w:val="28"/>
              </w:rPr>
              <w:t>Такі документи подаються</w:t>
            </w:r>
            <w:r>
              <w:rPr>
                <w:rFonts w:ascii="Times New Roman" w:eastAsia="Times New Roman" w:hAnsi="Times New Roman" w:cs="Times New Roman"/>
                <w:sz w:val="28"/>
                <w:szCs w:val="28"/>
              </w:rPr>
              <w:t xml:space="preserve"> платником </w:t>
            </w:r>
            <w:r>
              <w:rPr>
                <w:rFonts w:ascii="Times New Roman" w:eastAsia="Times New Roman" w:hAnsi="Times New Roman" w:cs="Times New Roman"/>
                <w:b/>
                <w:sz w:val="28"/>
                <w:szCs w:val="28"/>
              </w:rPr>
              <w:t>(особою)</w:t>
            </w:r>
            <w:r>
              <w:rPr>
                <w:rFonts w:ascii="Times New Roman" w:eastAsia="Times New Roman" w:hAnsi="Times New Roman" w:cs="Times New Roman"/>
                <w:sz w:val="28"/>
                <w:szCs w:val="28"/>
              </w:rPr>
              <w:t xml:space="preserve"> виключно у випадку, якщо </w:t>
            </w:r>
            <w:r>
              <w:rPr>
                <w:rFonts w:ascii="Times New Roman" w:eastAsia="Times New Roman" w:hAnsi="Times New Roman" w:cs="Times New Roman"/>
                <w:b/>
                <w:sz w:val="28"/>
                <w:szCs w:val="28"/>
              </w:rPr>
              <w:t>вони не були подані</w:t>
            </w:r>
            <w:r>
              <w:rPr>
                <w:rFonts w:ascii="Times New Roman" w:eastAsia="Times New Roman" w:hAnsi="Times New Roman" w:cs="Times New Roman"/>
                <w:sz w:val="28"/>
                <w:szCs w:val="28"/>
              </w:rPr>
              <w:t xml:space="preserve"> раніше.</w:t>
            </w:r>
          </w:p>
        </w:tc>
      </w:tr>
      <w:tr w:rsidR="00CA6C41">
        <w:tc>
          <w:tcPr>
            <w:tcW w:w="7655"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76" w:lineRule="auto"/>
              <w:ind w:left="1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Після отримання у встановленому законом порядку відповідних відомостей від державного реєстратора або заяви про зняття з обліку як платника єдиного внеску та за умови подання платником єдиного внеску зазначеної звітності (якщо відповідна звітність не була подана раніше) податковий орган протягом 15 робочих днів проводить камеральну перевірку, за результатами якої приймає рішення про списання суми недоїмки, штрафних санкцій і пені або вмотивоване рішення про відмову списання суми недоїмки, штрафних санкцій і пені.</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Після отримання у встановленому законом порядку відповідних відомостей від державного реєстратора або заяви про зняття з обліку як платника єдиного внеску та за умови подання платником єдиного внеску </w:t>
            </w:r>
            <w:r>
              <w:rPr>
                <w:rFonts w:ascii="Times New Roman" w:eastAsia="Times New Roman" w:hAnsi="Times New Roman" w:cs="Times New Roman"/>
                <w:b/>
                <w:sz w:val="28"/>
                <w:szCs w:val="28"/>
              </w:rPr>
              <w:t>(особою)</w:t>
            </w:r>
            <w:r>
              <w:rPr>
                <w:rFonts w:ascii="Times New Roman" w:eastAsia="Times New Roman" w:hAnsi="Times New Roman" w:cs="Times New Roman"/>
                <w:sz w:val="28"/>
                <w:szCs w:val="28"/>
              </w:rPr>
              <w:t xml:space="preserve"> зазначеної звітності (якщо відповідна звітність не була подана раніше) податковий орган протягом 15 робочих днів проводить камеральну перевірку, за результатами якої приймає рішення про списання суми недоїмки, штрафних санкцій і пені або вмотивоване рішення про відмову списання суми недоїмки, штрафних санкцій і пені.</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Податковим органом може бути прийнято рішення про відмову </w:t>
            </w:r>
            <w:hyperlink r:id="rId143" w:anchor="w1_5">
              <w:r>
                <w:rPr>
                  <w:rFonts w:ascii="Times New Roman" w:eastAsia="Times New Roman" w:hAnsi="Times New Roman" w:cs="Times New Roman"/>
                  <w:sz w:val="28"/>
                  <w:szCs w:val="28"/>
                </w:rPr>
                <w:t>списання</w:t>
              </w:r>
            </w:hyperlink>
            <w:r>
              <w:rPr>
                <w:rFonts w:ascii="Times New Roman" w:eastAsia="Times New Roman" w:hAnsi="Times New Roman" w:cs="Times New Roman"/>
                <w:sz w:val="28"/>
                <w:szCs w:val="28"/>
              </w:rPr>
              <w:t xml:space="preserve"> суми недоїмки, штрафних санкцій і пені, за умови якщо за результатами перевірки буде встановлено, що:</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Податковим органом може бути прийнято рішення про відмову списання суми недоїмки, штрафних санкцій і пені, за умови якщо за результатами перевірки буде встановлено, що:</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Податковим органом може бути прийнято рішення про відмову </w:t>
            </w:r>
            <w:hyperlink r:id="rId144" w:anchor="w1_5">
              <w:r>
                <w:rPr>
                  <w:rFonts w:ascii="Times New Roman" w:eastAsia="Times New Roman" w:hAnsi="Times New Roman" w:cs="Times New Roman"/>
                  <w:sz w:val="28"/>
                  <w:szCs w:val="28"/>
                </w:rPr>
                <w:t>списання</w:t>
              </w:r>
            </w:hyperlink>
            <w:r>
              <w:rPr>
                <w:rFonts w:ascii="Times New Roman" w:eastAsia="Times New Roman" w:hAnsi="Times New Roman" w:cs="Times New Roman"/>
                <w:sz w:val="28"/>
                <w:szCs w:val="28"/>
              </w:rPr>
              <w:t xml:space="preserve"> суми недоїмки, штрафних санкцій і пені, за умови якщо за результатами перевірки буде встановлено, що:</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Податковим органом може бути прийнято рішення про відмову </w:t>
            </w:r>
            <w:hyperlink r:id="rId145" w:anchor="w1_5">
              <w:r>
                <w:rPr>
                  <w:rFonts w:ascii="Times New Roman" w:eastAsia="Times New Roman" w:hAnsi="Times New Roman" w:cs="Times New Roman"/>
                  <w:sz w:val="28"/>
                  <w:szCs w:val="28"/>
                </w:rPr>
                <w:t>списання</w:t>
              </w:r>
            </w:hyperlink>
            <w:r>
              <w:rPr>
                <w:rFonts w:ascii="Times New Roman" w:eastAsia="Times New Roman" w:hAnsi="Times New Roman" w:cs="Times New Roman"/>
                <w:sz w:val="28"/>
                <w:szCs w:val="28"/>
              </w:rPr>
              <w:t xml:space="preserve"> суми недоїмки, штрафних санкцій і пені, за умови якщо за результатами перевірки буде встановлено, що:</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платник податків отримав дохід (прибуток) протягом періоду з 1 січня 2017 року до 3 червня 2020 року;</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платник податків отримав дохід (прибуток) </w:t>
            </w:r>
            <w:r>
              <w:rPr>
                <w:rFonts w:ascii="Times New Roman" w:eastAsia="Times New Roman" w:hAnsi="Times New Roman" w:cs="Times New Roman"/>
                <w:b/>
                <w:sz w:val="28"/>
                <w:szCs w:val="28"/>
              </w:rPr>
              <w:t>від</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здійснення підприємницької та/або незалежної професійної діяльності</w:t>
            </w:r>
            <w:r>
              <w:rPr>
                <w:rFonts w:ascii="Times New Roman" w:eastAsia="Times New Roman" w:hAnsi="Times New Roman" w:cs="Times New Roman"/>
                <w:sz w:val="28"/>
                <w:szCs w:val="28"/>
              </w:rPr>
              <w:t xml:space="preserve"> протягом періоду з 1 січня 2017 року до </w:t>
            </w:r>
            <w:r>
              <w:rPr>
                <w:rFonts w:ascii="Times New Roman" w:eastAsia="Times New Roman" w:hAnsi="Times New Roman" w:cs="Times New Roman"/>
                <w:b/>
                <w:sz w:val="28"/>
                <w:szCs w:val="28"/>
              </w:rPr>
              <w:t>1 січня 2021 року</w:t>
            </w:r>
            <w:r>
              <w:rPr>
                <w:rFonts w:ascii="Times New Roman" w:eastAsia="Times New Roman" w:hAnsi="Times New Roman" w:cs="Times New Roman"/>
                <w:sz w:val="28"/>
                <w:szCs w:val="28"/>
              </w:rPr>
              <w:t>;</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суми недоїмки, а також штрафи та пеня, нараховані на суми недоїмки, були в повному обсязі самостійно сплачені платником або стягнуті у порядку, передбаченому цим Законом.</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суми недоїмки, а також штрафи та пеня, нараховані на суми недоїмки, були в повному обсязі самостійно сплачені платником </w:t>
            </w:r>
            <w:r>
              <w:rPr>
                <w:rFonts w:ascii="Times New Roman" w:eastAsia="Times New Roman" w:hAnsi="Times New Roman" w:cs="Times New Roman"/>
                <w:b/>
                <w:sz w:val="28"/>
                <w:szCs w:val="28"/>
              </w:rPr>
              <w:t xml:space="preserve">(особою) </w:t>
            </w:r>
            <w:r>
              <w:rPr>
                <w:rFonts w:ascii="Times New Roman" w:eastAsia="Times New Roman" w:hAnsi="Times New Roman" w:cs="Times New Roman"/>
                <w:sz w:val="28"/>
                <w:szCs w:val="28"/>
              </w:rPr>
              <w:t>або стягнуті у порядку, передбаченому цим Законом.</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якщо суми недоїмки, а також штрафи та пеня, нараховані на суми недоїмки, були частково самостійно сплачені платником та/або стягнуті у порядку, передбаченому цим Законом, податковий орган приймає рішення про списання суми недоїмки, штрафних санкцій і пені у частині, що залишилася несплаченою.</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разі якщо суми недоїмки, а також штрафи та пеня, нараховані на суми недоїмки, були частково самостійно сплачені платником </w:t>
            </w:r>
            <w:r>
              <w:rPr>
                <w:rFonts w:ascii="Times New Roman" w:eastAsia="Times New Roman" w:hAnsi="Times New Roman" w:cs="Times New Roman"/>
                <w:b/>
                <w:sz w:val="28"/>
                <w:szCs w:val="28"/>
              </w:rPr>
              <w:t>(особою)</w:t>
            </w:r>
            <w:r>
              <w:rPr>
                <w:rFonts w:ascii="Times New Roman" w:eastAsia="Times New Roman" w:hAnsi="Times New Roman" w:cs="Times New Roman"/>
                <w:sz w:val="28"/>
                <w:szCs w:val="28"/>
              </w:rPr>
              <w:t xml:space="preserve"> та/або стягнуті у порядку, передбаченому цим Законом, податковий орган приймає рішення про списання суми недоїмки, штрафних санкцій і пені у частині, що залишилася несплаченою.</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Штрафні санкції до платника єдиного внеску, передбачені пунктом 7 частини одинадцятої статті 25 цього Закону, за наведених умов не застосовуються.</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Штрафні санкції до платника єдиного внеску, передбачені пунктом 7 частини одинадцятої статті 25 цього Закону, за наведених умов не застосовуються.</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Вимога про сплату суми недоїмки, штрафних санкцій і пені вважається відкликаною у день прийняття податковим органом рішення про списання суми недоїмки, штрафних санкцій і пені.</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Вимога про сплату суми недоїмки, штрафних санкцій і пені вважається відкликаною у день прийняття податковим органом рішення про списання суми недоїмки, штрафних санкцій і пені.</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Нараховані та сплачені або стягнуті за зазначений період суми недоїмки, штрафних санкцій і пені відповідно до цього Закону не підлягають поверненню.</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Нараховані та сплачені або стягнуті за зазначений період суми недоїмки, штрафних санкцій і пені відповідно до цього Закону не підлягають поверненню.</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Податковий орган протягом п’яти робочих днів з дня прийняття рішення про списання недоїмки з єдиного внеску, а також штрафів та пені, нараховані на ці суми, надає територіальним підрозділам державної виконавчої служби інформацію про такі списані суми </w:t>
            </w:r>
            <w:r>
              <w:rPr>
                <w:rFonts w:ascii="Times New Roman" w:eastAsia="Times New Roman" w:hAnsi="Times New Roman" w:cs="Times New Roman"/>
                <w:b/>
                <w:strike/>
                <w:sz w:val="28"/>
                <w:szCs w:val="28"/>
              </w:rPr>
              <w:t xml:space="preserve">податкового </w:t>
            </w:r>
            <w:r>
              <w:rPr>
                <w:rFonts w:ascii="Times New Roman" w:eastAsia="Times New Roman" w:hAnsi="Times New Roman" w:cs="Times New Roman"/>
                <w:b/>
                <w:sz w:val="28"/>
                <w:szCs w:val="28"/>
              </w:rPr>
              <w:t>недоїмки з єдиного внеску в розрізі платників єдиного внеску на загальнообов'язкове державне соціальне страхування</w:t>
            </w:r>
            <w:r>
              <w:rPr>
                <w:rFonts w:ascii="Times New Roman" w:eastAsia="Times New Roman" w:hAnsi="Times New Roman" w:cs="Times New Roman"/>
                <w:b/>
                <w:strike/>
                <w:sz w:val="28"/>
                <w:szCs w:val="28"/>
              </w:rPr>
              <w:t xml:space="preserve"> податків</w:t>
            </w:r>
            <w:r>
              <w:rPr>
                <w:rFonts w:ascii="Times New Roman" w:eastAsia="Times New Roman" w:hAnsi="Times New Roman" w:cs="Times New Roman"/>
                <w:b/>
                <w:sz w:val="28"/>
                <w:szCs w:val="28"/>
              </w:rPr>
              <w:t>.</w:t>
            </w:r>
          </w:p>
        </w:tc>
      </w:tr>
      <w:tr w:rsidR="00CA6C41">
        <w:tc>
          <w:tcPr>
            <w:tcW w:w="7655"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tc>
        <w:tc>
          <w:tcPr>
            <w:tcW w:w="800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76"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дня винесення податковим органом рішення про списання недоїмки з єдиного внеску, а також штрафів та пені, нараховані на ці суми недоїмки, на підставі наданої податковим органом інформації 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таких сум з платників єдиного внеску, яким здійснюється списання сум недоїмки, а також штрафів та пені нараховані на ці суми недоїмки, відповідно до цього пункту в порядку, визначеному Законом України «Про виконавче провадження».</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bl>
      <w:tblPr>
        <w:tblStyle w:val="affffffffc"/>
        <w:tblW w:w="1545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13"/>
        <w:gridCol w:w="7938"/>
      </w:tblGrid>
      <w:tr w:rsidR="00CA6C41">
        <w:tc>
          <w:tcPr>
            <w:tcW w:w="751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Закон України від 2 червня 2016 р. №1404-VIII «Про виконавче провадження»</w:t>
            </w:r>
          </w:p>
        </w:tc>
        <w:tc>
          <w:tcPr>
            <w:tcW w:w="793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від 2 червня 2016 р. №1404-VIII «Про виконавче провадження»</w:t>
            </w:r>
          </w:p>
        </w:tc>
      </w:tr>
      <w:tr w:rsidR="00CA6C41">
        <w:tc>
          <w:tcPr>
            <w:tcW w:w="751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39. Закінчення виконавчого провадження</w:t>
            </w:r>
          </w:p>
        </w:tc>
        <w:tc>
          <w:tcPr>
            <w:tcW w:w="793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39. Закінчення виконавчого провадження</w:t>
            </w:r>
          </w:p>
        </w:tc>
      </w:tr>
      <w:tr w:rsidR="00CA6C41">
        <w:tc>
          <w:tcPr>
            <w:tcW w:w="751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Виконавче провадження підлягає закінченню у разі:</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Підпункт відсутній </w:t>
            </w:r>
          </w:p>
        </w:tc>
        <w:tc>
          <w:tcPr>
            <w:tcW w:w="793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Виконавче провадження підлягає закінченню у разі:</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17) списання згідно з пунктом 2-</w:t>
            </w:r>
            <w:r>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 xml:space="preserve"> підрозділу 10 розділу ХХ Податкового кодексу України сум податкового боргу (у тому числі штрафних санкцій та пені).</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tc>
      </w:tr>
      <w:tr w:rsidR="00CA6C41">
        <w:tc>
          <w:tcPr>
            <w:tcW w:w="751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Підпункт відсутній </w:t>
            </w:r>
          </w:p>
        </w:tc>
        <w:tc>
          <w:tcPr>
            <w:tcW w:w="793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18) списання згідно з пункту 9</w:t>
            </w:r>
            <w:r>
              <w:rPr>
                <w:rFonts w:ascii="Times New Roman" w:eastAsia="Times New Roman" w:hAnsi="Times New Roman" w:cs="Times New Roman"/>
                <w:b/>
                <w:sz w:val="28"/>
                <w:szCs w:val="28"/>
                <w:vertAlign w:val="superscript"/>
              </w:rPr>
              <w:t xml:space="preserve">15 </w:t>
            </w:r>
            <w:r>
              <w:rPr>
                <w:rFonts w:ascii="Times New Roman" w:eastAsia="Times New Roman" w:hAnsi="Times New Roman" w:cs="Times New Roman"/>
                <w:b/>
                <w:sz w:val="28"/>
                <w:szCs w:val="28"/>
              </w:rPr>
              <w:t>Розділу VIII Закону України «Про збір та облік єдиного внеску на загальнообов’язкове державне соціальне страхування»</w:t>
            </w:r>
          </w:p>
        </w:tc>
      </w:tr>
      <w:tr w:rsidR="00CA6C41">
        <w:tc>
          <w:tcPr>
            <w:tcW w:w="751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ХІІІ «Прикінцеві та перехідні положення»</w:t>
            </w:r>
          </w:p>
        </w:tc>
        <w:tc>
          <w:tcPr>
            <w:tcW w:w="793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ХІІІ «Прикінцеві та перехідні положення»</w:t>
            </w:r>
          </w:p>
        </w:tc>
      </w:tr>
      <w:tr w:rsidR="00CA6C41">
        <w:tc>
          <w:tcPr>
            <w:tcW w:w="751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Відсутній </w:t>
            </w:r>
          </w:p>
        </w:tc>
        <w:tc>
          <w:tcPr>
            <w:tcW w:w="793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r>
              <w:rPr>
                <w:rFonts w:ascii="Times New Roman" w:eastAsia="Times New Roman" w:hAnsi="Times New Roman" w:cs="Times New Roman"/>
                <w:b/>
                <w:sz w:val="28"/>
                <w:szCs w:val="28"/>
                <w:vertAlign w:val="superscript"/>
              </w:rPr>
              <w:t>3</w:t>
            </w:r>
            <w:r>
              <w:rPr>
                <w:rFonts w:ascii="Times New Roman" w:eastAsia="Times New Roman" w:hAnsi="Times New Roman" w:cs="Times New Roman"/>
                <w:b/>
                <w:sz w:val="28"/>
                <w:szCs w:val="28"/>
              </w:rPr>
              <w:t>. Підлягають закінченню виконавчі провадження та припиняються заходи примусового виконання рішень:</w:t>
            </w:r>
          </w:p>
        </w:tc>
      </w:tr>
      <w:tr w:rsidR="00CA6C41">
        <w:tc>
          <w:tcPr>
            <w:tcW w:w="751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Підпункт відсутній</w:t>
            </w:r>
          </w:p>
        </w:tc>
        <w:tc>
          <w:tcPr>
            <w:tcW w:w="793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 відкриті згідно з пунктом 87.11 статті 87 Податкового кодексу України, щодо стягнення податкового боргу (у тому числі штрафних санкцій та пені) платникам податків, яким здійснюється списання податкового боргу відповідно до пункту 2-</w:t>
            </w:r>
            <w:r>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 xml:space="preserve"> підрозділу 10 розділу ХХ Податкового кодексу України.:</w:t>
            </w:r>
          </w:p>
        </w:tc>
      </w:tr>
      <w:tr w:rsidR="00CA6C41">
        <w:tc>
          <w:tcPr>
            <w:tcW w:w="751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підпункт відсутній</w:t>
            </w:r>
          </w:p>
        </w:tc>
        <w:tc>
          <w:tcPr>
            <w:tcW w:w="793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 щодо стягнення недоїмки з єдиного внеску (у тому числі штрафних санкцій та пені) платникам єдиного внеску, яким здійснюється списання недоїмки з єдиного внеску відповідно до пункту 9</w:t>
            </w:r>
            <w:r>
              <w:rPr>
                <w:rFonts w:ascii="Times New Roman" w:eastAsia="Times New Roman" w:hAnsi="Times New Roman" w:cs="Times New Roman"/>
                <w:b/>
                <w:sz w:val="28"/>
                <w:szCs w:val="28"/>
                <w:vertAlign w:val="superscript"/>
              </w:rPr>
              <w:t xml:space="preserve">15 </w:t>
            </w:r>
            <w:r>
              <w:rPr>
                <w:rFonts w:ascii="Times New Roman" w:eastAsia="Times New Roman" w:hAnsi="Times New Roman" w:cs="Times New Roman"/>
                <w:b/>
                <w:sz w:val="28"/>
                <w:szCs w:val="28"/>
              </w:rPr>
              <w:t>Розділу VIII Закону України «Про збір та облік єдиного внеску на загальнообов’язкове державне соціальне страхування».</w:t>
            </w:r>
          </w:p>
        </w:tc>
      </w:tr>
      <w:tr w:rsidR="00CA6C41">
        <w:tc>
          <w:tcPr>
            <w:tcW w:w="7513"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Абзац відсутній</w:t>
            </w:r>
          </w:p>
        </w:tc>
        <w:tc>
          <w:tcPr>
            <w:tcW w:w="793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такому разі виконавчий збір не стягується з частини суми, що відповідає списаній сумі податкового боргу, а відповідні постанови – підлягають закриттю.</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bl>
      <w:tblPr>
        <w:tblStyle w:val="affffffffd"/>
        <w:tblW w:w="1545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56"/>
        <w:gridCol w:w="7896"/>
      </w:tblGrid>
      <w:tr w:rsidR="00CA6C41">
        <w:tc>
          <w:tcPr>
            <w:tcW w:w="755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від 19.05.2020 №481 «Про державне регулювання виробництва і обігу спирту етилового, коньячного і плодового, алкогольних напоїв, тютюнових виробів та пального»</w:t>
            </w:r>
          </w:p>
        </w:tc>
        <w:tc>
          <w:tcPr>
            <w:tcW w:w="78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від 19.05.2020 №481 «Про державне регулювання виробництва і обігу спирту етилового, коньячного і плодового, алкогольних напоїв, тютюнових виробів та пального»</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right="-289"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 Визначення основних понять і термінів</w:t>
            </w:r>
          </w:p>
          <w:p w:rsidR="00CA6C41" w:rsidRDefault="00FC4AC1">
            <w:pPr>
              <w:pBdr>
                <w:top w:val="nil"/>
                <w:left w:val="nil"/>
                <w:bottom w:val="nil"/>
                <w:right w:val="nil"/>
                <w:between w:val="nil"/>
              </w:pBdr>
              <w:spacing w:before="80" w:after="80" w:line="240" w:lineRule="auto"/>
              <w:ind w:right="-289"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цьому Законі наведені нижче терміни вживаються в такому значенні:</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right="-289"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 Визначення основних понять і термінів</w:t>
            </w:r>
          </w:p>
          <w:p w:rsidR="00CA6C41" w:rsidRDefault="00FC4AC1">
            <w:pPr>
              <w:pBdr>
                <w:top w:val="nil"/>
                <w:left w:val="nil"/>
                <w:bottom w:val="nil"/>
                <w:right w:val="nil"/>
                <w:between w:val="nil"/>
              </w:pBdr>
              <w:spacing w:before="80" w:after="80" w:line="240" w:lineRule="auto"/>
              <w:ind w:right="-289"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цьому Законі наведені нижче терміни вживаються в такому значенні:</w:t>
            </w:r>
          </w:p>
        </w:tc>
      </w:tr>
      <w:tr w:rsidR="00CA6C41">
        <w:tc>
          <w:tcPr>
            <w:tcW w:w="7556"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80" w:after="80" w:line="240" w:lineRule="auto"/>
              <w:ind w:right="-289" w:firstLine="425"/>
              <w:jc w:val="both"/>
              <w:rPr>
                <w:rFonts w:ascii="Times New Roman" w:eastAsia="Times New Roman" w:hAnsi="Times New Roman" w:cs="Times New Roman"/>
                <w:b/>
                <w:sz w:val="28"/>
                <w:szCs w:val="28"/>
              </w:rPr>
            </w:pPr>
          </w:p>
        </w:tc>
        <w:tc>
          <w:tcPr>
            <w:tcW w:w="7896"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80" w:after="80" w:line="240" w:lineRule="auto"/>
              <w:ind w:right="-5" w:firstLine="425"/>
              <w:jc w:val="both"/>
              <w:rPr>
                <w:rFonts w:ascii="Times New Roman" w:eastAsia="Times New Roman" w:hAnsi="Times New Roman" w:cs="Times New Roman"/>
                <w:b/>
                <w:sz w:val="28"/>
                <w:szCs w:val="28"/>
              </w:rPr>
            </w:pP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right="-5" w:firstLine="425"/>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Єдиний державний реєстр обладнання для промислового виробництва сигарет та цигарок (далі - Єдиний реєстр обладнання) - </w:t>
            </w:r>
            <w:r>
              <w:rPr>
                <w:rFonts w:ascii="Times New Roman" w:eastAsia="Times New Roman" w:hAnsi="Times New Roman" w:cs="Times New Roman"/>
                <w:b/>
                <w:sz w:val="28"/>
                <w:szCs w:val="28"/>
              </w:rPr>
              <w:t>перелік технологічного обладнання для промислового виробництва сигарет та цигарок, що містить визначені цим Законом відомості про таке обладнання, який ведеться центральним органом виконавчої влади, що реалізує державну податкову політику;</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right="-5" w:firstLine="425"/>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Єдиний державний реєстр обладнання для промислового виробництва тютюнових виробів (далі – Єдиний реєстр обладнання) - </w:t>
            </w:r>
            <w:r>
              <w:rPr>
                <w:rFonts w:ascii="Times New Roman" w:eastAsia="Times New Roman" w:hAnsi="Times New Roman" w:cs="Times New Roman"/>
                <w:b/>
                <w:sz w:val="28"/>
                <w:szCs w:val="28"/>
              </w:rPr>
              <w:t>автоматизована система збирання, накопичення, обліку та надання інформації про обладнання для промислового виробництва тютюнових виробів. Єдиний реєстр обладнання ведеться в електронному вигляді;</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right="-289"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 норми</w:t>
            </w:r>
          </w:p>
          <w:p w:rsidR="00CA6C41" w:rsidRDefault="00FC4AC1">
            <w:pPr>
              <w:pBdr>
                <w:top w:val="nil"/>
                <w:left w:val="nil"/>
                <w:bottom w:val="nil"/>
                <w:right w:val="nil"/>
                <w:between w:val="nil"/>
              </w:pBdr>
              <w:spacing w:before="240" w:after="240" w:line="240" w:lineRule="auto"/>
              <w:ind w:right="-289"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120" w:after="12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Обладнання для промислового виробництва тютюнових виробів – автоматизовані машини (механізми), що призначені для промислового:</w:t>
            </w:r>
          </w:p>
          <w:p w:rsidR="00CA6C41" w:rsidRDefault="00FC4AC1">
            <w:pPr>
              <w:pBdr>
                <w:top w:val="nil"/>
                <w:left w:val="nil"/>
                <w:bottom w:val="nil"/>
                <w:right w:val="nil"/>
                <w:between w:val="nil"/>
              </w:pBdr>
              <w:spacing w:before="120" w:after="12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нарізання тютюнового листа для наступного використання у виробництві тютюнових виробів;</w:t>
            </w:r>
          </w:p>
          <w:p w:rsidR="00CA6C41" w:rsidRDefault="00FC4AC1">
            <w:pPr>
              <w:pBdr>
                <w:top w:val="nil"/>
                <w:left w:val="nil"/>
                <w:bottom w:val="nil"/>
                <w:right w:val="nil"/>
                <w:between w:val="nil"/>
              </w:pBdr>
              <w:spacing w:before="120" w:after="12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виробництва відновленого тютюну;</w:t>
            </w:r>
          </w:p>
          <w:p w:rsidR="00CA6C41" w:rsidRDefault="00FC4AC1">
            <w:pPr>
              <w:pBdr>
                <w:top w:val="nil"/>
                <w:left w:val="nil"/>
                <w:bottom w:val="nil"/>
                <w:right w:val="nil"/>
                <w:between w:val="nil"/>
              </w:pBdr>
              <w:spacing w:before="120" w:after="12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виготовлення (виробництва) сигарет, цигарок, сигарил шляхом вкладення тютюнового листа або тютюнової суміші в сигаретний папір або цигаркові гільзи, або листи тютюну з наступним формуванням таких тютюнових виробів;</w:t>
            </w:r>
          </w:p>
          <w:p w:rsidR="00CA6C41" w:rsidRDefault="00FC4AC1">
            <w:pPr>
              <w:pBdr>
                <w:top w:val="nil"/>
                <w:left w:val="nil"/>
                <w:bottom w:val="nil"/>
                <w:right w:val="nil"/>
                <w:between w:val="nil"/>
              </w:pBdr>
              <w:spacing w:before="120" w:after="12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пакування визначеної кількості сигарет, цигарок, сигарил у пачки відповідного формату шляхом розподілення єдиного потоку на порції визначеної кількості, вкладання таких порцій в заготовку пачки відповідного формату та фінальним формуванням пачки з визначеною кількістю таких тютюнових виробів;</w:t>
            </w:r>
          </w:p>
          <w:p w:rsidR="00CA6C41" w:rsidRDefault="00FC4AC1">
            <w:pPr>
              <w:pBdr>
                <w:top w:val="nil"/>
                <w:left w:val="nil"/>
                <w:bottom w:val="nil"/>
                <w:right w:val="nil"/>
                <w:between w:val="nil"/>
              </w:pBdr>
              <w:spacing w:before="120" w:after="12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автоматизовані машини (механізми) – обладнання з електричним чи неелектричним нагріванням для обробки матеріалів шляхом зміни температури та механічні пристрої, які використовуються, для промислового виробництва люлькового, нюхального, смоктального, жувального тютюну чи його замінників (нарізання, змішування, формування люлькового тютюну, махорки, тютюновмісних сумішей для кальянів; фінальне формування пачки (упаковки) тютюну чи махорки для смоктання, жування чи нюхання);</w:t>
            </w:r>
          </w:p>
          <w:p w:rsidR="00CA6C41" w:rsidRDefault="00FC4AC1">
            <w:pPr>
              <w:pBdr>
                <w:top w:val="nil"/>
                <w:left w:val="nil"/>
                <w:bottom w:val="nil"/>
                <w:right w:val="nil"/>
                <w:between w:val="nil"/>
              </w:pBdr>
              <w:spacing w:before="80" w:after="80" w:line="240" w:lineRule="auto"/>
              <w:ind w:right="-5"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автоматизовані машини (механізми) – призначені для клеєння акцизної марки на пачки відповідного формату.</w:t>
            </w:r>
          </w:p>
          <w:p w:rsidR="00CA6C41" w:rsidRDefault="00CA6C41">
            <w:pPr>
              <w:pBdr>
                <w:top w:val="nil"/>
                <w:left w:val="nil"/>
                <w:bottom w:val="nil"/>
                <w:right w:val="nil"/>
                <w:between w:val="nil"/>
              </w:pBdr>
              <w:spacing w:before="80" w:after="80" w:line="240" w:lineRule="auto"/>
              <w:ind w:right="-5" w:firstLine="425"/>
              <w:jc w:val="both"/>
              <w:rPr>
                <w:rFonts w:ascii="Times New Roman" w:eastAsia="Times New Roman" w:hAnsi="Times New Roman" w:cs="Times New Roman"/>
                <w:b/>
                <w:sz w:val="28"/>
                <w:szCs w:val="28"/>
              </w:rPr>
            </w:pP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24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2-1. Порядок ведення Єдиного державного реєстру обладнання для промислового виробництва сигарет та цигарок</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2-1. Реєстрація обладнання для промислового виробництва тютюнових виробів</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Обладнання для промислового виробництва сигарет та цигарок, що відноситься до товарної підкатегорії 8478 10 00 00 згідно з УКТ ЗЕД (обладнання для підготовки або обробки тютюну), яке імпортується на митну територію України, зберігається та використовується на митній території України, підлягає внесенню до Єдиного реєстру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Обладнання для промислового виробництва тютюнових виробів підлягає реєстрації в Єдиному реєстрі обладнання. </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Порядок ведення Єдиного реєстру обладнання визначається центральним органом виконавчої влади, що забезпечує формування та реалізує державну податкову і митну політику.</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Відомості про обладнання для промислового виробництва сигарет та цигарок включаються до Єдиного реєстру обладнання на підставі відомостей, що надаються суб’єктами господарювання (у тому числі іноземними суб’єктами господарювання, які діють через свої зареєстровані постійні представництва) центральному органу виконавчої влади, що реалізує державну податкову політику.</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Держателем Єдиного реєстру обладнання є центральний орган виконавчої влади, який реалізує державну податкову політику.</w:t>
            </w:r>
          </w:p>
          <w:p w:rsidR="00CA6C41" w:rsidRDefault="00CA6C4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Реєстрація обладнання для промислового виробництва тютюнових виробів здійснюється на підставі заяви власника, або імпортера такого обладнання, або уповноваженої ним особи (далі – заявник). У разі якщо власником обладнання для промислового виробництва тютюнових виробів є нерезидент України, для цілей цього Закону власником такого обладнання вважається особа, яка здійснює використання або зберігання обладнання для промислового виробництва тютюнових виробів на території України.</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 Єдиному реєстрі обладнання повинні міститися відомості про:</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суб’єкта господарювання (у тому числі іноземного суб’єкта господарювання, який діє через своє зареєстроване постійне представництво), який здійснив </w:t>
            </w:r>
            <w:r>
              <w:rPr>
                <w:rFonts w:ascii="Times New Roman" w:eastAsia="Times New Roman" w:hAnsi="Times New Roman" w:cs="Times New Roman"/>
                <w:b/>
                <w:sz w:val="28"/>
                <w:szCs w:val="28"/>
              </w:rPr>
              <w:lastRenderedPageBreak/>
              <w:t>ввезення обладнання або є власником обладнання: для юридичних осіб - повне найменування, місцезнаходження, код Єдиного державного реєстру підприємств та організацій України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місце реєстрації, реєстраційний номер облікової картки платника податків або серію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паспорті);</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Заява подається до центрального органу виконавчої влади, який реалізує державну податкову політику, у паперовій або електронній формі у випадках, передбачених законодавством.</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Заява про реєстрацію обладнання для промислового виробництва тютюнових виробів подається протягом 10 робочих днів з дня набуття права власності на обладнання, що знаходиться на території України, а у разі його ввезення на митну територію України – протягом 20 робочих днів із дня завершення митного оформлення.</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суб’єкта господарювання (у тому числі іноземного суб’єкта господарювання, який діє через своє зареєстроване постійне представництво), який здійснює зберігання або використання обладнання (у разі передачі обладнання на зберігання чи в користування іншим суб’єктам господарювання (у тому числі іноземним суб’єктам господарювання, які діють через свої зареєстровані постійні представництва)): для юридичних осіб - повне найменування, місцезнаходження, код Єдиного державного реєстру підприємств та організацій України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місце реєстрації, реєстраційний номер облікової картки </w:t>
            </w:r>
            <w:r>
              <w:rPr>
                <w:rFonts w:ascii="Times New Roman" w:eastAsia="Times New Roman" w:hAnsi="Times New Roman" w:cs="Times New Roman"/>
                <w:b/>
                <w:sz w:val="28"/>
                <w:szCs w:val="28"/>
              </w:rPr>
              <w:lastRenderedPageBreak/>
              <w:t>платника податків або серію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паспорті);</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У заяві про реєстрацію обладнання для промислового виробництва тютюнових виробів має міститися інформація про:</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власника (співвласників) обладнання: для юридичних осіб (у тому числі іноземних суб’єктів господарювання, які діють через свої зареєстровані постійні представництва)  – повне найменування, місцезнаходження, ідентифікаційний код юридичної особи, для фізичних осіб – підприємців – прізвище, ім’я, по батькові, місцезнаходження (адреса місця проживання, за якою здійснюється зв’язок з фізичною особою – підприємцем), реєстраційний номер облікової картки платника податків або серію та номер паспорта (для фізичних осіб, які мають відмітку в паспорті про право здійснювати платежі за серією та номером паспорта);</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користувача обладнання (у разі його передачі у користування): для юридичних осіб – повне найменування, місцезнаходження, ідентифікаційний код юридичної особи, для фізичних осіб – підприємців – прізвище, ім’я, по батькові, місцезнаходження (адреса місця проживання, за якою здійснюється зв’язок з фізичною особою – підприємцем), реєстраційний номер облікової картки платника податків або серію та номер паспорта (для фізичних осіб, які мають відмітку в паспорті про право здійснювати платежі за серією та номером паспорта);підставу ввезення обладнання на митну територію України або набуття права власності чи користування обладнанням;</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вид обладнання, найменування виробника обладнання, модель та серійний номер (за наявності)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адресу місцезнаходження обладнання.</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підставу ввезення обладнання на митну територію України або набуття права власності на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модель та серійний номер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місцезнаходження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дату включення обладнання до Єдиного реєстру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дату внесення змін до відомостей, що містяться в Єдиному реєстрі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підставу та дату виключення обладнання з Єдиного реєстру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Внесення даних до Єдиного реєстру обладнання здійснюється на підставі письмової заяви суб’єкта господарювання (у тому числі іноземного суб’єкта господарювання, який діє через своє зареєстроване постійне представництво) - імпортера або власника обладнання. До заяви додається документ, що підтверджує ввезення обладнання на митну територію України або право власності на обладнання.</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До заяви про реєстрацію обладнання для промислового виробництва тютюнових виробів додаються засвідчені заявником копії документів, що підтверджують підстави ввезення обладнання на митну територію України, або набуття права власності, або права користування обладнанням.</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разі зміни відомостей, що містяться в Єдиному реєстрі обладнання, крім змін, пов'язаних зі зміною права власності на обладнання, суб'єкт господарювання, за заявою якого відповідне обладнання внесено до Єдиного реєстру обладнання, повинен не пізніше 30 робочих днів із дня виникнення змін, подати до центрального органу виконавчої влади, який реалізує державну податкову </w:t>
            </w:r>
            <w:r>
              <w:rPr>
                <w:rFonts w:ascii="Times New Roman" w:eastAsia="Times New Roman" w:hAnsi="Times New Roman" w:cs="Times New Roman"/>
                <w:b/>
                <w:sz w:val="28"/>
                <w:szCs w:val="28"/>
              </w:rPr>
              <w:lastRenderedPageBreak/>
              <w:t>політику , заяву про внесення змін до відомостей, що містяться в Єдиному реєстрі обладнання.</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Заява подається не пізніше 10 робочих днів з дня завершення митного оформлення обладнання, ввезеного на митну територію України, або набуття права власності на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разі зміни будь-яких відомостей, що містяться в Єдиному реєстрі обладнання, крім змін, пов’язаних із зміною права власності на обладнання, суб’єкт господарювання (у тому числі іноземний суб’єкт господарювання, який діє через своє зареєстроване постійне представництво), за заявою якого відповідне обладнання внесено до Єдиного реєстру обладнання, має подати до центрального органу виконавчої влади, що реалізує державну податкову політику, заяву про внесення змін до відомостей, що містяться в Єдиному реєстрі обладнання.</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разі вивезення обладнання за межі митної території України, переходу права власності на нього або знищення обладнання суб'єкт господарювання, за заявою якого відповідне обладнання внесено до Єдиного реєстру обладнання, зобов’язаний не пізніше 10 робочих днів із дня виникнення зазначених підстав подати до центрального органу виконавчої влади, який реалізує державну податкову політику, заяву про виключення відомостей, що містяться в Єдиному реєстрі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заяви про виключення відомостей, що містяться в Єдиному реєстрі обладнання, додаються документи, що підтверджують вивезення обладнання за межі митної території України, перехід права власності на нього або знищення обладнання.</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разі знищення обладнання суб’єкт господарювання, за заявою якого відповідне обладнання внесено до Єдиного реєстру обладнання, утворює комісію, яка складає акт про знищення такого обладнання. При знищенні обладнання проводиться фото- та відеофіксація. До складу зазначеної комісії входить представник органу виконавчої влади, який реалізує державну податкову політику. Акт про знищення </w:t>
            </w:r>
            <w:r>
              <w:rPr>
                <w:rFonts w:ascii="Times New Roman" w:eastAsia="Times New Roman" w:hAnsi="Times New Roman" w:cs="Times New Roman"/>
                <w:b/>
                <w:sz w:val="28"/>
                <w:szCs w:val="28"/>
              </w:rPr>
              <w:lastRenderedPageBreak/>
              <w:t>обладнання обов’язково надається до заяви про виключення відомостей, що містяться в Єдиному реєстрі обладнання.</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Заява про внесення змін до відомостей, що містяться в Єдиному реєстрі обладнання, подається не пізніше 10 робочих днів з дня зміни таких відомостей. Відповідальність за достовірність відомостей, зазначених у заяві про внесення змін до відомостей, що містяться в Єдиному реєстрі обладнання, несе заявник.</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Форми заяв про реєстрацію обладнання для промислового виробництва тютюнових виробів, про внесення змін до відомостей, що містяться в Єдиному реєстрі обладнання, про виключення відомостей, що містяться в Єдиному реєстрі обладнання, затверджуються центральним органом виконавчої влади, що забезпечує формування та реалізує державну податкову і митну політику.</w:t>
            </w:r>
          </w:p>
        </w:tc>
      </w:tr>
      <w:tr w:rsidR="00CA6C41">
        <w:tc>
          <w:tcPr>
            <w:tcW w:w="7556"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Центральний орган виконавчої влади, який реалізує державну податкову політику , протягом 15 робочих днів із дня надходження заяви про реєстрацію обладнання для промислового виробництва тютюнових виробів, про внесення змін до відомостей, що містяться в Єдиному реєстрі обладнання, про виключення відомостей, що містяться в Єдиному реєстрі обладнання, повинен внести відомості до Єдиного реєстру обладнання та письмово повідомити про це заявника. Відомості вважаються внесеними у Єдиний реєстр обладнання з дня подання відповідної заяви заявником.</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разі переходу права власності або знищення обладнання таке обладнання підлягає виключенню з Єдиного реєстру обладнання. Заява про виключення подається не пізніше 10 робочих днів з дня настання однієї з подій, зазначених у цій частині, суб’єктом господарювання (у тому числі іноземним суб’єктом господарювання, який діє через своє зареєстроване постійне представництво), за заявою якого відповідне </w:t>
            </w:r>
            <w:r>
              <w:rPr>
                <w:rFonts w:ascii="Times New Roman" w:eastAsia="Times New Roman" w:hAnsi="Times New Roman" w:cs="Times New Roman"/>
                <w:b/>
                <w:sz w:val="28"/>
                <w:szCs w:val="28"/>
              </w:rPr>
              <w:lastRenderedPageBreak/>
              <w:t>обладнання внесено до Єдиного реєстру обладнання. До заяви додаються документи, що підтверджують перехід права власності або знищення обладнання.</w:t>
            </w:r>
          </w:p>
          <w:p w:rsidR="00CA6C41" w:rsidRDefault="00CA6C4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У разі неподання заявником інформації та документів або подання неповної інформації, визначених цим Законом, центральний орган виконавчої влади, який реалізує державну податкову політику , протягом 5 робочих днів із дня надходження заяви повертає заявнику заяву та документи із зазначенням недоліків, які потрібно усунути.</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Відповідальність за достовірність відомостей, зазначених у заяві, несе заявник.</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Ведення Єдиного реєстру обладнання та надання відомостей, що містяться в Єдиному реєстрі обладнання, здійснюються за рахунок коштів Державного бюджету України. Центральний орган виконавчої влади, що реалізує державну податкову політику, забезпечує вільний та безоплатний доступ до відомостей, що містяться в Єдиному реєстрі обладнання.</w:t>
            </w:r>
          </w:p>
          <w:p w:rsidR="00CA6C41" w:rsidRDefault="00CA6C4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Ведення Єдиного реєстру обладнання та надання відомостей, що містяться в Єдиному реєстрі обладнання, здійснюються за рахунок коштів Державного бюджету України. Центральний орган виконавчої влади, який реалізує державну податкову політику , забезпечує вільний та безоплатний доступ до відомостей, що містяться в Єдиному реєстрі обладнання, шляхом надання витягу з Єдиного реєстру обладнання.</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Відомості, що містяться в Єдиному реєстрі обладнання, надаються у вигляді витягу з Єдиного реєстру обладнання. Витяг з Єдиного реєстру обладнання видається юридичній особі або фізичній особі - підприємцю, органам державної влади (посадовим особам) за письмовим запитом протягом двох робочих днів з дня подання такого запиту.</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Відомості, що містяться в Єдиному реєстрі обладнання, надаються у вигляді витягу з Єдиного реєстру обладнання. Витяг з Єдиного реєстру обладнання видається юридичній особі або фізичній особі - підприємцю, органам державної влади (посадовим особам) за письмовим запитом протягом двох робочих днів з дня подання такого запиту.</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 витягу з Єдиного реєстру обладнання встановлюється центральним органом виконавчої влади, що забезпечує формування та реалізує державну фінансову політику.</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Форма витягу з Єдиного реєстру обладнання встановлюється центральним органом виконавчої влади, що забезпечує формування та реалізує державну фінансову політику. </w:t>
            </w:r>
          </w:p>
          <w:p w:rsidR="00CA6C41" w:rsidRDefault="00FC4AC1">
            <w:pPr>
              <w:pBdr>
                <w:top w:val="nil"/>
                <w:left w:val="nil"/>
                <w:bottom w:val="nil"/>
                <w:right w:val="nil"/>
                <w:between w:val="nil"/>
              </w:pBdr>
              <w:spacing w:before="80" w:after="80" w:line="240" w:lineRule="auto"/>
              <w:ind w:firstLine="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556" w:type="dxa"/>
            <w:shd w:val="clear" w:color="auto" w:fill="FFFFFF"/>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3. 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tc>
        <w:tc>
          <w:tcPr>
            <w:tcW w:w="7896" w:type="dxa"/>
            <w:shd w:val="clear" w:color="auto" w:fill="FFFFFF"/>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3. 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tc>
      </w:tr>
      <w:tr w:rsidR="00CA6C41">
        <w:tc>
          <w:tcPr>
            <w:tcW w:w="7556" w:type="dxa"/>
            <w:shd w:val="clear" w:color="auto" w:fill="FFFFFF"/>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які мають повний технологічний цикл виробництва тютюнових виробів, включаючи виготовлення тютюнової суміші, сигаретні цехи. </w:t>
            </w:r>
            <w:r>
              <w:rPr>
                <w:rFonts w:ascii="Times New Roman" w:eastAsia="Times New Roman" w:hAnsi="Times New Roman" w:cs="Times New Roman"/>
                <w:b/>
                <w:sz w:val="28"/>
                <w:szCs w:val="28"/>
              </w:rPr>
              <w:t>Для суб'єктів господарювання (у тому числі іноземних суб’єктів господарювання, які діють через свої зареєстровані постійні представництва), які отримали ліцензію на виробництво тютюнових виробів у порядку, визначеному законом, але не здійснюють повного циклу виробництва тютюнових виробів, ліцензія дійсна до кінця її строку.</w:t>
            </w:r>
          </w:p>
        </w:tc>
        <w:tc>
          <w:tcPr>
            <w:tcW w:w="7896" w:type="dxa"/>
            <w:shd w:val="clear" w:color="auto" w:fill="FFFFFF"/>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w:t>
            </w:r>
            <w:r>
              <w:rPr>
                <w:rFonts w:ascii="Times New Roman" w:eastAsia="Times New Roman" w:hAnsi="Times New Roman" w:cs="Times New Roman"/>
                <w:b/>
                <w:sz w:val="28"/>
                <w:szCs w:val="28"/>
              </w:rPr>
              <w:t>які на момент подання заяви про видачу ліцензії є власниками або відповідно до інших не заборонених законодавством підстав володіють та/або користуються приміщеннями та обладнанням, що забезпечують</w:t>
            </w:r>
            <w:r>
              <w:rPr>
                <w:rFonts w:ascii="Times New Roman" w:eastAsia="Times New Roman" w:hAnsi="Times New Roman" w:cs="Times New Roman"/>
                <w:sz w:val="28"/>
                <w:szCs w:val="28"/>
              </w:rPr>
              <w:t xml:space="preserve"> повний технологічний цикл виробництва тютюнових виробів, включаючи виготовлення тютюнової суміші, сигаретні цехи, </w:t>
            </w:r>
            <w:r>
              <w:rPr>
                <w:rFonts w:ascii="Times New Roman" w:eastAsia="Times New Roman" w:hAnsi="Times New Roman" w:cs="Times New Roman"/>
                <w:b/>
                <w:sz w:val="28"/>
                <w:szCs w:val="28"/>
              </w:rPr>
              <w:t>за умови, що використання для виробництва таких приміщень та обладнання здійснює тільки один суб’єкт господарювання (у тому числі іноземний суб’єкт господарювання, який діє через своє зареєстроване постійне представництво);</w:t>
            </w:r>
          </w:p>
        </w:tc>
      </w:tr>
      <w:tr w:rsidR="00CA6C41">
        <w:tc>
          <w:tcPr>
            <w:tcW w:w="7556" w:type="dxa"/>
            <w:shd w:val="clear" w:color="auto" w:fill="FFFFFF"/>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отримання ліцензії на право виробництва пального разом із заявою додатково подаються завірені заявником копії таких документів:</w:t>
            </w:r>
          </w:p>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дозвіл на виконання робіт підвищеної небезпеки та експлуатацію (застосування) машин, механізмів, устаткування підвищеної небезпеки;</w:t>
            </w:r>
          </w:p>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896" w:type="dxa"/>
            <w:shd w:val="clear" w:color="auto" w:fill="FFFFFF"/>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отримання ліцензії на право виробництва пального разом із заявою додатково подаються завірені заявником копії таких документів:</w:t>
            </w:r>
          </w:p>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дозвіл на виконання робіт підвищеної небезпеки та експлуатацію (застосування) машин, механізмів, устаткування </w:t>
            </w:r>
            <w:r>
              <w:rPr>
                <w:rFonts w:ascii="Times New Roman" w:eastAsia="Times New Roman" w:hAnsi="Times New Roman" w:cs="Times New Roman"/>
                <w:sz w:val="28"/>
                <w:szCs w:val="28"/>
              </w:rPr>
              <w:lastRenderedPageBreak/>
              <w:t xml:space="preserve">підвищеної небезпеки </w:t>
            </w:r>
            <w:r>
              <w:rPr>
                <w:rFonts w:ascii="Times New Roman" w:eastAsia="Times New Roman" w:hAnsi="Times New Roman" w:cs="Times New Roman"/>
                <w:b/>
                <w:sz w:val="28"/>
                <w:szCs w:val="28"/>
              </w:rPr>
              <w:t>або декларацію відповідності матеріально-технічної бази вимогам законодавства з питань охорони праці;</w:t>
            </w:r>
          </w:p>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Вимагати представлення інших документів, крім зазначених у цьому Законі, забороняється. Зазначені в цьому Законі документи подаються в одному примірнику в копіях, засвідчених нотаріально або органом, який видав оригінал документа або посадовою особою органу ліцензування. Заява про видачу ліцензії та визначені цим Законом документи подаються уповноваженою особою заявника або надсилаються до органу виконавчої влади, уповноваженого Кабінетом Міністрів України, рекомендованим листом. У разі подання заяви про видачу ліцензії та доданих до неї документів особисто вони приймаються за описом, копія якого видається заявнику з відміткою про дату прийняття заяви та документів і підписом особи, яка їх прийняла.</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240" w:line="276" w:lineRule="auto"/>
              <w:ind w:firstLine="28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Вимагати підтвердження відомостей, зазначених у зареєстрованій декларації відповідності матеріально-технічної бази вимогам законодавства, представлення інших документів, крім зазначених у цій статті, забороняється. Зазначені в цій статті документи за вибором заявника подаються до органу виконавчої влади, уповноваженого Кабінетом Міністрів України:</w:t>
            </w:r>
          </w:p>
          <w:p w:rsidR="00CA6C41" w:rsidRDefault="00CA6C41">
            <w:pPr>
              <w:pBdr>
                <w:top w:val="nil"/>
                <w:left w:val="nil"/>
                <w:bottom w:val="nil"/>
                <w:right w:val="nil"/>
                <w:between w:val="nil"/>
              </w:pBdr>
              <w:spacing w:before="240" w:after="240" w:line="276" w:lineRule="auto"/>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before="240" w:after="240" w:line="276"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нарочно;</w:t>
            </w:r>
          </w:p>
          <w:p w:rsidR="00CA6C41" w:rsidRDefault="00FC4AC1">
            <w:pPr>
              <w:pBdr>
                <w:top w:val="nil"/>
                <w:left w:val="nil"/>
                <w:bottom w:val="nil"/>
                <w:right w:val="nil"/>
                <w:between w:val="nil"/>
              </w:pBdr>
              <w:spacing w:before="240" w:after="240" w:line="276"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поштовим відправленням з описом вкладення;</w:t>
            </w:r>
          </w:p>
          <w:p w:rsidR="00CA6C41" w:rsidRDefault="00FC4AC1">
            <w:pPr>
              <w:pBdr>
                <w:top w:val="nil"/>
                <w:left w:val="nil"/>
                <w:bottom w:val="nil"/>
                <w:right w:val="nil"/>
                <w:between w:val="nil"/>
              </w:pBdr>
              <w:spacing w:before="240" w:after="240" w:line="276"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в електронній формі в порядку, визначеному Кабінетом Міністрів України.</w:t>
            </w:r>
          </w:p>
          <w:p w:rsidR="00CA6C41" w:rsidRDefault="00FC4AC1">
            <w:pPr>
              <w:pBdr>
                <w:top w:val="nil"/>
                <w:left w:val="nil"/>
                <w:bottom w:val="nil"/>
                <w:right w:val="nil"/>
                <w:between w:val="nil"/>
              </w:pBdr>
              <w:spacing w:before="240" w:after="240" w:line="276"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Документи, що подаються в електронній формі, оформляються згідно з вимогами законодавства у сфері електронного документообігу.</w:t>
            </w:r>
          </w:p>
          <w:p w:rsidR="00CA6C41" w:rsidRDefault="00FC4AC1">
            <w:pPr>
              <w:pBdr>
                <w:top w:val="nil"/>
                <w:left w:val="nil"/>
                <w:bottom w:val="nil"/>
                <w:right w:val="nil"/>
                <w:between w:val="nil"/>
              </w:pBd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При надходженні до органу ліцензування заяви про отримання ліцензії разом з документами на паперових носіях на двох екземплярах опису документів уповноваженою посадовою особою органу ліцензування робиться відмітка про дату прийняття документів і засвідчується своїм підписом із зазначенням прізвища, ініціалів, посади. Один екземпляр опису уповноваженою посадовою особою органу ліцензування надається (надсилається рекомендованим листом чи за допомогою засобів телекомунікації) заявнику (а у разі подання заявником документів до органу ліцензування нарочно - видається йому нарочно одразу після заповнення), а другий екземпляр опису залишається в органі ліцензування.</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Ліцензія анулюється шляхом прийняття органом, який видав ліцензію, відповідного письмового розпорядження на підставі:</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заяви суб'єкта господарювання (у тому числі іноземного суб’єкта господарювання, який діє через своє зареєстроване постійне представництво);</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несплати чергового платежу за ліцензію протягом 30 днів від моменту призупинення ліцензії;</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суду про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суду про встановлення факту фальсифікації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або тютюнових виробів, або пального;</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отримання від уповноважених органів інформації, що документи, копії яких подані разом із заявою на отримання ліцензії, не видавалися/не погоджувалися такими органами;</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встановлення факту подання заявником недостовірних даних у документах, поданих разом із заявою на отримання ліцензії;</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рішення суду про встановлення невідповідності матеріально-технічної бази вимогам законодавства до малих виробництв виноробної продукції;</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використанням спирту та/або перевищення об’єму виробництва продукції, зазначеного у </w:t>
            </w:r>
            <w:hyperlink r:id="rId146" w:anchor="n20">
              <w:r>
                <w:rPr>
                  <w:rFonts w:ascii="Times New Roman" w:eastAsia="Times New Roman" w:hAnsi="Times New Roman" w:cs="Times New Roman"/>
                  <w:sz w:val="28"/>
                  <w:szCs w:val="28"/>
                  <w:u w:val="single"/>
                </w:rPr>
                <w:t>статті 1</w:t>
              </w:r>
            </w:hyperlink>
            <w:r>
              <w:rPr>
                <w:rFonts w:ascii="Times New Roman" w:eastAsia="Times New Roman" w:hAnsi="Times New Roman" w:cs="Times New Roman"/>
                <w:sz w:val="28"/>
                <w:szCs w:val="28"/>
              </w:rPr>
              <w:t xml:space="preserve"> цього Закону</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Ліцензія анулюється шляхом прийняття органом, який видав ліцензію, відповідного письмового розпорядження на підставі:</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заяви суб'єкта господарювання (у тому числі іноземного суб’єкта господарювання, який діє через своє зареєстроване постійне представництво);</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несплати чергового платежу за ліцензію протягом 30 днів від моменту призупинення ліцензії;</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рішення суду про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суду про встановлення факту фальсифікації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або тютюнових виробів, або пального;</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отримання від уповноважених органів інформації, що документи, копії яких подані разом із заявою на отримання ліцензії, не видавалися/не погоджувалися такими органами;</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встановлення факту подання заявником недостовірних даних у документах, поданих разом із заявою на отримання ліцензії;</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 і </w:t>
            </w:r>
            <w:r>
              <w:rPr>
                <w:rFonts w:ascii="Times New Roman" w:eastAsia="Times New Roman" w:hAnsi="Times New Roman" w:cs="Times New Roman"/>
                <w:b/>
                <w:sz w:val="28"/>
                <w:szCs w:val="28"/>
              </w:rPr>
              <w:t>тютюнових виробів;</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рішення суду про встановлення невідповідності матеріально-технічної бази вимогам законодавства до малих виробництв виноробної продукції;</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rsidR="00CA6C41" w:rsidRDefault="00FC4AC1">
            <w:pPr>
              <w:pBdr>
                <w:top w:val="nil"/>
                <w:left w:val="nil"/>
                <w:bottom w:val="nil"/>
                <w:right w:val="nil"/>
                <w:between w:val="nil"/>
              </w:pBdr>
              <w:spacing w:before="240" w:after="24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використанням спирту та/або перевищення об’єму виробництва продукції, зазначеного у </w:t>
            </w:r>
            <w:hyperlink r:id="rId147" w:anchor="n20">
              <w:r>
                <w:rPr>
                  <w:rFonts w:ascii="Times New Roman" w:eastAsia="Times New Roman" w:hAnsi="Times New Roman" w:cs="Times New Roman"/>
                  <w:sz w:val="28"/>
                  <w:szCs w:val="28"/>
                  <w:u w:val="single"/>
                </w:rPr>
                <w:t>статті 1</w:t>
              </w:r>
            </w:hyperlink>
            <w:r>
              <w:rPr>
                <w:rFonts w:ascii="Times New Roman" w:eastAsia="Times New Roman" w:hAnsi="Times New Roman" w:cs="Times New Roman"/>
                <w:sz w:val="28"/>
                <w:szCs w:val="28"/>
              </w:rPr>
              <w:t xml:space="preserve"> цього Закону;</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11. Маркування алкогольних напоїв та тютюнових виробів</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11. Маркування алкогольних напоїв та тютюнових виробів</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Маркування алкогольних напоїв (крім продукції, зазначеної у частині другій цієї статті), які реалізуються в Україні, здійснюється відповідно до Закону України "Про інформацію для споживачів щодо харчових продуктів" з урахуванням особливостей, встановлених цим Законом, та має містити таку інформацію:</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загальна та власна назви виробу;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найменування та місцезнаходження оператора ринку харчових продуктів, відповідального за інформацію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знак для товарів і послуг;</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географічна назва місця виготовлення виробу, якщо найменування виробника не відображає місця розташування суб'єкта господарювання (у тому числі іноземного суб’єкта господарювання, який діє через своє зареєстроване постійне представництво);</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вміст спирту (% об.);</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місткість посуду;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вміст цукру.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Штриховий код повинен бути нанесений на видиму сторону етикетки, або контретикетки, або пляшки (іншого посуду).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На видимій стороні етикетки, або контретикетки, або корка, або пляшки (іншого посуду) виробу повинні бути зазначені дата виготовлення виробу, код суб'єкта господарювання (у тому числі іноземного суб’єкта господарювання, який діє через своє зареєстроване постійне представництво) </w:t>
            </w:r>
            <w:r>
              <w:rPr>
                <w:rFonts w:ascii="Times New Roman" w:eastAsia="Times New Roman" w:hAnsi="Times New Roman" w:cs="Times New Roman"/>
                <w:b/>
                <w:sz w:val="28"/>
                <w:szCs w:val="28"/>
              </w:rPr>
              <w:t>та номер ліцензії на виробництво.</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Розлив алкогольних напоїв, крім продукції, зазначеної у частині другій цієї статті, здійснюється у виготовлену із матеріалів, дозволених до контакту з алкогольними напоями скляну тару, бляшанки із харчового алюмінію, а також у сувенірні пляшки та художньо оформлений посуд із скла чи глазурованої кераміки. Розлив алкогольних напоїв, крім продукції, зазначеної у частині другій цієї статті, з вмістом спирту етилового понад 8,5% об'ємних одиниць здійснюється виключно у тару (посуд) місткістю 0,05 л, 0,1 л, 0,18 л, 0,2 л, 0,25 л, 0,275 л, 0,33 л, 0,35 л, 0,37 л, 0,375 л, 0,4 л, 0,45 л, 0,5 л, 0,61 л, 0,7 л, 0,75 л, 1,0 л і більше.</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Продукція, призначена для експорту, розливається у тару та маркується згідно з умовами відповідної угоди на експорт.</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Маркування алкогольних напоїв (крім продукції, зазначеної у частині другій цієї статті), які реалізуються в Україні, здійснюється відповідно до Закону України "Про інформацію для споживачів щодо харчових продуктів" з урахуванням особливостей, встановлених цим Законом, та має містити таку інформацію:</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загальна та власна назви виробу;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найменування та місцезнаходження оператора ринку харчових продуктів, відповідального за інформацію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знак для товарів і послуг;</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географічна назва місця виготовлення виробу, якщо найменування виробника не відображає місця розташування суб'єкта господарювання (у тому числі іноземного суб’єкта господарювання, який діє через своє зареєстроване постійне представництво);</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вміст спирту (% об.);</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місткість посуду;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вміст цукру.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Штриховий код повинен бути нанесений на видиму сторону етикетки, або контретикетки, або пляшки (іншого посуду).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видимій стороні етикетки, або контретикетки, або корка, або пляшки (іншого посуду) виробу повинні бути зазначені дата виготовлення виробу, код суб'єкта господарювання (у тому числі іноземного суб’єкта господарювання, який діє через своє зареєстроване постійне представництво).</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Розлив алкогольних напоїв, крім продукції, зазначеної у частині другій цієї статті, здійснюється у виготовлену із матеріалів, дозволених до контакту з алкогольними напоями </w:t>
            </w:r>
            <w:r>
              <w:rPr>
                <w:rFonts w:ascii="Times New Roman" w:eastAsia="Times New Roman" w:hAnsi="Times New Roman" w:cs="Times New Roman"/>
                <w:b/>
                <w:sz w:val="28"/>
                <w:szCs w:val="28"/>
              </w:rPr>
              <w:t xml:space="preserve">скляну тару, </w:t>
            </w:r>
            <w:r>
              <w:rPr>
                <w:rFonts w:ascii="Times New Roman" w:eastAsia="Times New Roman" w:hAnsi="Times New Roman" w:cs="Times New Roman"/>
                <w:b/>
                <w:sz w:val="28"/>
                <w:szCs w:val="28"/>
              </w:rPr>
              <w:lastRenderedPageBreak/>
              <w:t>бляшанки із харчового алюмінію, а також у сувенірні пляшки та художньо оформлений посуд із скла чи глазурованої кераміки</w:t>
            </w:r>
            <w:r>
              <w:rPr>
                <w:rFonts w:ascii="Times New Roman" w:eastAsia="Times New Roman" w:hAnsi="Times New Roman" w:cs="Times New Roman"/>
                <w:sz w:val="28"/>
                <w:szCs w:val="28"/>
              </w:rPr>
              <w:t>. Розлив алкогольних напоїв, крім продукції, зазначеної у частині другій цієї статті, з вмістом спирту етилового понад 8,5% об'ємних одиниць здійснюється виключно у тару (посуд) місткістю 0,05 л, 0,1 л, 0,18 л, 0,2 л, 0,25 л, 0,275 л, 0,33 л, 0,35 л, 0,37 л, 0,375 л, 0,4 л, 0,45 л, 0,5 л, 0,61 л, 0,7 л, 0,75 л, 1,0 л і більше.</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Продукція, призначена для експорту, розливається у тару та маркується згідно з умовами відповідної угоди на експорт.</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Маркування виноробної продукції, </w:t>
            </w:r>
            <w:r>
              <w:rPr>
                <w:rFonts w:ascii="Times New Roman" w:eastAsia="Times New Roman" w:hAnsi="Times New Roman" w:cs="Times New Roman"/>
                <w:b/>
                <w:sz w:val="28"/>
                <w:szCs w:val="28"/>
              </w:rPr>
              <w:t>у тому числі сидру і перрі (без додавання спирту)</w:t>
            </w:r>
            <w:r>
              <w:rPr>
                <w:rFonts w:ascii="Times New Roman" w:eastAsia="Times New Roman" w:hAnsi="Times New Roman" w:cs="Times New Roman"/>
                <w:sz w:val="28"/>
                <w:szCs w:val="28"/>
              </w:rPr>
              <w:t xml:space="preserve">, зброджених напоїв, одержаних виключно в результаті природного (натурального) бродіння фруктових, ягідних та фруктово-ягідних соків, з вмістом спирту не більше 8,5 відсотка об’ємних одиниць (без додавання спирту), яка реалізується в Україні, здійснюється відповідно до Закону України "Про інформацію для споживачів щодо харчових продуктів" з урахуванням особливостей, встановлених цим Законом. Маркування виноробної продукції, </w:t>
            </w:r>
            <w:r>
              <w:rPr>
                <w:rFonts w:ascii="Times New Roman" w:eastAsia="Times New Roman" w:hAnsi="Times New Roman" w:cs="Times New Roman"/>
                <w:b/>
                <w:sz w:val="28"/>
                <w:szCs w:val="28"/>
              </w:rPr>
              <w:t>у тому числі сидру і перрі (без додавання спирту)</w:t>
            </w:r>
            <w:r>
              <w:rPr>
                <w:rFonts w:ascii="Times New Roman" w:eastAsia="Times New Roman" w:hAnsi="Times New Roman" w:cs="Times New Roman"/>
                <w:sz w:val="28"/>
                <w:szCs w:val="28"/>
              </w:rPr>
              <w:t xml:space="preserve">, зброджених напоїв, одержаних виключно в результаті природного (натурального) бродіння фруктових, ягідних та фруктово-ягідних соків, з вмістом спирту не більше 8,5 відсотка об’ємних одиниць (без </w:t>
            </w:r>
            <w:r>
              <w:rPr>
                <w:rFonts w:ascii="Times New Roman" w:eastAsia="Times New Roman" w:hAnsi="Times New Roman" w:cs="Times New Roman"/>
                <w:sz w:val="28"/>
                <w:szCs w:val="28"/>
              </w:rPr>
              <w:lastRenderedPageBreak/>
              <w:t>додавання спирту), яка реалізується в Україні, має містити таку інформацію:</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назва держави;</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найменування та місцезнаходження оператора ринку харчових продуктів, відповідального за надання інформації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знак для товарів і послуг;</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назва продукції;</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місткість посуду;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вміст спирту (% об.);</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вміст цукру (крім сухих вин, шампанського, ігристого вина та коньяку) (% мас.);</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наявність ароматизаторів, барвників (при їх використанні).</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Штриховий код повинен бути нанесений на видиму сторону етикетки, або контретикетки, або пляшки (іншого посуду). Дата виготовлення продукції повинна бути </w:t>
            </w:r>
            <w:r>
              <w:rPr>
                <w:rFonts w:ascii="Times New Roman" w:eastAsia="Times New Roman" w:hAnsi="Times New Roman" w:cs="Times New Roman"/>
                <w:sz w:val="28"/>
                <w:szCs w:val="28"/>
              </w:rPr>
              <w:lastRenderedPageBreak/>
              <w:t>зазначена на видимій стороні етикетки, або контретикетки, або корка, або пляшки (іншого посуду).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Термін витримки для марочних вин та позначення "Марочне", вік коньячних спиртів для марочних коньяків і коньяків спеціальних назв наводяться на кольєретці.</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пляшках з колекційними винами та коньяками наклеюються додаткові ярлики із зазначенням "Колекційне (колекційний), додатково витримане (витриманий) в колекції ____ років".</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шийку пляшки з колекційним вином наклеюється кольєретка із зазначенням року врожаю винограду, з якого виготовлено вино.</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пляшці з вермутом повинна бути контретикетка або додаткова етикетка, на якій наводяться дані про основний склад компонентів напою і погоджені з центральним органом виконавчої влади, що реалізує державну політику у сфері охорони здоров'я, рекомендації щодо вживання напою.</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пляшки з усіма видами виноробної продукції можуть наклеюватися контретикетки, які містять додаткову інформацію про напої.</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Розлив виноробної продукції </w:t>
            </w:r>
            <w:r>
              <w:rPr>
                <w:rFonts w:ascii="Times New Roman" w:eastAsia="Times New Roman" w:hAnsi="Times New Roman" w:cs="Times New Roman"/>
                <w:b/>
                <w:sz w:val="28"/>
                <w:szCs w:val="28"/>
              </w:rPr>
              <w:t>(крім сидру і перрі (без додання спирту),</w:t>
            </w:r>
            <w:r>
              <w:rPr>
                <w:rFonts w:ascii="Times New Roman" w:eastAsia="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у виготовлену із матеріалів, дозволених до контакту з алкогольними напоями скляну тару, а також у </w:t>
            </w:r>
            <w:r>
              <w:rPr>
                <w:rFonts w:ascii="Times New Roman" w:eastAsia="Times New Roman" w:hAnsi="Times New Roman" w:cs="Times New Roman"/>
                <w:sz w:val="28"/>
                <w:szCs w:val="28"/>
              </w:rPr>
              <w:lastRenderedPageBreak/>
              <w:t>сувенірні пляшки та художньо оформлений посуд із скла, глазурованої кераміки або дерева, упаковку типу "Tetra-Pak" і "Bag in box"</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Розлив виноробної продукції </w:t>
            </w:r>
            <w:r>
              <w:rPr>
                <w:rFonts w:ascii="Times New Roman" w:eastAsia="Times New Roman" w:hAnsi="Times New Roman" w:cs="Times New Roman"/>
                <w:b/>
                <w:sz w:val="28"/>
                <w:szCs w:val="28"/>
              </w:rPr>
              <w:t>(крім сидру і перрі (без додання спирту),</w:t>
            </w:r>
            <w:r>
              <w:rPr>
                <w:rFonts w:ascii="Times New Roman" w:eastAsia="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виключно у тару (посуд) місткістю 0,05 л, 0,1 л, 0,2 л, 0,25 л, 0,275 л, 0,35 л, 0,375 л, 0,4 л, 0,45 л, 0,5 л, 0,61 л, 0,68 л, 0,7 л, 0,75 л, 0,8 л, 1,0 л і більше. Розлив вин сухих і з доданням спирту (виноматеріалів оброблених) виноградних ординарних і марочних здійснюється також у тару (посуд) місткістю від 50 до 600 л, виготовлену із матеріалів, дозволених до контакту з алкогольними напоями, і у такому випадку передбачені цією статтею вимоги щодо маркування виноробної продукції </w:t>
            </w:r>
            <w:r>
              <w:rPr>
                <w:rFonts w:ascii="Times New Roman" w:eastAsia="Times New Roman" w:hAnsi="Times New Roman" w:cs="Times New Roman"/>
                <w:b/>
                <w:sz w:val="28"/>
                <w:szCs w:val="28"/>
              </w:rPr>
              <w:t>(крім сидру і перрі (без додання спирту)</w:t>
            </w:r>
            <w:r>
              <w:rPr>
                <w:rFonts w:ascii="Times New Roman" w:eastAsia="Times New Roman" w:hAnsi="Times New Roman" w:cs="Times New Roman"/>
                <w:sz w:val="28"/>
                <w:szCs w:val="28"/>
              </w:rPr>
              <w:t>,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не застосовуються.</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Розлив </w:t>
            </w:r>
            <w:r>
              <w:rPr>
                <w:rFonts w:ascii="Times New Roman" w:eastAsia="Times New Roman" w:hAnsi="Times New Roman" w:cs="Times New Roman"/>
                <w:b/>
                <w:sz w:val="28"/>
                <w:szCs w:val="28"/>
              </w:rPr>
              <w:t>сидру і перрі (без додання спирту)</w:t>
            </w:r>
            <w:r>
              <w:rPr>
                <w:rFonts w:ascii="Times New Roman" w:eastAsia="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у виготовлену із матеріалів, дозволених до контакту з алкогольними напоями </w:t>
            </w:r>
            <w:r>
              <w:rPr>
                <w:rFonts w:ascii="Times New Roman" w:eastAsia="Times New Roman" w:hAnsi="Times New Roman" w:cs="Times New Roman"/>
                <w:b/>
                <w:sz w:val="28"/>
                <w:szCs w:val="28"/>
              </w:rPr>
              <w:t>с</w:t>
            </w:r>
            <w:r>
              <w:rPr>
                <w:rFonts w:ascii="Times New Roman" w:eastAsia="Times New Roman" w:hAnsi="Times New Roman" w:cs="Times New Roman"/>
                <w:sz w:val="28"/>
                <w:szCs w:val="28"/>
              </w:rPr>
              <w:t xml:space="preserve">кляну тару, а також металеві банки із харчового алюмінію, полімерні пляшки марки ПЕТФ, сувенірні пляшки та художньо оформлений посуд із скла, </w:t>
            </w:r>
            <w:r>
              <w:rPr>
                <w:rFonts w:ascii="Times New Roman" w:eastAsia="Times New Roman" w:hAnsi="Times New Roman" w:cs="Times New Roman"/>
                <w:sz w:val="28"/>
                <w:szCs w:val="28"/>
              </w:rPr>
              <w:lastRenderedPageBreak/>
              <w:t xml:space="preserve">глазурованої кераміки або дерева, упаковку типу "Тetra-Pak" і "Bag in box". Розлив </w:t>
            </w:r>
            <w:r>
              <w:rPr>
                <w:rFonts w:ascii="Times New Roman" w:eastAsia="Times New Roman" w:hAnsi="Times New Roman" w:cs="Times New Roman"/>
                <w:b/>
                <w:sz w:val="28"/>
                <w:szCs w:val="28"/>
              </w:rPr>
              <w:t>сидру і перрі (без додання спирту),</w:t>
            </w:r>
            <w:r>
              <w:rPr>
                <w:rFonts w:ascii="Times New Roman" w:eastAsia="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у тару (посуд) місткістю 0,05 л, 0,1 л, 0,2 л, 0,25 л, 0,275 л, 0,3 л, 0,33 л, 0,35 л, 0,375 л, 0,4 л, 0,45 л, 0,5 л, 0,61 л, 0,68 л, 0,7 л, 0,75 л, 0,8 л, 1,0 л і більше, а також у тару (посуд) місткістю від 25 до 100 л, виготовлену із матеріалів, дозволених до контакту з алкогольними напоями, і у такому випадку передбачені цією статтею вимоги щодо маркування </w:t>
            </w:r>
            <w:r>
              <w:rPr>
                <w:rFonts w:ascii="Times New Roman" w:eastAsia="Times New Roman" w:hAnsi="Times New Roman" w:cs="Times New Roman"/>
                <w:b/>
                <w:sz w:val="28"/>
                <w:szCs w:val="28"/>
              </w:rPr>
              <w:t>сидру і перрі (без додання спирту),</w:t>
            </w:r>
            <w:r>
              <w:rPr>
                <w:rFonts w:ascii="Times New Roman" w:eastAsia="Times New Roman" w:hAnsi="Times New Roman" w:cs="Times New Roman"/>
                <w:sz w:val="28"/>
                <w:szCs w:val="28"/>
              </w:rPr>
              <w:t xml:space="preserve">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не застосовуються.</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Розлив пива здійснюється у виготовлену із матеріалів, дозволених до контакту з алкогольними напоями. скляну тару, металеві банки із харчового алюмінію, полімерні пляшки ПЕТФ, сувенірні пляшки та художньо оформлений посуд із скла, глазурованої кераміки, а також у алюмінієві бочки, бочки із нержавіючої сталі (кеги) та інші види тари згідно з нормативно-правовими актами.</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Продукція, призначена для експорту, розливається у тару та маркується згідно з умовами відповідної угоди на експорт.</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Маркування виноробної продукції, зброджених напоїв, одержаних виключно в результаті природного (натурального) бродіння фруктових, ягідних та фруктово-ягідних соків, з вмістом спирту не більше 8,5 відсотка об’ємних одиниць (без додавання спирту), яка реалізується в Україні, здійснюється відповідно до Закону України "Про інформацію для споживачів щодо харчових продуктів" з урахуванням особливостей, встановлених цим Законом. Маркування виноробної продукції, , зброджених напоїв, одержаних виключно в результаті природного (натурального) бродіння фруктових, ягідних та фруктово-ягідних соків, з вмістом спирту не більше 8,5 відсотка об’ємних одиниць (без додавання спирту), яка реалізується в Україні, має містити таку інформацію:</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назва держави;</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найменування та місцезнаходження оператора ринку харчових продуктів, відповідального за надання інформації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знак для товарів і послуг;</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назва продукції;</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місткість посуду;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вміст спирту (% об.);</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вміст цукру (крім сухих вин, шампанського, ігристого вина та коньяку) (% мас.);</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наявність ароматизаторів, барвників (при їх використанні).</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Штриховий код повинен бути нанесений на видиму сторону етикетки, або контретикетки, або пляшки (іншого посуду). Дата виготовлення продукції повинна бути зазначена на видимій стороні етикетки, або контретикетки, або корка, або пляшки (іншого посуду).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Термін витримки для марочних вин та позначення "Марочне", вік коньячних спиртів для марочних коньяків і коньяків спеціальних назв наводяться на кольєретці.</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пляшках з колекційними винами та коньяками наклеюються додаткові ярлики із зазначенням "Колекційне (колекційний), додатково витримане (витриманий) в колекції ____ років".</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шийку пляшки з колекційним вином наклеюється кольєретка із зазначенням року врожаю винограду, з якого виготовлено вино.</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пляшці з вермутом повинна бути контретикетка або додаткова етикетка, на якій наводяться дані про основний склад компонентів напою і погоджені з центральним органом виконавчої влади, що реалізує державну політику у сфері охорони здоров'я, рекомендації щодо вживання напою.</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пляшки з усіма видами виноробної продукції можуть наклеюватися контретикетки, які містять додаткову інформацію про напої.</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Розлив виноробної продукції,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у виготовлену із матеріалів, дозволених до контакту з алкогольними напоями скляну тару, </w:t>
            </w:r>
            <w:r>
              <w:rPr>
                <w:rFonts w:ascii="Times New Roman" w:eastAsia="Times New Roman" w:hAnsi="Times New Roman" w:cs="Times New Roman"/>
                <w:b/>
                <w:sz w:val="28"/>
                <w:szCs w:val="28"/>
              </w:rPr>
              <w:t>а також у металеві банки із харчового алюмінію,</w:t>
            </w:r>
            <w:r>
              <w:rPr>
                <w:rFonts w:ascii="Times New Roman" w:eastAsia="Times New Roman" w:hAnsi="Times New Roman" w:cs="Times New Roman"/>
                <w:sz w:val="28"/>
                <w:szCs w:val="28"/>
              </w:rPr>
              <w:t xml:space="preserve"> у сувенірні пляшки та художньо оформлений посуд із скла, глазурованої кераміки або дерева, упаковку типу "Tetra-Pak" і "Bag in box".  Розлив виноробної продукції, зброджених напоїв, одержаних </w:t>
            </w:r>
            <w:r>
              <w:rPr>
                <w:rFonts w:ascii="Times New Roman" w:eastAsia="Times New Roman" w:hAnsi="Times New Roman" w:cs="Times New Roman"/>
                <w:sz w:val="28"/>
                <w:szCs w:val="28"/>
              </w:rPr>
              <w:lastRenderedPageBreak/>
              <w:t xml:space="preserve">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виключно у тару (посуд) місткістю 0,05 л, 0,1 л, 0,2 л, 0,25 л, 0,275 л, </w:t>
            </w:r>
            <w:r>
              <w:rPr>
                <w:rFonts w:ascii="Times New Roman" w:eastAsia="Times New Roman" w:hAnsi="Times New Roman" w:cs="Times New Roman"/>
                <w:b/>
                <w:sz w:val="28"/>
                <w:szCs w:val="28"/>
              </w:rPr>
              <w:t>0,33 л</w:t>
            </w:r>
            <w:r>
              <w:rPr>
                <w:rFonts w:ascii="Times New Roman" w:eastAsia="Times New Roman" w:hAnsi="Times New Roman" w:cs="Times New Roman"/>
                <w:sz w:val="28"/>
                <w:szCs w:val="28"/>
              </w:rPr>
              <w:t>, 0,35 л, 0,375 л, 0,4 л, 0,45 л, 0,5 л, 0,61 л, 0,68 л, 0,7 л, 0,75 л, 0,8 л, 1,0 л і більше. Розлив вин сухих і з доданням спирту (виноматеріалів оброблених) виноградних ординарних і марочних здійснюється також у тару (посуд) місткістю від 50 до 600 л, виготовлену із матеріалів, дозволених до контакту з алкогольними напоями, і у такому випадку передбачені цією статтею вимоги щодо маркування виноробної продукції,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не застосовуються.</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Розлив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у виготовлену із матеріалів, дозволених до контакту з алкогольними напоями. Розлив зброджених напоїв, скляну тару, а також металеві банки із харчового алюмінію, полімерні пляшки марки ПЕТФ, сувенірні пляшки та художньо оформлений посуд із скла, глазурованої кераміки або дерева, упаковку типу "Тetra-Pak" і "Bag in box"</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здійснюється у тару (посуд) місткістю 0,05 л, 0,1 л, 0,2 л, 0,25 л, 0,275 л, 0,3 л, 0,33 л, 0,35 л, 0,375 л, 0,4 л, 0,45 л, 0,5 л, 0,61 л, </w:t>
            </w:r>
            <w:r>
              <w:rPr>
                <w:rFonts w:ascii="Times New Roman" w:eastAsia="Times New Roman" w:hAnsi="Times New Roman" w:cs="Times New Roman"/>
                <w:sz w:val="28"/>
                <w:szCs w:val="28"/>
              </w:rPr>
              <w:lastRenderedPageBreak/>
              <w:t>0,68 л, 0,7 л, 0,75 л, 0,8 л, 1,0 л і більше, а також у тару (посуд) місткістю від 25 до 100 л, виготовлену із матеріалів, дозволених до контакту з алкогольними напоями, і у такому випадку передбачені цією статтею вимоги щодо маркування зброджених напоїв, одержаних виключно в результаті природнього (натурального) бродіння фруктових, ягідних та фруктово-ягідних соків, з вмістом спирту не більше 8,5 відсотка об’ємних одиниць (без додання спирту) не застосовуються.</w:t>
            </w:r>
          </w:p>
          <w:p w:rsidR="00CA6C41" w:rsidRDefault="00CA6C41">
            <w:pPr>
              <w:pBdr>
                <w:top w:val="nil"/>
                <w:left w:val="nil"/>
                <w:bottom w:val="nil"/>
                <w:right w:val="nil"/>
                <w:between w:val="nil"/>
              </w:pBdr>
              <w:spacing w:before="240" w:after="0" w:line="240" w:lineRule="auto"/>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before="240"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Виключити</w:t>
            </w:r>
          </w:p>
          <w:p w:rsidR="00CA6C41" w:rsidRDefault="00CA6C41">
            <w:pPr>
              <w:pBdr>
                <w:top w:val="nil"/>
                <w:left w:val="nil"/>
                <w:bottom w:val="nil"/>
                <w:right w:val="nil"/>
                <w:between w:val="nil"/>
              </w:pBdr>
              <w:spacing w:line="240" w:lineRule="auto"/>
              <w:ind w:firstLine="460"/>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Продукція, призначена для експорту, розливається у тару та маркується згідно з умовами відповідної угоди на експорт.</w:t>
            </w:r>
          </w:p>
          <w:p w:rsidR="00CA6C41" w:rsidRDefault="00CA6C41">
            <w:pPr>
              <w:pBdr>
                <w:top w:val="nil"/>
                <w:left w:val="nil"/>
                <w:bottom w:val="nil"/>
                <w:right w:val="nil"/>
                <w:between w:val="nil"/>
              </w:pBdr>
              <w:spacing w:before="240" w:after="0" w:line="240" w:lineRule="auto"/>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jc w:val="both"/>
              <w:rPr>
                <w:rFonts w:ascii="Times New Roman" w:eastAsia="Times New Roman" w:hAnsi="Times New Roman" w:cs="Times New Roman"/>
                <w:sz w:val="28"/>
                <w:szCs w:val="28"/>
              </w:rPr>
            </w:pPr>
          </w:p>
        </w:tc>
      </w:tr>
      <w:tr w:rsidR="00CA6C41">
        <w:tc>
          <w:tcPr>
            <w:tcW w:w="7556" w:type="dxa"/>
            <w:shd w:val="clear" w:color="auto" w:fill="auto"/>
            <w:tcMar>
              <w:top w:w="100" w:type="dxa"/>
              <w:left w:w="100" w:type="dxa"/>
              <w:bottom w:w="100" w:type="dxa"/>
              <w:right w:w="100" w:type="dxa"/>
            </w:tcMar>
          </w:tcPr>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Відсутній </w:t>
            </w: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line="240" w:lineRule="auto"/>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Маркування пива, а також сидру і перрі (без додавання спирту), які реалізуються в Україні, має містити таку інформацію:</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назва напою;</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найменування та місцезнаходження оператора ринку харчових продуктів, відповідального за інформацію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знак для товарів і послуг (за наявності);</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вміст спирту (% об.);</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кількість напою в установлених одиницях вимірювання;</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штриховий код;</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мінімальний термін придатності або дата «вжити до» або дата виробництва.</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Розлив пива, а також сидру і перрі (без додання спирту), здійснюється у виготовлену із матеріалів, дозволених до контакту з алкогольними напоями.</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 Маркування тютюнових виробів, які реалізуються в Україні, здійснюється таким чином:</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4.</w:t>
            </w:r>
            <w:r>
              <w:rPr>
                <w:rFonts w:ascii="Times New Roman" w:eastAsia="Times New Roman" w:hAnsi="Times New Roman" w:cs="Times New Roman"/>
                <w:sz w:val="28"/>
                <w:szCs w:val="28"/>
              </w:rPr>
              <w:t xml:space="preserve"> Маркування тютюнових виробів, які реалізуються в Україні, здійснюється таким чином:</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Виробник може наносити на етикетки додаткову інформацію щодо характеристики продукту. При цьому виробникам тютюнових виробів забороняється наносити на етикетки інформацію, яка може вводити в оману або створювати неправильне враження щодо характеристик тютюнових виробів, їх впливу на здоров'я, включаючи будь-який термін, напис, торговельну марку, зображення, символічний або будь-який інший знак, що прямо чи опосередковано створює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Етикеточна продукція розробляється товаровиробником алкогольних та тютюнових виробів і повинна відповідати вимогам чинного законодавства про мови (крім додаткової інформації щодо характеристик продукту), не потребує додаткових узгоджень, є промисловою власністю виробника та захищається згідно з </w:t>
            </w:r>
            <w:r>
              <w:rPr>
                <w:rFonts w:ascii="Times New Roman" w:eastAsia="Times New Roman" w:hAnsi="Times New Roman" w:cs="Times New Roman"/>
                <w:sz w:val="28"/>
                <w:szCs w:val="28"/>
              </w:rPr>
              <w:lastRenderedPageBreak/>
              <w:t>чинним законодавством про промислову (інтелектуальну) власність. Власні назви алкогольних напоїв та тютюнових виробів визначаються їх виробниками і можуть відтворювати зареєстрований чи поданий на реєстрацію знак для товарів і послуг або бути його частиною.</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Алкогольні напої та тютюнові вироби, які виробляються в Україні, а також такі, що імпортуються в Україну, позначаються марками акцизного податку в порядку, визначеному законодавством.</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зміни зразка марок акцизного податку вже закуплені марки попереднього зразка застосовуються у виробництві алкогольних напоїв та тютюнових виробів до їх повного використання, а марковані такими марками алкогольні напої та тютюнові вироби знаходяться в обігу до їх повної реалізації в межах терміну придатності для споживання.</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Зміни до цієї статті набирають чинності не раніше ніж через 24 місяці з дня опублікування закону про внесення відповідних змін.</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цьому алкогольні напої та тютюнові вироби, вироблені в Україні або імпортовані в Україну до набрання чинності внесеними відповідним законом змінами щодо маркування, знаходяться в обігу до їх повної реалізації в межах терміну придатності для споживання.</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 відсутня</w:t>
            </w:r>
          </w:p>
          <w:p w:rsidR="00CA6C41" w:rsidRDefault="00FC4AC1">
            <w:pPr>
              <w:pBdr>
                <w:top w:val="nil"/>
                <w:left w:val="nil"/>
                <w:bottom w:val="nil"/>
                <w:right w:val="nil"/>
                <w:between w:val="nil"/>
              </w:pBdr>
              <w:spacing w:before="24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Встановлені цією статтею вимоги до місткості тари (посуду) не застосовуються до алкогольних напоїв імпортного виробництва.</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5. </w:t>
            </w:r>
            <w:r>
              <w:rPr>
                <w:rFonts w:ascii="Times New Roman" w:eastAsia="Times New Roman" w:hAnsi="Times New Roman" w:cs="Times New Roman"/>
                <w:sz w:val="28"/>
                <w:szCs w:val="28"/>
              </w:rPr>
              <w:t>Виробник може наносити на етикетки додаткову інформацію щодо характеристики продукту. При цьому виробникам тютюнових виробів забороняється наносити на етикетки інформацію, яка може вводити в оману або створювати неправильне враження щодо характеристик тютюнових виробів, їх впливу на здоров'я, включаючи будь-який термін, напис, торговельну марку, зображення, символічний або будь-який інший знак, що прямо чи опосередковано створює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Етикеточна продукція розробляється товаровиробником алкогольних та тютюнових виробів і повинна відповідати вимогам чинного законодавства про мови (крім додаткової інформації щодо характеристик продукту), не потребує додаткових узгоджень, є промисловою власністю виробника та захищається згідно з чинним законодавством про промислову (інтелектуальну) власність. Власні назви алкогольних напоїв та </w:t>
            </w:r>
            <w:r>
              <w:rPr>
                <w:rFonts w:ascii="Times New Roman" w:eastAsia="Times New Roman" w:hAnsi="Times New Roman" w:cs="Times New Roman"/>
                <w:sz w:val="28"/>
                <w:szCs w:val="28"/>
              </w:rPr>
              <w:lastRenderedPageBreak/>
              <w:t>тютюнових виробів визначаються їх виробниками і можуть відтворювати зареєстрований чи поданий на реєстрацію знак для товарів і послуг або бути його частиною.</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Алкогольні напої та тютюнові вироби, які виробляються в Україні, а також такі, що імпортуються в Україну, позначаються марками акцизного податку в порядку, визначеному законодавством.</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зміни зразка марок акцизного податку вже закуплені марки попереднього зразка застосовуються у виробництві алкогольних напоїв та тютюнових виробів до їх повного використання, а марковані такими марками алкогольні напої та тютюнові вироби знаходяться в обігу до їх повної реалізації в межах терміну придатності для споживання.</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Зміни до цієї статті набирають чинності не раніше ніж через 24 місяці з дня опублікування закону про внесення відповідних змін.</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цьому алкогольні напої та тютюнові вироби, вироблені в Україні або імпортовані в Україну до набрання чинності внесеними відповідним законом змінами щодо маркування, знаходяться в обігу до їх повної реалізації в межах терміну придатності для споживання.</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Продукція, призначена для експорту, розливається у тару та маркується згідно з умовами відповідної угоди на експорт.</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Встановлені цією статтею вимоги до місткості тари (посуду) не застосовуються до алкогольних напоїв імпортного виробництва.</w:t>
            </w:r>
          </w:p>
        </w:tc>
      </w:tr>
      <w:tr w:rsidR="00CA6C41">
        <w:tc>
          <w:tcPr>
            <w:tcW w:w="755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15.</w:t>
            </w:r>
            <w:r>
              <w:rPr>
                <w:rFonts w:ascii="Times New Roman" w:eastAsia="Times New Roman" w:hAnsi="Times New Roman" w:cs="Times New Roman"/>
                <w:sz w:val="28"/>
                <w:szCs w:val="28"/>
              </w:rPr>
              <w:t xml:space="preserve"> Імпорт, експорт, оптова і роздрібна торгівля алкогольними напоями, тютюновими виробами, пальним та зберігання пального</w:t>
            </w:r>
          </w:p>
        </w:tc>
        <w:tc>
          <w:tcPr>
            <w:tcW w:w="78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15.</w:t>
            </w:r>
            <w:r>
              <w:rPr>
                <w:rFonts w:ascii="Times New Roman" w:eastAsia="Times New Roman" w:hAnsi="Times New Roman" w:cs="Times New Roman"/>
                <w:sz w:val="28"/>
                <w:szCs w:val="28"/>
              </w:rPr>
              <w:t xml:space="preserve"> Імпорт, експорт, оптова і роздрібна торгівля алкогольними напоями, тютюновими виробами, пальним та зберігання пального</w:t>
            </w:r>
          </w:p>
          <w:p w:rsidR="00CA6C41" w:rsidRDefault="00CA6C4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p>
        </w:tc>
      </w:tr>
      <w:tr w:rsidR="00CA6C41">
        <w:tc>
          <w:tcPr>
            <w:tcW w:w="755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Встановити річну плату за ліцензії на право оптової торгівлі у розмірі:</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алкогольними напоями, </w:t>
            </w:r>
            <w:r>
              <w:rPr>
                <w:rFonts w:ascii="Times New Roman" w:eastAsia="Times New Roman" w:hAnsi="Times New Roman" w:cs="Times New Roman"/>
                <w:b/>
                <w:sz w:val="28"/>
                <w:szCs w:val="28"/>
              </w:rPr>
              <w:t>крім сидру та перрі (без додання спирту)</w:t>
            </w:r>
            <w:r>
              <w:rPr>
                <w:rFonts w:ascii="Times New Roman" w:eastAsia="Times New Roman" w:hAnsi="Times New Roman" w:cs="Times New Roman"/>
                <w:sz w:val="28"/>
                <w:szCs w:val="28"/>
              </w:rPr>
              <w:t xml:space="preserve"> - 500000 гривень;</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тютюновими виробами - 500000 гривень;</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рідинами, що використовуються в електронних сигаретах, - 780 гривень;</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сидром та перрі (без додання спирту) - 780 гривень;</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виключно пивом для виробників пива з обсягом виробництва до 3000 гектолітрів на рік - 30000 гривень, обсяг виробництва розраховується з дня внесення плати за ліцензію до дня внесення наступного платежу;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пальним, за наявності у ліцензіата місць оптової торгівлі пальним, - 5000 гривень за кожне таке місце;</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пальним, за відсутності у ліцензіата місць оптової торгівлі пальним, - 10000 гривень.</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Встановити річну плату за ліцензії на право зберігання пального у розмірі 780 гривень.</w:t>
            </w:r>
          </w:p>
          <w:p w:rsidR="00CA6C41" w:rsidRDefault="00CA6C4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p>
        </w:tc>
        <w:tc>
          <w:tcPr>
            <w:tcW w:w="78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Встановити річну плату за ліцензії на право оптової торгівлі у розмірі:</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алкогольними напоями - 500000 гривень;</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тютюновими виробами - 500000 гривень;</w:t>
            </w:r>
          </w:p>
          <w:p w:rsidR="00CA6C41" w:rsidRDefault="00CA6C4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рідинами, що використовуються в електронних сигаретах, - 780 гривень;</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виключно пивом для виробників пива з обсягом виробництва до 3000 гектолітрів на рік - 30000 гривень, обсяг виробництва розраховується з дня внесення плати за ліцензію до дня внесення наступного платежу;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пальним, за наявності у ліцензіата місць оптової торгівлі пальним, - 5000 гривень за кожне таке місце;</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пальним, за відсутності у ліцензіата місць оптової торгівлі пальним, - 10000 гривень.</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Встановити річну плату за ліцензії на право зберігання пального у розмірі 780 гривень.</w:t>
            </w:r>
          </w:p>
        </w:tc>
      </w:tr>
      <w:tr w:rsidR="00CA6C41">
        <w:tc>
          <w:tcPr>
            <w:tcW w:w="755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отримання ліцензії на право оптової або роздрібної торгівлі пальним або на право зберігання пального разом із заявою додатково подаються завірені заявником копії таких документів:</w:t>
            </w:r>
          </w:p>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документи, що підтверджують право власності або право користування земельною ділянкою, або інше передбачене законодавством право землекористування на земельну ділянку, на якій розташований об’єкт оптової або роздрібної торгівлі пальним або зберігання пального, чинні на дату подання заяви та/або на дату введення такого об’єкта в експлуатацію, будь-якого цільового призначення;</w:t>
            </w:r>
            <w:bookmarkStart w:id="30" w:name="bookmark=id.j8sehv" w:colFirst="0" w:colLast="0"/>
            <w:bookmarkEnd w:id="30"/>
          </w:p>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акт вводу в експлуатацію об’єкта або акт готовності об’єкта до експлуатації, або сертифікат про прийняття в експлуатацію закінчених будівництвом об’єктів, або інші документи, що підтверджують прийняття об’єктів в експлуатацію відповідно до законодавства, щодо всіх об’єктів у місці оптової або роздрібної торгівлі пальним або зберігання пального, необхідних для оптової або роздрібної торгівлі пальним або зберігання пального;</w:t>
            </w:r>
          </w:p>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w:t>
            </w:r>
            <w:r>
              <w:rPr>
                <w:rFonts w:ascii="Times New Roman" w:eastAsia="Times New Roman" w:hAnsi="Times New Roman" w:cs="Times New Roman"/>
                <w:sz w:val="28"/>
                <w:szCs w:val="28"/>
              </w:rPr>
              <w:t>озвіл на виконання робіт підвищеної небезпеки та експлуатацію (застосування) машин, механізмів, устаткування підвищеної небезпеки</w:t>
            </w: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Копії таких документів не подаються у разі їх наявності у відкритих державних реєстрах, якщо реквізити таких документів та назви відповідних реєстрів зазначено в заяві на видачу ліцензії на право оптової або роздрібної торгівлі пальним або на зберігання пального.</w:t>
            </w:r>
          </w:p>
        </w:tc>
        <w:tc>
          <w:tcPr>
            <w:tcW w:w="789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отримання ліцензії на право оптової або роздрібної торгівлі пальним або на право зберігання пального разом із заявою додатково подаються завірені заявником копії таких документів:</w:t>
            </w:r>
          </w:p>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документи, що підтверджують право власності або право користування земельною ділянкою, або інше передбачене законодавством право землекористування на земельну ділянку, на якій розташований об’єкт оптової або роздрібної торгівлі пальним або зберігання пального, чинні на дату подання заяви та/або на дату введення такого об’єкта в експлуатацію, будь-якого цільового призначення;</w:t>
            </w:r>
          </w:p>
          <w:p w:rsidR="00CA6C41" w:rsidRDefault="00FC4AC1">
            <w:pPr>
              <w:pBdr>
                <w:top w:val="nil"/>
                <w:left w:val="nil"/>
                <w:bottom w:val="nil"/>
                <w:right w:val="nil"/>
                <w:between w:val="nil"/>
              </w:pBdr>
              <w:spacing w:before="240" w:after="0" w:line="240" w:lineRule="auto"/>
              <w:ind w:firstLine="31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акт вводу в експлуатацію об’єкта або акт готовності об’єкта до експлуатації, або сертифікат про прийняття в експлуатацію закінчених будівництвом об’єктів, або інші документи, що підтверджують прийняття об’єктів в експлуатацію відповідно до законодавства, щодо всіх об’єктів у місці оптової або роздрібної торгівлі пальним або зберігання пального, необхідних для оптової або роздрібної торгівлі пальним або зберігання пального;</w:t>
            </w:r>
          </w:p>
          <w:p w:rsidR="00CA6C41" w:rsidRDefault="00FC4AC1">
            <w:pPr>
              <w:pBdr>
                <w:top w:val="nil"/>
                <w:left w:val="nil"/>
                <w:bottom w:val="nil"/>
                <w:right w:val="nil"/>
                <w:between w:val="nil"/>
              </w:pBdr>
              <w:spacing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дозвіл на виконання робіт підвищеної небезпеки та експлуатацію (застосування) машин, механізмів, устаткування підвищеної небезпеки</w:t>
            </w:r>
            <w:r>
              <w:rPr>
                <w:rFonts w:ascii="Times New Roman" w:eastAsia="Times New Roman" w:hAnsi="Times New Roman" w:cs="Times New Roman"/>
                <w:b/>
                <w:sz w:val="28"/>
                <w:szCs w:val="28"/>
              </w:rPr>
              <w:t xml:space="preserve"> або декларацію відповідності матеріально-технічної бази вимогам законодавства з питань охорони праці;</w:t>
            </w:r>
          </w:p>
          <w:p w:rsidR="00CA6C41" w:rsidRDefault="00CA6C41">
            <w:pPr>
              <w:pBdr>
                <w:top w:val="nil"/>
                <w:left w:val="nil"/>
                <w:bottom w:val="nil"/>
                <w:right w:val="nil"/>
                <w:between w:val="nil"/>
              </w:pBdr>
              <w:spacing w:before="60" w:after="0" w:line="240" w:lineRule="auto"/>
              <w:ind w:firstLine="314"/>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Копії таких документів не подаються у разі їх наявності у відкритих державних реєстрах, якщо реквізити таких </w:t>
            </w:r>
            <w:r>
              <w:rPr>
                <w:rFonts w:ascii="Times New Roman" w:eastAsia="Times New Roman" w:hAnsi="Times New Roman" w:cs="Times New Roman"/>
                <w:sz w:val="28"/>
                <w:szCs w:val="28"/>
              </w:rPr>
              <w:lastRenderedPageBreak/>
              <w:t>документів та назви відповідних реєстрів зазначено в заяві на видачу ліцензії на право оптової або роздрібної торгівлі пальним або на зберігання пального.</w:t>
            </w:r>
          </w:p>
          <w:p w:rsidR="00CA6C41" w:rsidRDefault="00CA6C41">
            <w:pPr>
              <w:pBdr>
                <w:top w:val="nil"/>
                <w:left w:val="nil"/>
                <w:bottom w:val="nil"/>
                <w:right w:val="nil"/>
                <w:between w:val="nil"/>
              </w:pBdr>
              <w:spacing w:before="60" w:after="0" w:line="240" w:lineRule="auto"/>
              <w:ind w:firstLine="314"/>
              <w:jc w:val="both"/>
              <w:rPr>
                <w:rFonts w:ascii="Times New Roman" w:eastAsia="Times New Roman" w:hAnsi="Times New Roman" w:cs="Times New Roman"/>
                <w:sz w:val="28"/>
                <w:szCs w:val="28"/>
              </w:rPr>
            </w:pP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16. Органи контролю за виробництвом і торгівлею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та тютюновими виробами і пальним</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16. Органи контролю за виробництвом і торгівлею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та тютюновими виробами і пальним</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Суб'єкти господарювання (у тому числі іноземні суб’єкти господарювання, які діють через свої зареєстровані постійні представництва), які отримали ліцензії на виробництво та/або оптову торгівлю спиртом, алкогольними напоями і тютюновими виробами та здійснюють таку діяльність та/або експорт, імпорт зазначеної продукції, подають до </w:t>
            </w:r>
            <w:r>
              <w:rPr>
                <w:rFonts w:ascii="Times New Roman" w:eastAsia="Times New Roman" w:hAnsi="Times New Roman" w:cs="Times New Roman"/>
                <w:b/>
                <w:sz w:val="28"/>
                <w:szCs w:val="28"/>
              </w:rPr>
              <w:t>органу виконавчої влади, уповноваженого Кабінетом Міністрів України видавати такі ліцензії,</w:t>
            </w:r>
            <w:r>
              <w:rPr>
                <w:rFonts w:ascii="Times New Roman" w:eastAsia="Times New Roman" w:hAnsi="Times New Roman" w:cs="Times New Roman"/>
                <w:sz w:val="28"/>
                <w:szCs w:val="28"/>
              </w:rPr>
              <w:t xml:space="preserve"> щомісяця до 10 числа наступного місяця звіт про обсяги виробництва та/або обігу (в тому числі імпорту та експорту) спирту, алкогольних напоїв та тютюнових виробів за формою, встановленою цим органом. У разі якщо в місяці, наступному за звітним місяцем, суб’єкт господарювання (у тому числі іноземний суб’єкт господарювання, який діє через своє зареєстроване постійне представництво) самостійно виявив помилки у поданому ним звіті за звітний місяць, він зобов’язаний подати уточнений звіт до кінця місяця, </w:t>
            </w:r>
            <w:r>
              <w:rPr>
                <w:rFonts w:ascii="Times New Roman" w:eastAsia="Times New Roman" w:hAnsi="Times New Roman" w:cs="Times New Roman"/>
                <w:sz w:val="28"/>
                <w:szCs w:val="28"/>
              </w:rPr>
              <w:lastRenderedPageBreak/>
              <w:t>наступного за звітним місяцем. У такому разі штраф, встановлений абзацом дев’ятнадцятим частини другої статті 17 цього Закону, не застосовується.</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Суб'єкти господарювання (у тому числі іноземні суб’єкти господарювання, які діють через свої зареєстровані постійні представництва), які отримали ліцензії на виробництво та/або оптову торгівлю спиртом, алкогольними напоями і тютюновими виробами та здійснюють таку діяльність та/або експорт, імпорт зазначеної продукції, подають до </w:t>
            </w:r>
            <w:r>
              <w:rPr>
                <w:rFonts w:ascii="Times New Roman" w:eastAsia="Times New Roman" w:hAnsi="Times New Roman" w:cs="Times New Roman"/>
                <w:b/>
                <w:sz w:val="28"/>
                <w:szCs w:val="28"/>
              </w:rPr>
              <w:t>центрального органу виконавчої влади, що реалізує державну податкову політику,</w:t>
            </w:r>
            <w:r>
              <w:rPr>
                <w:rFonts w:ascii="Times New Roman" w:eastAsia="Times New Roman" w:hAnsi="Times New Roman" w:cs="Times New Roman"/>
                <w:sz w:val="28"/>
                <w:szCs w:val="28"/>
              </w:rPr>
              <w:t xml:space="preserve"> щомісяця до 10 числа наступного місяця звіт про обсяги виробництва та/або обігу спирту, алкогольних напоїв та тютюнових виробів за формою, встановленою цим органом. У разі якщо в місяці, наступному за звітним місяцем, суб’єкт господарювання (у тому числі іноземний суб’єкт господарювання, який діє через своє зареєстроване постійне представництво) самостійно виявив помилки у поданому ним звіті за звітний місяць, він зобов’язаний подати уточнений звіт до кінця місяця, наступного за звітним місяцем. У такому разі </w:t>
            </w:r>
            <w:r>
              <w:rPr>
                <w:rFonts w:ascii="Times New Roman" w:eastAsia="Times New Roman" w:hAnsi="Times New Roman" w:cs="Times New Roman"/>
                <w:sz w:val="28"/>
                <w:szCs w:val="28"/>
              </w:rPr>
              <w:lastRenderedPageBreak/>
              <w:t>штраф, встановлений абзацом дев’ятнадцятим частини другої статті 17 цього Закону, не застосовується.</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17.</w:t>
            </w:r>
            <w:r>
              <w:rPr>
                <w:rFonts w:ascii="Times New Roman" w:eastAsia="Times New Roman" w:hAnsi="Times New Roman" w:cs="Times New Roman"/>
                <w:sz w:val="28"/>
                <w:szCs w:val="28"/>
              </w:rPr>
              <w:t xml:space="preserve"> Відповідальність за порушення норм цього Закону</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17.</w:t>
            </w:r>
            <w:r>
              <w:rPr>
                <w:rFonts w:ascii="Times New Roman" w:eastAsia="Times New Roman" w:hAnsi="Times New Roman" w:cs="Times New Roman"/>
                <w:sz w:val="28"/>
                <w:szCs w:val="28"/>
              </w:rPr>
              <w:t xml:space="preserve"> Відповідальність за порушення норм цього Закону</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надання послуг із зберігання пального іншим суб'єктам господарювання та/або реалізація пального іншим особам на підставі ліцензії на право зберігання пального, отриманої відповідно до статті 15 цього Закону, - 500000 гривень;</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надання послуг із зберігання пального іншим суб'єктам господарювання та/або реалізація пального іншим особам на підставі ліцензії на право зберігання пального, отриманої </w:t>
            </w:r>
            <w:r>
              <w:rPr>
                <w:rFonts w:ascii="Times New Roman" w:eastAsia="Times New Roman" w:hAnsi="Times New Roman" w:cs="Times New Roman"/>
                <w:b/>
                <w:sz w:val="28"/>
                <w:szCs w:val="28"/>
              </w:rPr>
              <w:t xml:space="preserve">на підставі заяви виключно для потреб власного споживання чи промислової переробки </w:t>
            </w:r>
            <w:r>
              <w:rPr>
                <w:rFonts w:ascii="Times New Roman" w:eastAsia="Times New Roman" w:hAnsi="Times New Roman" w:cs="Times New Roman"/>
                <w:sz w:val="28"/>
                <w:szCs w:val="28"/>
              </w:rPr>
              <w:t>відповідно до статті 15 цього Закону, - 500000 гривень;</w:t>
            </w:r>
          </w:p>
          <w:p w:rsidR="00CA6C41" w:rsidRDefault="00FC4AC1">
            <w:pPr>
              <w:pBdr>
                <w:top w:val="nil"/>
                <w:left w:val="nil"/>
                <w:bottom w:val="nil"/>
                <w:right w:val="nil"/>
                <w:between w:val="nil"/>
              </w:pBdr>
              <w:spacing w:before="240" w:after="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240" w:after="24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зберігання та/або використання на митній території України обладнання для промислового виробництва сигарет та цигарок, не внесеного до Єдиного реєстру обладнання, - 150000 гривень;</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before="120" w:after="120" w:line="240" w:lineRule="auto"/>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Абзац двадцять п’ятий частини другої статті 17 замінити абзацами такого змісту: </w:t>
            </w:r>
          </w:p>
          <w:p w:rsidR="00CA6C41" w:rsidRDefault="00FC4AC1">
            <w:pPr>
              <w:pBdr>
                <w:top w:val="nil"/>
                <w:left w:val="nil"/>
                <w:bottom w:val="nil"/>
                <w:right w:val="nil"/>
                <w:between w:val="nil"/>
              </w:pBdr>
              <w:spacing w:before="120" w:after="12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користування та/або зберігання на митній території України обладнання для промислового виробництва тютюнових виробів, не зареєстрованого у Єдиному реєстрі обладнання, – 150 000 гривень,</w:t>
            </w:r>
          </w:p>
          <w:p w:rsidR="00CA6C41" w:rsidRDefault="00FC4AC1">
            <w:pPr>
              <w:pBdr>
                <w:top w:val="nil"/>
                <w:left w:val="nil"/>
                <w:bottom w:val="nil"/>
                <w:right w:val="nil"/>
                <w:between w:val="nil"/>
              </w:pBdr>
              <w:spacing w:before="120" w:after="12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несвоєчасне подання заяви про реєстрацію обладнання для промислового виробництва тютюнових виробів, несвоєчасне подання та/або неподання заяви про внесення змін до відомостей, що містяться в Єдиному реєстрі обладнання, про виключення відомостей, що містяться в </w:t>
            </w:r>
            <w:r>
              <w:rPr>
                <w:rFonts w:ascii="Times New Roman" w:eastAsia="Times New Roman" w:hAnsi="Times New Roman" w:cs="Times New Roman"/>
                <w:b/>
                <w:sz w:val="28"/>
                <w:szCs w:val="28"/>
              </w:rPr>
              <w:lastRenderedPageBreak/>
              <w:t>Єдиному реєстрі обладнання, у строки, передбачені статтею 2-1 цього Закону, – 100 000 гривень;</w:t>
            </w:r>
          </w:p>
          <w:p w:rsidR="00CA6C41" w:rsidRDefault="00FC4AC1">
            <w:pPr>
              <w:pBdr>
                <w:top w:val="nil"/>
                <w:left w:val="nil"/>
                <w:bottom w:val="nil"/>
                <w:right w:val="nil"/>
                <w:between w:val="nil"/>
              </w:pBdr>
              <w:spacing w:before="120" w:after="12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подання недостовірних відомостей у заяві про реєстрацію обладнання, про внесення змін чи про виключення відомостей, що містяться в Єдиному реєстрі обладнання, – 50 000 гривень.</w:t>
            </w:r>
          </w:p>
          <w:p w:rsidR="00CA6C41" w:rsidRDefault="00FC4AC1">
            <w:pPr>
              <w:pBdr>
                <w:top w:val="nil"/>
                <w:left w:val="nil"/>
                <w:bottom w:val="nil"/>
                <w:right w:val="nil"/>
                <w:between w:val="nil"/>
              </w:pBdr>
              <w:spacing w:before="240" w:after="240" w:line="240" w:lineRule="auto"/>
              <w:ind w:firstLine="7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r w:rsidR="00CA6C41">
        <w:tc>
          <w:tcPr>
            <w:tcW w:w="755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18. </w:t>
            </w:r>
            <w:r>
              <w:rPr>
                <w:rFonts w:ascii="Times New Roman" w:eastAsia="Times New Roman" w:hAnsi="Times New Roman" w:cs="Times New Roman"/>
                <w:sz w:val="28"/>
                <w:szCs w:val="28"/>
              </w:rPr>
              <w:t>Заключні положення</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Тимчасово встановити, що положення </w:t>
            </w:r>
            <w:hyperlink r:id="rId148" w:anchor="n835">
              <w:r>
                <w:rPr>
                  <w:rFonts w:ascii="Times New Roman" w:eastAsia="Times New Roman" w:hAnsi="Times New Roman" w:cs="Times New Roman"/>
                  <w:sz w:val="28"/>
                  <w:szCs w:val="28"/>
                </w:rPr>
                <w:t>статті 7-1</w:t>
              </w:r>
            </w:hyperlink>
            <w:r>
              <w:rPr>
                <w:rFonts w:ascii="Times New Roman" w:eastAsia="Times New Roman" w:hAnsi="Times New Roman" w:cs="Times New Roman"/>
                <w:sz w:val="28"/>
                <w:szCs w:val="28"/>
              </w:rPr>
              <w:t xml:space="preserve"> цього Закону не застосовуються:</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 30 квітня 2020 року для виробників дезінфекційних засобів (код згідно з </w:t>
            </w:r>
            <w:hyperlink r:id="rId149" w:anchor="n938">
              <w:r>
                <w:rPr>
                  <w:rFonts w:ascii="Times New Roman" w:eastAsia="Times New Roman" w:hAnsi="Times New Roman" w:cs="Times New Roman"/>
                  <w:sz w:val="28"/>
                  <w:szCs w:val="28"/>
                </w:rPr>
                <w:t>УКТ ЗЕД</w:t>
              </w:r>
            </w:hyperlink>
            <w:r>
              <w:rPr>
                <w:rFonts w:ascii="Times New Roman" w:eastAsia="Times New Roman" w:hAnsi="Times New Roman" w:cs="Times New Roman"/>
                <w:sz w:val="28"/>
                <w:szCs w:val="28"/>
              </w:rPr>
              <w:t xml:space="preserve"> 3808 94 90 00);</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до 31 травня 2020 року </w:t>
            </w:r>
            <w:r>
              <w:rPr>
                <w:rFonts w:ascii="Times New Roman" w:eastAsia="Times New Roman" w:hAnsi="Times New Roman" w:cs="Times New Roman"/>
                <w:sz w:val="28"/>
                <w:szCs w:val="28"/>
              </w:rPr>
              <w:t>для виробників лікарських засобів, що здійснюють виробництво дезінфекційних засобів з використанням спирту етилового, акцизний податок з якого справляється за ставкою 0 гривень за 1 літр 100-відсоткового спирту.</w:t>
            </w:r>
          </w:p>
          <w:p w:rsidR="00CA6C41" w:rsidRDefault="00FC4AC1">
            <w:pPr>
              <w:pBdr>
                <w:top w:val="nil"/>
                <w:left w:val="nil"/>
                <w:bottom w:val="nil"/>
                <w:right w:val="nil"/>
                <w:between w:val="nil"/>
              </w:pBd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7896" w:type="dxa"/>
            <w:shd w:val="clear" w:color="auto" w:fill="auto"/>
            <w:tcMar>
              <w:top w:w="100" w:type="dxa"/>
              <w:left w:w="100" w:type="dxa"/>
              <w:bottom w:w="100" w:type="dxa"/>
              <w:right w:w="100"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18. </w:t>
            </w:r>
            <w:r>
              <w:rPr>
                <w:rFonts w:ascii="Times New Roman" w:eastAsia="Times New Roman" w:hAnsi="Times New Roman" w:cs="Times New Roman"/>
                <w:sz w:val="28"/>
                <w:szCs w:val="28"/>
              </w:rPr>
              <w:t>Заключні положення</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Тимчасово встановити, що положення </w:t>
            </w:r>
            <w:hyperlink r:id="rId150" w:anchor="n835">
              <w:r>
                <w:rPr>
                  <w:rFonts w:ascii="Times New Roman" w:eastAsia="Times New Roman" w:hAnsi="Times New Roman" w:cs="Times New Roman"/>
                  <w:sz w:val="28"/>
                  <w:szCs w:val="28"/>
                </w:rPr>
                <w:t>статті 7-1</w:t>
              </w:r>
            </w:hyperlink>
            <w:r>
              <w:rPr>
                <w:rFonts w:ascii="Times New Roman" w:eastAsia="Times New Roman" w:hAnsi="Times New Roman" w:cs="Times New Roman"/>
                <w:sz w:val="28"/>
                <w:szCs w:val="28"/>
              </w:rPr>
              <w:t xml:space="preserve"> цього Закону не застосовуються:</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 30 квітня 2020 року для виробників дезінфекційних засобів (код згідно з </w:t>
            </w:r>
            <w:hyperlink r:id="rId151" w:anchor="n938">
              <w:r>
                <w:rPr>
                  <w:rFonts w:ascii="Times New Roman" w:eastAsia="Times New Roman" w:hAnsi="Times New Roman" w:cs="Times New Roman"/>
                  <w:sz w:val="28"/>
                  <w:szCs w:val="28"/>
                </w:rPr>
                <w:t>УКТ ЗЕД</w:t>
              </w:r>
            </w:hyperlink>
            <w:r>
              <w:rPr>
                <w:rFonts w:ascii="Times New Roman" w:eastAsia="Times New Roman" w:hAnsi="Times New Roman" w:cs="Times New Roman"/>
                <w:sz w:val="28"/>
                <w:szCs w:val="28"/>
              </w:rPr>
              <w:t xml:space="preserve"> 3808 94 90 00);</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eastAsia="Times New Roman" w:hAnsi="Times New Roman" w:cs="Times New Roman"/>
                <w:sz w:val="28"/>
                <w:szCs w:val="28"/>
              </w:rPr>
              <w:t xml:space="preserve"> для виробників лікарських засобів, що здійснюють виробництво дезінфекційних засобів з використанням спирту етилового, акцизний податок з якого справляється за ставкою 0 гривень за 1 літр 100-відсоткового спирту.</w:t>
            </w:r>
          </w:p>
          <w:p w:rsidR="00CA6C41" w:rsidRDefault="00FC4AC1">
            <w:pPr>
              <w:pBdr>
                <w:top w:val="nil"/>
                <w:left w:val="nil"/>
                <w:bottom w:val="nil"/>
                <w:right w:val="nil"/>
                <w:between w:val="nil"/>
              </w:pBdr>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bl>
    <w:p w:rsidR="00CA6C41" w:rsidRDefault="00CA6C41">
      <w:pPr>
        <w:pBdr>
          <w:top w:val="nil"/>
          <w:left w:val="nil"/>
          <w:bottom w:val="nil"/>
          <w:right w:val="nil"/>
          <w:between w:val="nil"/>
        </w:pBdr>
        <w:spacing w:after="0" w:line="240" w:lineRule="auto"/>
        <w:jc w:val="center"/>
        <w:rPr>
          <w:rFonts w:ascii="Times New Roman" w:eastAsia="Times New Roman" w:hAnsi="Times New Roman" w:cs="Times New Roman"/>
          <w:sz w:val="28"/>
          <w:szCs w:val="28"/>
        </w:rPr>
      </w:pPr>
    </w:p>
    <w:tbl>
      <w:tblPr>
        <w:tblStyle w:val="affffffffe"/>
        <w:tblW w:w="1545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16"/>
        <w:gridCol w:w="7936"/>
      </w:tblGrid>
      <w:tr w:rsidR="00CA6C41">
        <w:tc>
          <w:tcPr>
            <w:tcW w:w="751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від 7 грудня 2000 року № 2121-III «Про банки і банківську діяльність»</w:t>
            </w:r>
          </w:p>
        </w:tc>
        <w:tc>
          <w:tcPr>
            <w:tcW w:w="793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від 7 грудня 2000 року № 2121-III «Про банки і банківську діяльність»</w:t>
            </w:r>
          </w:p>
        </w:tc>
      </w:tr>
      <w:tr w:rsidR="00CA6C41">
        <w:tc>
          <w:tcPr>
            <w:tcW w:w="751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62.</w:t>
            </w:r>
            <w:r>
              <w:rPr>
                <w:rFonts w:ascii="Times New Roman" w:eastAsia="Times New Roman" w:hAnsi="Times New Roman" w:cs="Times New Roman"/>
                <w:sz w:val="28"/>
                <w:szCs w:val="28"/>
              </w:rPr>
              <w:t xml:space="preserve"> Порядок розкриття банківської таємниці</w:t>
            </w:r>
          </w:p>
        </w:tc>
        <w:tc>
          <w:tcPr>
            <w:tcW w:w="793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62.</w:t>
            </w:r>
            <w:r>
              <w:rPr>
                <w:rFonts w:ascii="Times New Roman" w:eastAsia="Times New Roman" w:hAnsi="Times New Roman" w:cs="Times New Roman"/>
                <w:sz w:val="28"/>
                <w:szCs w:val="28"/>
              </w:rPr>
              <w:t xml:space="preserve"> Порядок розкриття банківської таємниці</w:t>
            </w:r>
          </w:p>
        </w:tc>
      </w:tr>
      <w:tr w:rsidR="00CA6C41">
        <w:tc>
          <w:tcPr>
            <w:tcW w:w="751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Інформація щодо юридичних та фізичних осіб, яка містить банківську таємницю, розкривається банками:</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центральному органу виконавчої влади, що реалізує державну податкову політику: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tc>
        <w:tc>
          <w:tcPr>
            <w:tcW w:w="7936"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Інформація щодо юридичних та фізичних осіб, яка містить банківську таємницю, розкривається банками:</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центральному органу виконавчої влади, що реалізує державну податкову політику:</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ґ) на його письмову вимогу, оформлену з метою виконання рішення суду про стягнення коштів з платника податків у рахунок погашення податкового боргу, щодо стану рахунків боржника, руху коштів та операцій на рахунках боржника за останній календарний рік з дати виникнення податкового боргу, а також про інформацію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w:t>
            </w:r>
          </w:p>
        </w:tc>
      </w:tr>
    </w:tbl>
    <w:p w:rsidR="00CA6C41" w:rsidRDefault="00CA6C41">
      <w:pPr>
        <w:pBdr>
          <w:top w:val="nil"/>
          <w:left w:val="nil"/>
          <w:bottom w:val="nil"/>
          <w:right w:val="nil"/>
          <w:between w:val="nil"/>
        </w:pBdr>
        <w:tabs>
          <w:tab w:val="left" w:pos="3030"/>
        </w:tabs>
        <w:spacing w:after="0" w:line="240" w:lineRule="auto"/>
        <w:ind w:right="-456"/>
        <w:rPr>
          <w:rFonts w:ascii="Times New Roman" w:eastAsia="Times New Roman" w:hAnsi="Times New Roman" w:cs="Times New Roman"/>
          <w:b/>
          <w:sz w:val="28"/>
          <w:szCs w:val="28"/>
        </w:rPr>
      </w:pPr>
    </w:p>
    <w:tbl>
      <w:tblPr>
        <w:tblStyle w:val="afffffffff"/>
        <w:tblW w:w="1545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90"/>
        <w:gridCol w:w="7862"/>
      </w:tblGrid>
      <w:tr w:rsidR="00CA6C41">
        <w:tc>
          <w:tcPr>
            <w:tcW w:w="759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Закон України від 07.12.2017 № 2245 «Про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 </w:t>
            </w:r>
          </w:p>
        </w:tc>
        <w:tc>
          <w:tcPr>
            <w:tcW w:w="786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Закон України від 07.12.2017 № 2245 «Про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 </w:t>
            </w:r>
          </w:p>
        </w:tc>
      </w:tr>
      <w:tr w:rsidR="00CA6C41">
        <w:tc>
          <w:tcPr>
            <w:tcW w:w="759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after="0" w:line="240" w:lineRule="auto"/>
              <w:ind w:firstLine="3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 Внести до Податкового кодексу України (Відомості Верховної Ради України, 2011 р., №№ 13-17, ст. 112) такі зміни:</w:t>
            </w:r>
          </w:p>
          <w:p w:rsidR="00CA6C41" w:rsidRDefault="00FC4AC1">
            <w:pPr>
              <w:pBdr>
                <w:top w:val="nil"/>
                <w:left w:val="nil"/>
                <w:bottom w:val="nil"/>
                <w:right w:val="nil"/>
                <w:between w:val="nil"/>
              </w:pBdr>
              <w:tabs>
                <w:tab w:val="left" w:pos="5954"/>
              </w:tabs>
              <w:spacing w:after="0" w:line="240" w:lineRule="auto"/>
              <w:ind w:firstLine="3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86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after="0" w:line="240" w:lineRule="auto"/>
              <w:ind w:firstLine="3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 Внести до Податкового кодексу України (Відомості Верховної Ради України, 2011 р., №№ 13-17, ст. 112) такі зміни:</w:t>
            </w:r>
          </w:p>
          <w:p w:rsidR="00CA6C41" w:rsidRDefault="00FC4AC1">
            <w:pPr>
              <w:pBdr>
                <w:top w:val="nil"/>
                <w:left w:val="nil"/>
                <w:bottom w:val="nil"/>
                <w:right w:val="nil"/>
                <w:between w:val="nil"/>
              </w:pBdr>
              <w:tabs>
                <w:tab w:val="left" w:pos="5954"/>
              </w:tabs>
              <w:spacing w:after="0" w:line="240" w:lineRule="auto"/>
              <w:ind w:firstLine="3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59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пункті 14.1 статті 14:</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доповнити підпунктами 14.1.227</w:t>
            </w:r>
            <w:r>
              <w:rPr>
                <w:rFonts w:ascii="Times New Roman" w:eastAsia="Times New Roman" w:hAnsi="Times New Roman" w:cs="Times New Roman"/>
                <w:b/>
                <w:sz w:val="28"/>
                <w:szCs w:val="28"/>
                <w:vertAlign w:val="superscript"/>
              </w:rPr>
              <w:t xml:space="preserve">1 </w:t>
            </w:r>
            <w:r>
              <w:rPr>
                <w:rFonts w:ascii="Times New Roman" w:eastAsia="Times New Roman" w:hAnsi="Times New Roman" w:cs="Times New Roman"/>
                <w:sz w:val="28"/>
                <w:szCs w:val="28"/>
              </w:rPr>
              <w:t>і 14.1.227</w:t>
            </w:r>
            <w:r>
              <w:rPr>
                <w:rFonts w:ascii="Times New Roman" w:eastAsia="Times New Roman" w:hAnsi="Times New Roman" w:cs="Times New Roman"/>
                <w:b/>
                <w:sz w:val="28"/>
                <w:szCs w:val="28"/>
                <w:vertAlign w:val="superscript"/>
              </w:rPr>
              <w:t>2</w:t>
            </w:r>
            <w:r>
              <w:rPr>
                <w:rFonts w:ascii="Times New Roman" w:eastAsia="Times New Roman" w:hAnsi="Times New Roman" w:cs="Times New Roman"/>
                <w:sz w:val="28"/>
                <w:szCs w:val="28"/>
              </w:rPr>
              <w:t xml:space="preserve"> такого змісту:</w:t>
            </w:r>
          </w:p>
        </w:tc>
        <w:tc>
          <w:tcPr>
            <w:tcW w:w="786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пункті 14.1 статті 14:</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tabs>
                <w:tab w:val="left" w:pos="5954"/>
              </w:tabs>
              <w:spacing w:after="0" w:line="240" w:lineRule="auto"/>
              <w:ind w:firstLine="3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доповнити підпунктами 14.1.227</w:t>
            </w:r>
            <w:r>
              <w:rPr>
                <w:rFonts w:ascii="Times New Roman" w:eastAsia="Times New Roman" w:hAnsi="Times New Roman" w:cs="Times New Roman"/>
                <w:b/>
                <w:sz w:val="28"/>
                <w:szCs w:val="28"/>
                <w:vertAlign w:val="superscript"/>
              </w:rPr>
              <w:t xml:space="preserve">1 </w:t>
            </w:r>
            <w:r>
              <w:rPr>
                <w:rFonts w:ascii="Times New Roman" w:eastAsia="Times New Roman" w:hAnsi="Times New Roman" w:cs="Times New Roman"/>
                <w:sz w:val="28"/>
                <w:szCs w:val="28"/>
              </w:rPr>
              <w:t>і 14.1.227</w:t>
            </w:r>
            <w:r>
              <w:rPr>
                <w:rFonts w:ascii="Times New Roman" w:eastAsia="Times New Roman" w:hAnsi="Times New Roman" w:cs="Times New Roman"/>
                <w:b/>
                <w:sz w:val="28"/>
                <w:szCs w:val="28"/>
                <w:vertAlign w:val="superscript"/>
              </w:rPr>
              <w:t>2</w:t>
            </w:r>
            <w:r>
              <w:rPr>
                <w:rFonts w:ascii="Times New Roman" w:eastAsia="Times New Roman" w:hAnsi="Times New Roman" w:cs="Times New Roman"/>
                <w:sz w:val="28"/>
                <w:szCs w:val="28"/>
              </w:rPr>
              <w:t xml:space="preserve"> такого змісту:</w:t>
            </w:r>
          </w:p>
        </w:tc>
      </w:tr>
      <w:tr w:rsidR="00CA6C41">
        <w:tc>
          <w:tcPr>
            <w:tcW w:w="7590"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after="0" w:line="240" w:lineRule="auto"/>
              <w:ind w:firstLine="3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14.1.227</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середньозважена роздрібна ціна продажу сигарет - ціна, розрахована із суми загальної вартості всіх сигарет, реалізованих виробниками на митній території України та ввезених імпортерами на митну територію України за період з 1 січня до 31 грудня звітного 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w:t>
            </w:r>
          </w:p>
          <w:p w:rsidR="00CA6C41" w:rsidRDefault="00FC4AC1">
            <w:pPr>
              <w:pBdr>
                <w:top w:val="nil"/>
                <w:left w:val="nil"/>
                <w:bottom w:val="nil"/>
                <w:right w:val="nil"/>
                <w:between w:val="nil"/>
              </w:pBdr>
              <w:tabs>
                <w:tab w:val="left" w:pos="5954"/>
              </w:tabs>
              <w:spacing w:after="0" w:line="240" w:lineRule="auto"/>
              <w:ind w:firstLine="3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86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tabs>
                <w:tab w:val="left" w:pos="5954"/>
              </w:tabs>
              <w:spacing w:after="0" w:line="240" w:lineRule="auto"/>
              <w:ind w:firstLine="3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14.1.227</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середньозважена роздрібна ціна продажу сигарет – ціна, розрахована із суми загальної вартості всіх сигарет </w:t>
            </w:r>
            <w:r>
              <w:rPr>
                <w:rFonts w:ascii="Times New Roman" w:eastAsia="Times New Roman" w:hAnsi="Times New Roman" w:cs="Times New Roman"/>
                <w:b/>
                <w:sz w:val="28"/>
                <w:szCs w:val="28"/>
              </w:rPr>
              <w:t>з урахуванням усіх податків</w:t>
            </w:r>
            <w:r>
              <w:rPr>
                <w:rFonts w:ascii="Times New Roman" w:eastAsia="Times New Roman" w:hAnsi="Times New Roman" w:cs="Times New Roman"/>
                <w:sz w:val="28"/>
                <w:szCs w:val="28"/>
              </w:rPr>
              <w:t>, реалізованих виробниками на митній території України та ввезених імпортерами на митну територію України за період з 1 січня до 31 грудня звітного 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w:t>
            </w:r>
          </w:p>
          <w:p w:rsidR="00CA6C41" w:rsidRDefault="00FC4AC1">
            <w:pPr>
              <w:pBdr>
                <w:top w:val="nil"/>
                <w:left w:val="nil"/>
                <w:bottom w:val="nil"/>
                <w:right w:val="nil"/>
                <w:between w:val="nil"/>
              </w:pBdr>
              <w:tabs>
                <w:tab w:val="left" w:pos="5954"/>
              </w:tabs>
              <w:spacing w:after="0" w:line="240" w:lineRule="auto"/>
              <w:ind w:firstLine="31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bl>
    <w:p w:rsidR="00CA6C41" w:rsidRDefault="00CA6C41">
      <w:pPr>
        <w:pBdr>
          <w:top w:val="nil"/>
          <w:left w:val="nil"/>
          <w:bottom w:val="nil"/>
          <w:right w:val="nil"/>
          <w:between w:val="nil"/>
        </w:pBdr>
        <w:spacing w:after="0"/>
        <w:rPr>
          <w:rFonts w:ascii="Times New Roman" w:eastAsia="Times New Roman" w:hAnsi="Times New Roman" w:cs="Times New Roman"/>
          <w:sz w:val="28"/>
          <w:szCs w:val="28"/>
        </w:rPr>
      </w:pPr>
    </w:p>
    <w:tbl>
      <w:tblPr>
        <w:tblStyle w:val="afffffffff0"/>
        <w:tblW w:w="153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11"/>
        <w:gridCol w:w="7799"/>
      </w:tblGrid>
      <w:tr w:rsidR="00CA6C41">
        <w:tc>
          <w:tcPr>
            <w:tcW w:w="751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від 4 жовтня 2019 року № 190-IX «Про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w:t>
            </w:r>
          </w:p>
        </w:tc>
        <w:tc>
          <w:tcPr>
            <w:tcW w:w="7799"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від 4 жовтня 2019 року № 190-IX «Про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w:t>
            </w:r>
          </w:p>
        </w:tc>
      </w:tr>
      <w:tr w:rsidR="00CA6C41">
        <w:tc>
          <w:tcPr>
            <w:tcW w:w="751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Доповнити статтею 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такого змісту:</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35</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Єдиний рахунок</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.1. Єдиний рахунок - це рахунок, відкритий у центральному органі виконавчої влади, що реалізує державну політику у сфері казначейського обслуговування бюджетних коштів, для центрального органу виконавчої влади, що реалізує державну податкову політику, який може використовуватися платником податків для сплати грошових зобов'язань та/або податкового боргу з податків та зборів, передбачених цим Кодексом, єдиного внеску та інших платежів, контроль за справлянням яких покладено на контролюючі органи.</w:t>
            </w: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Єдиний рахунок не може використовуватися платником податків для сплати грошових зобов'язань та/або податкового боргу з податку на додану вартість, акцизного податку з реалізації пального та спирту етилового, а також для сплати частини чистого прибутку (доходу) </w:t>
            </w:r>
            <w:r>
              <w:rPr>
                <w:rFonts w:ascii="Times New Roman" w:eastAsia="Times New Roman" w:hAnsi="Times New Roman" w:cs="Times New Roman"/>
                <w:b/>
                <w:sz w:val="28"/>
                <w:szCs w:val="28"/>
              </w:rPr>
              <w:t>до бюджету</w:t>
            </w:r>
            <w:r>
              <w:rPr>
                <w:rFonts w:ascii="Times New Roman" w:eastAsia="Times New Roman" w:hAnsi="Times New Roman" w:cs="Times New Roman"/>
                <w:sz w:val="28"/>
                <w:szCs w:val="28"/>
              </w:rPr>
              <w:t xml:space="preserve"> державними та комунальними унітарними підприємствами та їх об'єднаннями.</w:t>
            </w: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p>
        </w:tc>
        <w:tc>
          <w:tcPr>
            <w:tcW w:w="7799"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 Доповнити статтею 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такого змісту:</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35</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Єдиний рахунок</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.1. Єдиний рахунок - це рахунок, відкритий у центральному органі виконавчої влади, що реалізує державну політику у сфері казначейського обслуговування бюджетних коштів, для центрального органу виконавчої влади, що реалізує державну податкову політику, який може використовуватися платником податків для сплати грошових зобов’язань та/або податкового боргу з податків та зборів, передбачених цим Кодексом, єдиного внеску та інших платежів, контроль за справлянням яких покладено на контролюючі органи.</w:t>
            </w: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ind w:firstLine="181"/>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tabs>
                <w:tab w:val="left" w:pos="301"/>
              </w:tabs>
              <w:spacing w:before="120" w:after="0" w:line="240" w:lineRule="auto"/>
              <w:ind w:firstLine="181"/>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lastRenderedPageBreak/>
              <w:br/>
              <w:t>Єдиний рахунок не може використовуватися платником податків для сплати</w:t>
            </w:r>
            <w:r>
              <w:rPr>
                <w:rFonts w:ascii="Times New Roman" w:eastAsia="Times New Roman" w:hAnsi="Times New Roman" w:cs="Times New Roman"/>
                <w:b/>
                <w:sz w:val="28"/>
                <w:szCs w:val="28"/>
              </w:rPr>
              <w:t xml:space="preserve"> до бюджету:</w:t>
            </w:r>
          </w:p>
          <w:p w:rsidR="00CA6C41" w:rsidRDefault="00FC4AC1">
            <w:pPr>
              <w:pBdr>
                <w:top w:val="nil"/>
                <w:left w:val="nil"/>
                <w:bottom w:val="nil"/>
                <w:right w:val="nil"/>
                <w:between w:val="nil"/>
              </w:pBdr>
              <w:spacing w:before="40" w:after="0" w:line="240" w:lineRule="auto"/>
              <w:ind w:firstLine="18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грошових зобов'язань та/або податкового боргу з податку на додану вартість, акцизного податку з реалізації пального та спирту етилового;</w:t>
            </w:r>
          </w:p>
          <w:p w:rsidR="00CA6C41" w:rsidRDefault="00FC4AC1">
            <w:pPr>
              <w:pBdr>
                <w:top w:val="nil"/>
                <w:left w:val="nil"/>
                <w:bottom w:val="nil"/>
                <w:right w:val="nil"/>
                <w:between w:val="nil"/>
              </w:pBdr>
              <w:spacing w:after="0" w:line="240" w:lineRule="auto"/>
              <w:ind w:firstLine="18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грошових зобов’язань та/або податкового боргу з частини чистого прибутку (доходу) державними та комунальними унітарними підприємствами та їх об’єднаннями;</w:t>
            </w:r>
          </w:p>
          <w:p w:rsidR="00CA6C41" w:rsidRDefault="00FC4AC1">
            <w:pPr>
              <w:pBdr>
                <w:top w:val="nil"/>
                <w:left w:val="nil"/>
                <w:bottom w:val="nil"/>
                <w:right w:val="nil"/>
                <w:between w:val="nil"/>
              </w:pBdr>
              <w:spacing w:after="0" w:line="240" w:lineRule="auto"/>
              <w:ind w:firstLine="18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грошових зобов’язань та/або податкового боргу з дивідендів на державну/комунальну частку,</w:t>
            </w:r>
          </w:p>
          <w:p w:rsidR="00CA6C41" w:rsidRDefault="00CA6C41">
            <w:pPr>
              <w:pBdr>
                <w:top w:val="nil"/>
                <w:left w:val="nil"/>
                <w:bottom w:val="nil"/>
                <w:right w:val="nil"/>
                <w:between w:val="nil"/>
              </w:pBdr>
              <w:tabs>
                <w:tab w:val="left" w:pos="301"/>
              </w:tabs>
              <w:spacing w:after="0" w:line="240" w:lineRule="auto"/>
              <w:ind w:firstLine="181"/>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b/>
                <w:sz w:val="28"/>
                <w:szCs w:val="28"/>
              </w:rPr>
            </w:pPr>
          </w:p>
        </w:tc>
      </w:tr>
      <w:tr w:rsidR="00CA6C41">
        <w:tc>
          <w:tcPr>
            <w:tcW w:w="751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.3. З початком використання єдиного рахунку платник податків зобов'язаний здійснювати сплату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через єдиний рахунок, крім випадків, передбачених </w:t>
            </w:r>
            <w:r>
              <w:rPr>
                <w:rFonts w:ascii="Times New Roman" w:eastAsia="Times New Roman" w:hAnsi="Times New Roman" w:cs="Times New Roman"/>
                <w:b/>
                <w:sz w:val="28"/>
                <w:szCs w:val="28"/>
              </w:rPr>
              <w:t xml:space="preserve">абзацом другим </w:t>
            </w:r>
            <w:r>
              <w:rPr>
                <w:rFonts w:ascii="Times New Roman" w:eastAsia="Times New Roman" w:hAnsi="Times New Roman" w:cs="Times New Roman"/>
                <w:sz w:val="28"/>
                <w:szCs w:val="28"/>
              </w:rPr>
              <w:t>пункту 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.1 цієї статті.</w:t>
            </w:r>
          </w:p>
          <w:p w:rsidR="00CA6C41" w:rsidRDefault="00FC4AC1">
            <w:pPr>
              <w:pBdr>
                <w:top w:val="nil"/>
                <w:left w:val="nil"/>
                <w:bottom w:val="nil"/>
                <w:right w:val="nil"/>
                <w:between w:val="nil"/>
              </w:pBdr>
              <w:spacing w:before="60"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порушення положень, визначених абзацом першим цього пункту, кошти, сплачені таким платником податку на інші рахунки, відкриті центральним органом виконавчої влади, що реалізує державну політику у сфері казначейського обслуговування бюджетних коштів, для сплати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вважаються помилково сплаченими грошовими зобов'язаннями.</w:t>
            </w:r>
          </w:p>
        </w:tc>
        <w:tc>
          <w:tcPr>
            <w:tcW w:w="7799"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before="60"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.3. З початком використання єдиного рахунку платник податків зобов'язаний здійснювати сплату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через єдиний рахунок, крім випадків, передбачених </w:t>
            </w:r>
            <w:r>
              <w:rPr>
                <w:rFonts w:ascii="Times New Roman" w:eastAsia="Times New Roman" w:hAnsi="Times New Roman" w:cs="Times New Roman"/>
                <w:b/>
                <w:sz w:val="28"/>
                <w:szCs w:val="28"/>
              </w:rPr>
              <w:t>абзацами</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другим  - п'ятим </w:t>
            </w:r>
            <w:r>
              <w:rPr>
                <w:rFonts w:ascii="Times New Roman" w:eastAsia="Times New Roman" w:hAnsi="Times New Roman" w:cs="Times New Roman"/>
                <w:sz w:val="28"/>
                <w:szCs w:val="28"/>
              </w:rPr>
              <w:t xml:space="preserve"> пункту 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.1 цієї статті.</w:t>
            </w:r>
          </w:p>
          <w:p w:rsidR="00CA6C41" w:rsidRDefault="00FC4AC1">
            <w:pPr>
              <w:pBdr>
                <w:top w:val="nil"/>
                <w:left w:val="nil"/>
                <w:bottom w:val="nil"/>
                <w:right w:val="nil"/>
                <w:between w:val="nil"/>
              </w:pBdr>
              <w:spacing w:before="60"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порушення положень, визначених абзацом першим цього пункту, кошти, сплачені таким платником податку на інші рахунки, відкриті центральним органом виконавчої влади, що реалізує державну політику у сфері казначейського обслуговування бюджетних коштів, для сплати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вважаються помилково сплаченими грошовими зобов'язаннями.</w:t>
            </w:r>
          </w:p>
          <w:p w:rsidR="00CA6C41" w:rsidRDefault="00CA6C41">
            <w:pPr>
              <w:pBdr>
                <w:top w:val="nil"/>
                <w:left w:val="nil"/>
                <w:bottom w:val="nil"/>
                <w:right w:val="nil"/>
                <w:between w:val="nil"/>
              </w:pBdr>
              <w:spacing w:before="60" w:after="0" w:line="240" w:lineRule="auto"/>
              <w:jc w:val="both"/>
              <w:rPr>
                <w:rFonts w:ascii="Times New Roman" w:eastAsia="Times New Roman" w:hAnsi="Times New Roman" w:cs="Times New Roman"/>
                <w:sz w:val="28"/>
                <w:szCs w:val="28"/>
              </w:rPr>
            </w:pPr>
          </w:p>
        </w:tc>
      </w:tr>
      <w:tr w:rsidR="00CA6C41">
        <w:tc>
          <w:tcPr>
            <w:tcW w:w="751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35-1.6. Реєстр платежів з єдиного рахунку в розрізі окремого платника податків формується щоденно, крім вихідних, святкових та неробочих днів, центральним органом виконавчої влади, що реалізує державну податкову політику, у межах коштів, сплачених на єдиний рахунок таким платником податків, та з урахуванням наявних у такого платника сум помилково та/або надміру сплачених грошових зобов’язань відповідно до пункту 35-1.8 цього Кодексу з дотриманням такої черговості сплати:</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першу чергу - недоїмка з єдиного внеску;</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другу чергу - податковий борг у межах відповідного податку або збору, заборгованості з інших платежів, контроль за справлянням яких покладено на контролюючі органи, згідно з черговістю його виникнення, з урахуванням положень пункту 131.2 статті 131 цього Кодексу;</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третю чергу - грошові зобов’язання, визначені на підставі податкових повідомлень-рішень,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дату та номер відповідного податкового повідомлення-рішення;</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четверту чергу - визначені платником податку (податковим агентом) грошові зобов’язання із загальнодержавних податків та зборів, місцевих податків, єдиного внеску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призначення відповідного платежу та його одержувача;</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п’яту чергу - грошові зобов’язання із загальнодержавних податків та зборів у хронологічному порядку надходження </w:t>
            </w:r>
            <w:r>
              <w:rPr>
                <w:rFonts w:ascii="Times New Roman" w:eastAsia="Times New Roman" w:hAnsi="Times New Roman" w:cs="Times New Roman"/>
                <w:sz w:val="28"/>
                <w:szCs w:val="28"/>
              </w:rPr>
              <w:lastRenderedPageBreak/>
              <w:t>податкових декларацій (розрахунків) у сумі податкових зобов’язань відповідного податкового періоду, з урахуванням строків сплати;</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шосту чергу - грошові зобов’язання з місцевих податків у хронологічному порядку надходження податкових декларацій (розрахунків) у сумі податкових зобов’язань відповідного податкового періоду, з урахуванням строків сплати;</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сьому чергу - інші платежі, контроль за справлянням яких покладено на контролюючі органи,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призначення відповідного платежу та його одержувача.</w:t>
            </w:r>
          </w:p>
          <w:p w:rsidR="00CA6C41" w:rsidRDefault="00CA6C4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p>
        </w:tc>
        <w:tc>
          <w:tcPr>
            <w:tcW w:w="7799"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.6. Реєстр платежів з єдиного рахунку в розрізі окремого платника податків формується щоденно, крім вихідних, святкових та неробочих днів, центральним органом виконавчої влади, що реалізує державну податкову політику, у межах коштів, сплачених на єдиний рахунок таким платником податків, та з урахуванням наявних у такого платника сум помилково та/або надміру сплачених грошових зобов’язань відповідно до пункту 35</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sz w:val="28"/>
                <w:szCs w:val="28"/>
              </w:rPr>
              <w:t>.8 цього Кодексу з дотриманням такої черговості сплати:</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першу чергу - недоїмка з єдиного внеску, </w:t>
            </w:r>
            <w:r>
              <w:rPr>
                <w:rFonts w:ascii="Times New Roman" w:eastAsia="Times New Roman" w:hAnsi="Times New Roman" w:cs="Times New Roman"/>
                <w:b/>
                <w:sz w:val="28"/>
                <w:szCs w:val="28"/>
              </w:rPr>
              <w:t>штрафні санкції і пеня, застосовані відповідно до Закону України «Про збір та облік єдиного внеску на загальнообов’язкове державне соціальне страхування»</w:t>
            </w: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другу чергу - податковий борг у межах відповідного податку або збору, заборгованості з інших платежів, контроль за справлянням яких покладено на контролюючі органи, згідно з черговістю його виникнення, з урахуванням положень пункту 131.2 статті 131 цього Кодексу;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третю чергу - грошові зобов’язання, визначені на підставі податкових повідомлень-рішень,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дату та номер відповідного податкового повідомлення-рішення;</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четверту чергу - визначені платником податку (податковим агентом) грошові зобов’язання із загальнодержавних податків та зборів, місцевих податків, єдиного внеску у хронологічному порядку надходження розрахункових документів на зарахування коштів на єдиний </w:t>
            </w:r>
            <w:r>
              <w:rPr>
                <w:rFonts w:ascii="Times New Roman" w:eastAsia="Times New Roman" w:hAnsi="Times New Roman" w:cs="Times New Roman"/>
                <w:sz w:val="28"/>
                <w:szCs w:val="28"/>
              </w:rPr>
              <w:lastRenderedPageBreak/>
              <w:t>рахунок, якщо такі розрахункові документи містять інформацію про призначення відповідного платежу та його одержувача;</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п’яту чергу - грошові зобов’язання із загальнодержавних податків та зборів у хронологічному порядку надходження податкових декларацій (розрахунків) у сумі податкових зобов’язань відповідного податкового періоду, з урахуванням строків сплати;</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шосту чергу - грошові зобов’язання з місцевих податків у хронологічному порядку надходження податкових декларацій (розрахунків) у сумі податкових зобов’язань відповідного податкового періоду, з урахуванням строків сплати;</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сьому чергу - інші платежі, контроль за справлянням яких покладено на контролюючі органи, у хронологічному порядку надходження розрахункових документів на зарахування коштів на єдиний рахунок, якщо такі розрахункові документи містять інформацію про призначення відповідного платежу та його одержувача.</w:t>
            </w:r>
          </w:p>
          <w:p w:rsidR="00CA6C41" w:rsidRDefault="00CA6C41">
            <w:pPr>
              <w:pBdr>
                <w:top w:val="nil"/>
                <w:left w:val="nil"/>
                <w:bottom w:val="nil"/>
                <w:right w:val="nil"/>
                <w:between w:val="nil"/>
              </w:pBdr>
              <w:spacing w:after="0" w:line="240" w:lineRule="auto"/>
              <w:ind w:firstLine="170"/>
              <w:jc w:val="both"/>
              <w:rPr>
                <w:rFonts w:ascii="Times New Roman" w:eastAsia="Times New Roman" w:hAnsi="Times New Roman" w:cs="Times New Roman"/>
                <w:sz w:val="28"/>
                <w:szCs w:val="28"/>
              </w:rPr>
            </w:pPr>
          </w:p>
        </w:tc>
      </w:tr>
      <w:tr w:rsidR="00CA6C41">
        <w:tc>
          <w:tcPr>
            <w:tcW w:w="751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11. У підрозділі 10 розділу XX "Прикінцеві положення":</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24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"62. Установити, що для цілей застосування </w:t>
            </w:r>
            <w:r>
              <w:rPr>
                <w:rFonts w:ascii="Times New Roman" w:eastAsia="Times New Roman" w:hAnsi="Times New Roman" w:cs="Times New Roman"/>
                <w:b/>
                <w:sz w:val="28"/>
                <w:szCs w:val="28"/>
              </w:rPr>
              <w:t>підпункту</w:t>
            </w:r>
            <w:r>
              <w:rPr>
                <w:rFonts w:ascii="Times New Roman" w:eastAsia="Times New Roman" w:hAnsi="Times New Roman" w:cs="Times New Roman"/>
                <w:sz w:val="28"/>
                <w:szCs w:val="28"/>
              </w:rPr>
              <w:t xml:space="preserve"> 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.8 статті 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цього Кодексу враховуються суми помилково та/або надміру сплачених платником податків грошових зобов'язань і пені, що виникли, за даними контролюючого органу, починаючи з 1 січня 2021 року".</w:t>
            </w:r>
          </w:p>
        </w:tc>
        <w:tc>
          <w:tcPr>
            <w:tcW w:w="7799"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1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У підрозділі 10 розділу XX "Прикінцеві положення":</w:t>
            </w:r>
          </w:p>
          <w:p w:rsidR="00CA6C41" w:rsidRDefault="00FC4AC1">
            <w:pPr>
              <w:pBdr>
                <w:top w:val="nil"/>
                <w:left w:val="nil"/>
                <w:bottom w:val="nil"/>
                <w:right w:val="nil"/>
                <w:between w:val="nil"/>
              </w:pBdr>
              <w:spacing w:after="0" w:line="240" w:lineRule="auto"/>
              <w:ind w:firstLine="1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1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"62. Установити, що для цілей застосування </w:t>
            </w:r>
            <w:r>
              <w:rPr>
                <w:rFonts w:ascii="Times New Roman" w:eastAsia="Times New Roman" w:hAnsi="Times New Roman" w:cs="Times New Roman"/>
                <w:b/>
                <w:sz w:val="28"/>
                <w:szCs w:val="28"/>
              </w:rPr>
              <w:t xml:space="preserve">пункту </w:t>
            </w:r>
            <w:r>
              <w:rPr>
                <w:rFonts w:ascii="Times New Roman" w:eastAsia="Times New Roman" w:hAnsi="Times New Roman" w:cs="Times New Roman"/>
                <w:sz w:val="28"/>
                <w:szCs w:val="28"/>
              </w:rPr>
              <w:t>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.8 статті 35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цього Кодексу враховуються суми помилково та/або надміру сплачених платником податків грошових зобов'язань і пені, що виникли, за даними контролюючого органу, починаючи з 1 січня 2021 року".</w:t>
            </w:r>
          </w:p>
        </w:tc>
      </w:tr>
    </w:tbl>
    <w:p w:rsidR="00CA6C41" w:rsidRDefault="00CA6C41">
      <w:pPr>
        <w:pBdr>
          <w:top w:val="nil"/>
          <w:left w:val="nil"/>
          <w:bottom w:val="nil"/>
          <w:right w:val="nil"/>
          <w:between w:val="nil"/>
        </w:pBdr>
        <w:tabs>
          <w:tab w:val="left" w:pos="3030"/>
        </w:tabs>
        <w:spacing w:after="0" w:line="240" w:lineRule="auto"/>
        <w:ind w:right="-456"/>
        <w:rPr>
          <w:rFonts w:ascii="Times New Roman" w:eastAsia="Times New Roman" w:hAnsi="Times New Roman" w:cs="Times New Roman"/>
          <w:sz w:val="28"/>
          <w:szCs w:val="28"/>
        </w:rPr>
      </w:pPr>
    </w:p>
    <w:p w:rsidR="00CA6C41" w:rsidRDefault="00CA6C41">
      <w:pPr>
        <w:pBdr>
          <w:top w:val="nil"/>
          <w:left w:val="nil"/>
          <w:bottom w:val="nil"/>
          <w:right w:val="nil"/>
          <w:between w:val="nil"/>
        </w:pBdr>
        <w:tabs>
          <w:tab w:val="left" w:pos="3030"/>
        </w:tabs>
        <w:spacing w:after="0" w:line="240" w:lineRule="auto"/>
        <w:ind w:right="-456"/>
        <w:rPr>
          <w:rFonts w:ascii="Times New Roman" w:eastAsia="Times New Roman" w:hAnsi="Times New Roman" w:cs="Times New Roman"/>
          <w:sz w:val="28"/>
          <w:szCs w:val="28"/>
        </w:rPr>
      </w:pPr>
    </w:p>
    <w:tbl>
      <w:tblPr>
        <w:tblStyle w:val="afffffffff1"/>
        <w:tblW w:w="153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91"/>
        <w:gridCol w:w="8019"/>
      </w:tblGrid>
      <w:tr w:rsidR="00CA6C41">
        <w:tc>
          <w:tcPr>
            <w:tcW w:w="729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14.07.20 № 786 “Про внесення змін до Податкового кодексу України щодо функціонування електронного кабінету та спрощення роботи фізичних осіб - підприємців” </w:t>
            </w:r>
          </w:p>
          <w:p w:rsidR="00CA6C41" w:rsidRDefault="00CA6C4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p>
        </w:tc>
        <w:tc>
          <w:tcPr>
            <w:tcW w:w="8019"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Закон України 14.07.20 № 786 “Про внесення змін до Податкового кодексу України щодо функціонування електронного кабінету та спрощення роботи фізичних осіб - підприємців” </w:t>
            </w:r>
          </w:p>
          <w:p w:rsidR="00CA6C41" w:rsidRDefault="00CA6C41">
            <w:pPr>
              <w:pBdr>
                <w:top w:val="nil"/>
                <w:left w:val="nil"/>
                <w:bottom w:val="nil"/>
                <w:right w:val="nil"/>
                <w:between w:val="nil"/>
              </w:pBdr>
              <w:spacing w:after="0" w:line="240" w:lineRule="auto"/>
              <w:ind w:firstLine="452"/>
              <w:jc w:val="both"/>
              <w:rPr>
                <w:rFonts w:ascii="Times New Roman" w:eastAsia="Times New Roman" w:hAnsi="Times New Roman" w:cs="Times New Roman"/>
                <w:b/>
                <w:sz w:val="28"/>
                <w:szCs w:val="28"/>
              </w:rPr>
            </w:pPr>
          </w:p>
        </w:tc>
      </w:tr>
      <w:tr w:rsidR="00CA6C41">
        <w:tc>
          <w:tcPr>
            <w:tcW w:w="7291"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Внести до </w:t>
            </w:r>
            <w:hyperlink r:id="rId152">
              <w:r>
                <w:rPr>
                  <w:rFonts w:ascii="Times New Roman" w:eastAsia="Times New Roman" w:hAnsi="Times New Roman" w:cs="Times New Roman"/>
                  <w:sz w:val="28"/>
                  <w:szCs w:val="28"/>
                  <w:u w:val="single"/>
                </w:rPr>
                <w:t>Податкового кодексу України</w:t>
              </w:r>
            </w:hyperlink>
            <w:r>
              <w:rPr>
                <w:rFonts w:ascii="Times New Roman" w:eastAsia="Times New Roman" w:hAnsi="Times New Roman" w:cs="Times New Roman"/>
                <w:sz w:val="28"/>
                <w:szCs w:val="28"/>
              </w:rPr>
              <w:t xml:space="preserve"> (Відомості Верховної Ради України, 2011 р., №№ 13-17, ст. 112) такі зміни:</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 </w:t>
            </w:r>
            <w:hyperlink r:id="rId153" w:anchor="n7159">
              <w:r>
                <w:rPr>
                  <w:rFonts w:ascii="Times New Roman" w:eastAsia="Times New Roman" w:hAnsi="Times New Roman" w:cs="Times New Roman"/>
                  <w:sz w:val="28"/>
                  <w:szCs w:val="28"/>
                  <w:u w:val="single"/>
                </w:rPr>
                <w:t>Пункт 296.1</w:t>
              </w:r>
            </w:hyperlink>
            <w:r>
              <w:rPr>
                <w:rFonts w:ascii="Times New Roman" w:eastAsia="Times New Roman" w:hAnsi="Times New Roman" w:cs="Times New Roman"/>
                <w:sz w:val="28"/>
                <w:szCs w:val="28"/>
              </w:rPr>
              <w:t xml:space="preserve"> статті 296 викласти в такій редакції:</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"296.1.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у довільній формі шляхом помісячного відображення отриманих доходів.</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Фізичні особи - підприємці - платники єдиного податку третьої групи, які є платниками податку на додану вартість, ведуть облік у довільній формі шляхом помісячного відображення доходів та витрат.</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Облік доходів та витрат може вестися в паперовому та/або електронному вигляді.</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w:t>
            </w:r>
          </w:p>
          <w:p w:rsidR="00CA6C41" w:rsidRDefault="00CA6C41">
            <w:pPr>
              <w:pBdr>
                <w:top w:val="nil"/>
                <w:left w:val="nil"/>
                <w:bottom w:val="nil"/>
                <w:right w:val="nil"/>
                <w:between w:val="nil"/>
              </w:pBdr>
              <w:spacing w:after="0" w:line="240" w:lineRule="auto"/>
              <w:ind w:firstLine="452"/>
              <w:jc w:val="both"/>
              <w:rPr>
                <w:rFonts w:ascii="Times New Roman" w:eastAsia="Times New Roman" w:hAnsi="Times New Roman" w:cs="Times New Roman"/>
                <w:sz w:val="28"/>
                <w:szCs w:val="28"/>
              </w:rPr>
            </w:pPr>
          </w:p>
        </w:tc>
        <w:tc>
          <w:tcPr>
            <w:tcW w:w="8019"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Внести до </w:t>
            </w:r>
            <w:hyperlink r:id="rId154">
              <w:r>
                <w:rPr>
                  <w:rFonts w:ascii="Times New Roman" w:eastAsia="Times New Roman" w:hAnsi="Times New Roman" w:cs="Times New Roman"/>
                  <w:sz w:val="28"/>
                  <w:szCs w:val="28"/>
                  <w:u w:val="single"/>
                </w:rPr>
                <w:t>Податкового кодексу України</w:t>
              </w:r>
            </w:hyperlink>
            <w:r>
              <w:rPr>
                <w:rFonts w:ascii="Times New Roman" w:eastAsia="Times New Roman" w:hAnsi="Times New Roman" w:cs="Times New Roman"/>
                <w:sz w:val="28"/>
                <w:szCs w:val="28"/>
              </w:rPr>
              <w:t xml:space="preserve"> (Відомості Верховної Ради України, 2011 р., №№ 13-17, ст. 112) такі зміни:</w:t>
            </w:r>
          </w:p>
          <w:p w:rsidR="00CA6C41" w:rsidRDefault="00FC4AC1">
            <w:pPr>
              <w:pBdr>
                <w:top w:val="nil"/>
                <w:left w:val="nil"/>
                <w:bottom w:val="nil"/>
                <w:right w:val="nil"/>
                <w:between w:val="nil"/>
              </w:pBdr>
              <w:spacing w:after="0" w:line="240" w:lineRule="auto"/>
              <w:ind w:firstLine="45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 </w:t>
            </w:r>
            <w:hyperlink r:id="rId155" w:anchor="n7159">
              <w:r>
                <w:rPr>
                  <w:rFonts w:ascii="Times New Roman" w:eastAsia="Times New Roman" w:hAnsi="Times New Roman" w:cs="Times New Roman"/>
                  <w:sz w:val="28"/>
                  <w:szCs w:val="28"/>
                  <w:u w:val="single"/>
                </w:rPr>
                <w:t>Пункт 296.1</w:t>
              </w:r>
            </w:hyperlink>
            <w:r>
              <w:rPr>
                <w:rFonts w:ascii="Times New Roman" w:eastAsia="Times New Roman" w:hAnsi="Times New Roman" w:cs="Times New Roman"/>
                <w:sz w:val="28"/>
                <w:szCs w:val="28"/>
              </w:rPr>
              <w:t xml:space="preserve"> статті 296 викласти в такій редакції:</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"296.1.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у довільній формі шляхом помісячного відображення отриманих доходів.</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Фізичні особи - підприємці - платники єдиного податку третьої групи, які є платниками податку на додану вартість, ведуть облік </w:t>
            </w:r>
            <w:r>
              <w:rPr>
                <w:rFonts w:ascii="Times New Roman" w:eastAsia="Times New Roman" w:hAnsi="Times New Roman" w:cs="Times New Roman"/>
                <w:b/>
                <w:sz w:val="28"/>
                <w:szCs w:val="28"/>
              </w:rPr>
              <w:t>доходів і витрат за типовою формою та в порядку, що визначається центральним органом виконавчої влади, що забезпечує формування та реалізує державну фінансову політику.</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Облік доходів та витрат може вестися в паперовому та/або електронному вигляді,</w:t>
            </w:r>
            <w:r>
              <w:rPr>
                <w:rFonts w:ascii="Times New Roman" w:eastAsia="Times New Roman" w:hAnsi="Times New Roman" w:cs="Times New Roman"/>
                <w:b/>
                <w:sz w:val="28"/>
                <w:szCs w:val="28"/>
              </w:rPr>
              <w:t xml:space="preserve"> у тому числі через електронний кабінет.</w:t>
            </w:r>
          </w:p>
          <w:p w:rsidR="00CA6C41" w:rsidRDefault="00FC4AC1">
            <w:pPr>
              <w:pBdr>
                <w:top w:val="nil"/>
                <w:left w:val="nil"/>
                <w:bottom w:val="nil"/>
                <w:right w:val="nil"/>
                <w:between w:val="nil"/>
              </w:pBdr>
              <w:spacing w:line="240" w:lineRule="auto"/>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w:t>
            </w:r>
          </w:p>
        </w:tc>
      </w:tr>
    </w:tbl>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sz w:val="28"/>
          <w:szCs w:val="28"/>
        </w:rPr>
      </w:pPr>
    </w:p>
    <w:tbl>
      <w:tblPr>
        <w:tblStyle w:val="afffffffff2"/>
        <w:tblW w:w="153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32"/>
        <w:gridCol w:w="8078"/>
      </w:tblGrid>
      <w:tr w:rsidR="00CA6C41">
        <w:tc>
          <w:tcPr>
            <w:tcW w:w="723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ind w:firstLine="44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Закон України від 13 травня 2020 року № 592-IX «Про внесення змін до Закону України "Про збір та облік єдиного внеску на загальнообов’язкове державне соціальне страхування" щодо усунення дискримінації за колом платників»</w:t>
            </w:r>
          </w:p>
        </w:tc>
        <w:tc>
          <w:tcPr>
            <w:tcW w:w="807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ind w:firstLine="44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від 13 травня 2020 року № 592-IX «Про внесення змін до Закону України "Про збір та облік єдиного внеску на загальнообов’язкове державне соціальне страхування" щодо усунення дискримінації за колом платників»</w:t>
            </w:r>
          </w:p>
        </w:tc>
      </w:tr>
      <w:tr w:rsidR="00CA6C41">
        <w:tc>
          <w:tcPr>
            <w:tcW w:w="723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ind w:firstLine="44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 Внести до </w:t>
            </w:r>
            <w:hyperlink r:id="rId156">
              <w:r>
                <w:rPr>
                  <w:rFonts w:ascii="Times New Roman" w:eastAsia="Times New Roman" w:hAnsi="Times New Roman" w:cs="Times New Roman"/>
                  <w:sz w:val="28"/>
                  <w:szCs w:val="28"/>
                </w:rPr>
                <w:t>Закону України</w:t>
              </w:r>
            </w:hyperlink>
            <w:r>
              <w:rPr>
                <w:rFonts w:ascii="Times New Roman" w:eastAsia="Times New Roman" w:hAnsi="Times New Roman" w:cs="Times New Roman"/>
                <w:sz w:val="28"/>
                <w:szCs w:val="28"/>
              </w:rPr>
              <w:t>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 такі зміни:</w:t>
            </w:r>
            <w:bookmarkStart w:id="31" w:name="bookmark=id.3gnlt4p" w:colFirst="0" w:colLast="0"/>
            <w:bookmarkEnd w:id="31"/>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w:t>
            </w:r>
            <w:hyperlink r:id="rId157" w:anchor="n57">
              <w:r>
                <w:rPr>
                  <w:rFonts w:ascii="Times New Roman" w:eastAsia="Times New Roman" w:hAnsi="Times New Roman" w:cs="Times New Roman"/>
                  <w:sz w:val="28"/>
                  <w:szCs w:val="28"/>
                </w:rPr>
                <w:t>статті 4</w:t>
              </w:r>
            </w:hyperlink>
            <w:r>
              <w:rPr>
                <w:rFonts w:ascii="Times New Roman" w:eastAsia="Times New Roman" w:hAnsi="Times New Roman" w:cs="Times New Roman"/>
                <w:sz w:val="28"/>
                <w:szCs w:val="28"/>
              </w:rPr>
              <w:t>:</w:t>
            </w:r>
            <w:bookmarkStart w:id="32" w:name="bookmark=id.1vsw3ci" w:colFirst="0" w:colLast="0"/>
            <w:bookmarkEnd w:id="32"/>
          </w:p>
          <w:p w:rsidR="00CA6C41" w:rsidRDefault="00FC4AC1">
            <w:pPr>
              <w:pBdr>
                <w:top w:val="nil"/>
                <w:left w:val="nil"/>
                <w:bottom w:val="nil"/>
                <w:right w:val="nil"/>
                <w:between w:val="nil"/>
              </w:pBdr>
              <w:spacing w:after="0" w:line="240" w:lineRule="auto"/>
              <w:ind w:firstLine="44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четвертій цифру "4" замінити цифрами "4, 5", а після слів "отримують пенсію за віком" доповнити словами "або за вислугу років";</w:t>
            </w:r>
            <w:bookmarkStart w:id="33" w:name="bookmark=id.4fsjm0b" w:colFirst="0" w:colLast="0"/>
            <w:bookmarkEnd w:id="33"/>
          </w:p>
          <w:p w:rsidR="00CA6C41" w:rsidRDefault="00FC4AC1">
            <w:pPr>
              <w:pBdr>
                <w:top w:val="nil"/>
                <w:left w:val="nil"/>
                <w:bottom w:val="nil"/>
                <w:right w:val="nil"/>
                <w:between w:val="nil"/>
              </w:pBdr>
              <w:spacing w:after="0" w:line="240" w:lineRule="auto"/>
              <w:ind w:firstLine="44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частинами п’ятою та шостою такого змісту:</w:t>
            </w:r>
            <w:bookmarkStart w:id="34" w:name="bookmark=id.2uxtw84" w:colFirst="0" w:colLast="0"/>
            <w:bookmarkEnd w:id="34"/>
          </w:p>
          <w:p w:rsidR="00CA6C41" w:rsidRDefault="00FC4AC1">
            <w:pPr>
              <w:pBdr>
                <w:top w:val="nil"/>
                <w:left w:val="nil"/>
                <w:bottom w:val="nil"/>
                <w:right w:val="nil"/>
                <w:between w:val="nil"/>
              </w:pBdr>
              <w:spacing w:after="0" w:line="240" w:lineRule="auto"/>
              <w:ind w:firstLine="44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Особи, зазначені у пункті 5 частини першої цієї статті, звільняються від сплати за себе єдиного внеску за умови взяття їх на облік фізичних осіб - підприємців та провадження ними одного виду діяльності одночасно як осіб, зазначених у пунктах 4 і 5 частини першої цієї статті.</w:t>
            </w:r>
          </w:p>
          <w:p w:rsidR="00CA6C41" w:rsidRDefault="00FC4AC1">
            <w:pPr>
              <w:pBdr>
                <w:top w:val="nil"/>
                <w:left w:val="nil"/>
                <w:bottom w:val="nil"/>
                <w:right w:val="nil"/>
                <w:between w:val="nil"/>
              </w:pBdr>
              <w:spacing w:after="0" w:line="240" w:lineRule="auto"/>
              <w:ind w:firstLine="44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Особи, зазначені у пунктах 4 і 5 частини першої цієї статті, які мають основне місце роботи, звільняються від сплати за себе єдиного внеску за місяці звітного періоду, за які роботодавцем було сплачено страховий внесок за таких осіб у розмірі не менше мінімального страхового внеску. Такі особи можуть бути платниками єдиного внеску за умови самостійного визначення за місяці звітного періоду, за які роботодавцем було сплачено страховий внесок за таких осіб у розмірі менше мінімального страхового внеску, бази нарахування, але не більше максимальної величини бази нарахування єдиного внеску, встановленої цим Законом. При цьому сума </w:t>
            </w:r>
            <w:r>
              <w:rPr>
                <w:rFonts w:ascii="Times New Roman" w:eastAsia="Times New Roman" w:hAnsi="Times New Roman" w:cs="Times New Roman"/>
                <w:sz w:val="28"/>
                <w:szCs w:val="28"/>
              </w:rPr>
              <w:lastRenderedPageBreak/>
              <w:t>єдиного внеску не може бути меншою за розмір мінімального страхового внеску".</w:t>
            </w:r>
          </w:p>
          <w:p w:rsidR="00CA6C41" w:rsidRDefault="00FC4AC1">
            <w:pPr>
              <w:pBdr>
                <w:top w:val="nil"/>
                <w:left w:val="nil"/>
                <w:bottom w:val="nil"/>
                <w:right w:val="nil"/>
                <w:between w:val="nil"/>
              </w:pBdr>
              <w:spacing w:before="120" w:after="0" w:line="240"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ind w:firstLine="450"/>
              <w:jc w:val="both"/>
              <w:rPr>
                <w:rFonts w:ascii="Times New Roman" w:eastAsia="Times New Roman" w:hAnsi="Times New Roman" w:cs="Times New Roman"/>
                <w:b/>
                <w:sz w:val="28"/>
                <w:szCs w:val="28"/>
              </w:rPr>
            </w:pPr>
          </w:p>
        </w:tc>
        <w:tc>
          <w:tcPr>
            <w:tcW w:w="807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0" w:line="240" w:lineRule="auto"/>
              <w:ind w:firstLine="44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I. Внести до </w:t>
            </w:r>
            <w:hyperlink r:id="rId158">
              <w:r>
                <w:rPr>
                  <w:rFonts w:ascii="Times New Roman" w:eastAsia="Times New Roman" w:hAnsi="Times New Roman" w:cs="Times New Roman"/>
                  <w:sz w:val="28"/>
                  <w:szCs w:val="28"/>
                </w:rPr>
                <w:t>Закону України</w:t>
              </w:r>
            </w:hyperlink>
            <w:r>
              <w:rPr>
                <w:rFonts w:ascii="Times New Roman" w:eastAsia="Times New Roman" w:hAnsi="Times New Roman" w:cs="Times New Roman"/>
                <w:sz w:val="28"/>
                <w:szCs w:val="28"/>
              </w:rPr>
              <w:t>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 такі зміни:</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w:t>
            </w:r>
            <w:hyperlink r:id="rId159" w:anchor="n57">
              <w:r>
                <w:rPr>
                  <w:rFonts w:ascii="Times New Roman" w:eastAsia="Times New Roman" w:hAnsi="Times New Roman" w:cs="Times New Roman"/>
                  <w:sz w:val="28"/>
                  <w:szCs w:val="28"/>
                </w:rPr>
                <w:t>статті 4</w:t>
              </w:r>
            </w:hyperlink>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firstLine="44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четвертій цифру "4" замінити цифрами "4, 5", а після слів "отримують пенсію за віком" доповнити словами "або за вислугу років";</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частинами п’ятою та шостою такого змісту:</w:t>
            </w:r>
          </w:p>
          <w:p w:rsidR="00CA6C41" w:rsidRDefault="00FC4AC1">
            <w:pPr>
              <w:pBdr>
                <w:top w:val="nil"/>
                <w:left w:val="nil"/>
                <w:bottom w:val="nil"/>
                <w:right w:val="nil"/>
                <w:between w:val="nil"/>
              </w:pBdr>
              <w:spacing w:after="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Особи, зазначені у пункті 5 частини першої цієї статті, звільняються від сплати за себе єдиного внеску за умови взяття їх на облік фізичних осіб - підприємців та провадження ними одного виду діяльності одночасно як осіб, зазначених у пунктах 4 і 5 частини першої цієї статті.</w:t>
            </w:r>
          </w:p>
          <w:p w:rsidR="00CA6C41" w:rsidRDefault="00FC4AC1">
            <w:pPr>
              <w:pBdr>
                <w:top w:val="nil"/>
                <w:left w:val="nil"/>
                <w:bottom w:val="nil"/>
                <w:right w:val="nil"/>
                <w:between w:val="nil"/>
              </w:pBdr>
              <w:spacing w:after="0" w:line="240" w:lineRule="auto"/>
              <w:ind w:firstLine="44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Особи, зазначені у пунктах 4 і 5 частини першої цієї статті, які мають основне місце роботи, звільняються від сплати за себе єдиного внеску за місяці звітного періоду, за які роботодавцем було сплачено страховий внесок за таких осіб у розмірі не менше мінімального страхового внеску. Такі особи можуть бути платниками єдиного внеску за умови самостійного визначення за місяці звітного періоду, за які роботодавцем було сплачено страховий внесок за таких осіб у розмірі менше мінімального страхового внеску, бази нарахування, але не більше максимальної величини бази нарахування єдиного внеску, встановленої цим Законом. При цьому сума єдиного внеску не може бути меншою за розмір мінімального страхового внеску.</w:t>
            </w:r>
          </w:p>
          <w:p w:rsidR="00CA6C41" w:rsidRDefault="00FC4AC1">
            <w:pPr>
              <w:pBdr>
                <w:top w:val="nil"/>
                <w:left w:val="nil"/>
                <w:bottom w:val="nil"/>
                <w:right w:val="nil"/>
                <w:between w:val="nil"/>
              </w:pBdr>
              <w:spacing w:before="120" w:after="0" w:line="240"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У разі якщо особами, зазначеними у пунктах 4 і 5 частини першої цієї статті (крім фізичних осіб – підприємців, які обрали спрощену систему оподаткування), в окремому місяці звітного періоду отримано дохід (прибуток) від провадження підприємницької або незалежної професійної діяльності, який перевищує дохід у вигляді заробітної плати за основним місцем роботи, розмір якої не перевищує максимальну базу нарахування єдиного внеску, такі особи повинні самостійно визначити базу нарахування єдиного внеску з сум такого  перевищення та в межах максимальної бази нарахування єдиного внеску, яка застосовується для загальної суми доходів, отриманих у вигляді заробітної плати за основним місцем роботи, доходів (прибутку) від провадження підприємницької або незалежної професійної діяльності, здійснити доплату єдиного внеску із суми такого перевищення у строки, визначені статтею 9 цього Закону. </w:t>
            </w:r>
          </w:p>
          <w:p w:rsidR="00CA6C41" w:rsidRDefault="00FC4AC1">
            <w:pPr>
              <w:pBdr>
                <w:top w:val="nil"/>
                <w:left w:val="nil"/>
                <w:bottom w:val="nil"/>
                <w:right w:val="nil"/>
                <w:between w:val="nil"/>
              </w:pBdr>
              <w:spacing w:after="0" w:line="240" w:lineRule="auto"/>
              <w:ind w:firstLine="45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разі якщо особами, зазначеними у пунктах 4 і 5 частини першої цієї статті (крім фізичних осіб – підприємців, які обрали спрощену систему оподаткування), в окремому місяці звітного періоду отримано дохід у вигляді заробітної плати за основним місцем роботи, розмір якої дорівнює або перевищує максимальну базу нарахування єдиного внеску, доплата єдиного внеску з доходу (прибутку) від провадження підприємницької або незалежної професійної діяльності, який перевищує дохід у вигляді заробітної плати за основним місцем роботи, не здійснюється.</w:t>
            </w:r>
          </w:p>
        </w:tc>
      </w:tr>
      <w:tr w:rsidR="00CA6C41">
        <w:tc>
          <w:tcPr>
            <w:tcW w:w="723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120"/>
              <w:ind w:firstLine="397"/>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Закон України «Про збір на обов'язкове державне пенсійне страхування»</w:t>
            </w:r>
          </w:p>
        </w:tc>
        <w:tc>
          <w:tcPr>
            <w:tcW w:w="807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120"/>
              <w:ind w:firstLine="397"/>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збір на обов'язкове державне пенсійне страхування»</w:t>
            </w:r>
          </w:p>
        </w:tc>
      </w:tr>
      <w:tr w:rsidR="00CA6C41">
        <w:tc>
          <w:tcPr>
            <w:tcW w:w="723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sz w:val="28"/>
                <w:szCs w:val="28"/>
              </w:rPr>
            </w:pPr>
            <w:bookmarkStart w:id="35" w:name="bookmark=id.3u2rp3q" w:colFirst="0" w:colLast="0"/>
            <w:bookmarkStart w:id="36" w:name="bookmark=id.2981zbj" w:colFirst="0" w:colLast="0"/>
            <w:bookmarkStart w:id="37" w:name="bookmark=id.38czs75" w:colFirst="0" w:colLast="0"/>
            <w:bookmarkStart w:id="38" w:name="bookmark=id.odc9jc" w:colFirst="0" w:colLast="0"/>
            <w:bookmarkEnd w:id="35"/>
            <w:bookmarkEnd w:id="36"/>
            <w:bookmarkEnd w:id="37"/>
            <w:bookmarkEnd w:id="38"/>
            <w:r>
              <w:rPr>
                <w:rFonts w:ascii="Times New Roman" w:eastAsia="Times New Roman" w:hAnsi="Times New Roman" w:cs="Times New Roman"/>
                <w:b/>
                <w:sz w:val="28"/>
                <w:szCs w:val="28"/>
              </w:rPr>
              <w:lastRenderedPageBreak/>
              <w:t>Стаття 1.</w:t>
            </w:r>
            <w:r>
              <w:rPr>
                <w:rFonts w:ascii="Times New Roman" w:eastAsia="Times New Roman" w:hAnsi="Times New Roman" w:cs="Times New Roman"/>
                <w:sz w:val="28"/>
                <w:szCs w:val="28"/>
              </w:rPr>
              <w:t xml:space="preserve"> Платниками збору на обов'язкове державне пенсійне страхування є:</w:t>
            </w:r>
          </w:p>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фізичні особи та суб'єкти господарювання, які подають ювелірні та побутові вироби з дорогоцінних металів на клеймування державним пробірним клеймом до казенних підприємств пробірного контролю.</w:t>
            </w:r>
            <w:bookmarkStart w:id="39" w:name="bookmark=id.1nia2ey" w:colFirst="0" w:colLast="0"/>
            <w:bookmarkEnd w:id="39"/>
          </w:p>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Центральний орган виконавчої влади, що забезпечує формування державної фінансової політики, забезпечує організацію сплати (утримання) збору на обов'язкове державне пенсійне страхування при здійсненні казенними підприємствами пробірного контролю клеймування державним пробірним клеймом ювелірних та побутових виробів з дорогоцінних металів, поданих фізичними особами та суб'єктами господарювання, у безготівковій та/або готівковій формі.</w:t>
            </w:r>
            <w:bookmarkStart w:id="40" w:name="bookmark=id.47hxl2r" w:colFirst="0" w:colLast="0"/>
            <w:bookmarkEnd w:id="40"/>
          </w:p>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Центральний орган виконавчої влади, який реалізує державну політику з адміністрування єдиного внеску на загальнообов'язкове державне соціальне страхування, здійснює контроль за сплатою (утриманням) збору на обов'язкове державне пенсійне страхування при здійсненні казенними підприємствами пробірного контролю клеймування державним пробірним клеймом ювелірних та побутових виробів з дорогоцінних металів, поданих </w:t>
            </w:r>
            <w:r>
              <w:rPr>
                <w:rFonts w:ascii="Times New Roman" w:eastAsia="Times New Roman" w:hAnsi="Times New Roman" w:cs="Times New Roman"/>
                <w:b/>
                <w:sz w:val="28"/>
                <w:szCs w:val="28"/>
              </w:rPr>
              <w:lastRenderedPageBreak/>
              <w:t>фізичними особами та суб'єктами господарювання, у безготівковій та/або готівковій формі.</w:t>
            </w:r>
            <w:bookmarkStart w:id="41" w:name="bookmark=id.2mn7vak" w:colFirst="0" w:colLast="0"/>
            <w:bookmarkEnd w:id="41"/>
          </w:p>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Казенні підприємства пробірного контролю подають до 20 числа місяця, що настає за звітним, до органів Пенсійного фонду України звіт про нарахування (утримання) та сплату збору на обов'язкове державне пенсійне страхування при здійсненні клеймування виробів державним пробірним клеймом у порядку та за формою, визначеними Кабінетом Міністрів України;</w:t>
            </w:r>
          </w:p>
        </w:tc>
        <w:tc>
          <w:tcPr>
            <w:tcW w:w="807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w:t>
            </w:r>
            <w:r>
              <w:rPr>
                <w:rFonts w:ascii="Times New Roman" w:eastAsia="Times New Roman" w:hAnsi="Times New Roman" w:cs="Times New Roman"/>
                <w:sz w:val="28"/>
                <w:szCs w:val="28"/>
              </w:rPr>
              <w:t xml:space="preserve"> Платниками збору на обов'язкове державне пенсійне страхування є:</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6) </w:t>
            </w:r>
            <w:r>
              <w:rPr>
                <w:rFonts w:ascii="Times New Roman" w:eastAsia="Times New Roman" w:hAnsi="Times New Roman" w:cs="Times New Roman"/>
                <w:sz w:val="28"/>
                <w:szCs w:val="28"/>
              </w:rPr>
              <w:t>суб'єкти господарювання, які</w:t>
            </w:r>
            <w:r>
              <w:rPr>
                <w:rFonts w:ascii="Times New Roman" w:eastAsia="Times New Roman" w:hAnsi="Times New Roman" w:cs="Times New Roman"/>
                <w:b/>
                <w:sz w:val="28"/>
                <w:szCs w:val="28"/>
              </w:rPr>
              <w:t xml:space="preserve"> здійснюють торгівлю ювелірними та побутовими виробами з дорогоцінних металів.</w:t>
            </w:r>
          </w:p>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Центральний орган виконавчої влади, що забезпечує формування державної фінансової політики, забезпечує організацію сплати (утримання) збору на обов'язкове державне пенсійне страхування при здійсненні</w:t>
            </w:r>
            <w:r>
              <w:rPr>
                <w:rFonts w:ascii="Times New Roman" w:eastAsia="Times New Roman" w:hAnsi="Times New Roman" w:cs="Times New Roman"/>
                <w:b/>
                <w:sz w:val="28"/>
                <w:szCs w:val="28"/>
              </w:rPr>
              <w:t xml:space="preserve"> суб’єктами господарювання торгівлі ювелірними та побутовими виробами з дорогоцінних металів.</w:t>
            </w:r>
          </w:p>
          <w:p w:rsidR="00CA6C41" w:rsidRDefault="00CA6C41">
            <w:pPr>
              <w:pBdr>
                <w:top w:val="nil"/>
                <w:left w:val="nil"/>
                <w:bottom w:val="nil"/>
                <w:right w:val="nil"/>
                <w:between w:val="nil"/>
              </w:pBdr>
              <w:spacing w:after="120"/>
              <w:ind w:firstLine="397"/>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Центральний орган виконавчої влади, який реалізує державну політику з адміністрування єдиного внеску на загальнообов'язкове державне соціальне страхування, здійснює контроль за сплатою (утриманням) збору на обов'язкове державне пенсійне страхування при здійсненні</w:t>
            </w:r>
            <w:r>
              <w:rPr>
                <w:rFonts w:ascii="Times New Roman" w:eastAsia="Times New Roman" w:hAnsi="Times New Roman" w:cs="Times New Roman"/>
                <w:b/>
                <w:sz w:val="28"/>
                <w:szCs w:val="28"/>
              </w:rPr>
              <w:t xml:space="preserve"> суб’єктами господарювання торгівлі ювелірними та побутовими виробами з дорогоцінних металів.</w:t>
            </w:r>
          </w:p>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Збір на обов’язкове державне пенсійне страхування, включається до ціни ювелірних та побутових виробів з дорогоцінних металів і сплачується їх продавцями з виручки від реалізації.</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Суб`єкти господарювання, які здійснюють торгівлю ювелірними та побутовими виробами з дорогоцінних металів подають до контролюючого органу за місцем реєстрації </w:t>
            </w:r>
            <w:r>
              <w:rPr>
                <w:rFonts w:ascii="Times New Roman" w:eastAsia="Times New Roman" w:hAnsi="Times New Roman" w:cs="Times New Roman"/>
                <w:b/>
                <w:sz w:val="28"/>
                <w:szCs w:val="28"/>
              </w:rPr>
              <w:lastRenderedPageBreak/>
              <w:t>квартальну декларацію про нарахування та сплату збору на обов’язкове державне пенсійне страхування.</w:t>
            </w: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Порядок подання та форма такої декларації, визначається та затверджується  Кабінетом Міністрів України.</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tc>
      </w:tr>
      <w:tr w:rsidR="00CA6C41">
        <w:tc>
          <w:tcPr>
            <w:tcW w:w="723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ind w:firstLine="397"/>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CA6C41" w:rsidRDefault="00CA6C41">
            <w:pPr>
              <w:pBdr>
                <w:top w:val="nil"/>
                <w:left w:val="nil"/>
                <w:bottom w:val="nil"/>
                <w:right w:val="nil"/>
                <w:between w:val="nil"/>
              </w:pBdr>
              <w:ind w:firstLine="397"/>
              <w:rPr>
                <w:rFonts w:ascii="Times New Roman" w:eastAsia="Times New Roman" w:hAnsi="Times New Roman" w:cs="Times New Roman"/>
                <w:sz w:val="28"/>
                <w:szCs w:val="28"/>
              </w:rPr>
            </w:pPr>
          </w:p>
          <w:p w:rsidR="00CA6C41" w:rsidRDefault="00FC4AC1">
            <w:pPr>
              <w:pBdr>
                <w:top w:val="nil"/>
                <w:left w:val="nil"/>
                <w:bottom w:val="nil"/>
                <w:right w:val="nil"/>
                <w:between w:val="nil"/>
              </w:pBdr>
              <w:ind w:firstLine="39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Суб'єкти підприємницької діяльності, які застосовують спрощений режим оподаткування (єдиний податок), та юридичні і фізичні особи, що розташовані (проживають) у зонах гарантованого добровільного відселення та посиленого радіоекологічного контролю, сплачують збір на обов'язкове державне пенсійне страхування </w:t>
            </w:r>
            <w:r>
              <w:rPr>
                <w:rFonts w:ascii="Times New Roman" w:eastAsia="Times New Roman" w:hAnsi="Times New Roman" w:cs="Times New Roman"/>
                <w:b/>
                <w:sz w:val="28"/>
                <w:szCs w:val="28"/>
              </w:rPr>
              <w:t>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w:t>
            </w:r>
            <w:r>
              <w:rPr>
                <w:rFonts w:ascii="Times New Roman" w:eastAsia="Times New Roman" w:hAnsi="Times New Roman" w:cs="Times New Roman"/>
                <w:sz w:val="28"/>
                <w:szCs w:val="28"/>
              </w:rPr>
              <w:t>, під час набуття права власності на легкові автомобілі у випадках, зазначених у пункті 7 частини першої цієї статті, з операцій купівлі-продажу нерухомого майна, з надання послуг стільникового рухомого зв'язку на загальних підставах.</w:t>
            </w:r>
          </w:p>
        </w:tc>
        <w:tc>
          <w:tcPr>
            <w:tcW w:w="8078" w:type="dxa"/>
            <w:shd w:val="clear" w:color="auto" w:fill="auto"/>
            <w:tcMar>
              <w:top w:w="0" w:type="dxa"/>
              <w:left w:w="115" w:type="dxa"/>
              <w:bottom w:w="0" w:type="dxa"/>
              <w:right w:w="115" w:type="dxa"/>
            </w:tcMar>
          </w:tcPr>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CA6C4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Суб'єкти підприємницької діяльності, які застосовують спрощений режим оподаткування (єдиний податок), та юридичні і фізичні особи, що розташовані (проживають) у зонах гарантованого добровільного відселення та посиленого радіоекологічного контролю, сплачують збір на обов'язкове державне пенсійне страхування </w:t>
            </w:r>
            <w:r>
              <w:rPr>
                <w:rFonts w:ascii="Times New Roman" w:eastAsia="Times New Roman" w:hAnsi="Times New Roman" w:cs="Times New Roman"/>
                <w:b/>
                <w:sz w:val="28"/>
                <w:szCs w:val="28"/>
              </w:rPr>
              <w:t>під час торгівлі ювелірними та побутовими виробами з дорогоцінних металів,</w:t>
            </w:r>
            <w:r>
              <w:rPr>
                <w:rFonts w:ascii="Times New Roman" w:eastAsia="Times New Roman" w:hAnsi="Times New Roman" w:cs="Times New Roman"/>
                <w:sz w:val="28"/>
                <w:szCs w:val="28"/>
              </w:rPr>
              <w:t xml:space="preserve"> під час набуття права власності на легкові автомобілі у випадках, зазначених у пункті 7 частини першої цієї статті, з операцій купівлі-продажу нерухомого майна, з надання послуг стільникового рухомого зв'язку на загальних підставах.</w:t>
            </w:r>
          </w:p>
        </w:tc>
      </w:tr>
      <w:tr w:rsidR="00CA6C41">
        <w:tc>
          <w:tcPr>
            <w:tcW w:w="723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ind w:firstLine="39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w:t>
            </w:r>
            <w:r>
              <w:rPr>
                <w:rFonts w:ascii="Times New Roman" w:eastAsia="Times New Roman" w:hAnsi="Times New Roman" w:cs="Times New Roman"/>
                <w:sz w:val="28"/>
                <w:szCs w:val="28"/>
              </w:rPr>
              <w:t xml:space="preserve"> Об'єктом оподаткування є:</w:t>
            </w:r>
          </w:p>
          <w:p w:rsidR="00CA6C41" w:rsidRDefault="00FC4AC1">
            <w:pPr>
              <w:pBdr>
                <w:top w:val="nil"/>
                <w:left w:val="nil"/>
                <w:bottom w:val="nil"/>
                <w:right w:val="nil"/>
                <w:between w:val="nil"/>
              </w:pBdr>
              <w:ind w:firstLine="39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ind w:firstLine="39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5) для платників збору, визначених </w:t>
            </w:r>
            <w:hyperlink r:id="rId160" w:anchor="n23">
              <w:r>
                <w:rPr>
                  <w:rFonts w:ascii="Times New Roman" w:eastAsia="Times New Roman" w:hAnsi="Times New Roman" w:cs="Times New Roman"/>
                  <w:b/>
                  <w:sz w:val="28"/>
                  <w:szCs w:val="28"/>
                </w:rPr>
                <w:t>пунктом 6</w:t>
              </w:r>
            </w:hyperlink>
            <w:r>
              <w:rPr>
                <w:rFonts w:ascii="Times New Roman" w:eastAsia="Times New Roman" w:hAnsi="Times New Roman" w:cs="Times New Roman"/>
                <w:b/>
                <w:sz w:val="28"/>
                <w:szCs w:val="28"/>
              </w:rPr>
              <w:t> статті 1 цього Закону, - вартість основного дорогоцінного металу (золото, срібло, платина, паладій), у перерахунку на вагу чистого металу, що міститься у сплаві, з якого виготовлено ювелірний чи побутовий виріб, визначена за офіційним курсом Національного банку України на банківські метали на час подання платником збору ювелірних та побутових виробів на клеймування до казенного підприємства пробірного контролю</w:t>
            </w:r>
            <w:r>
              <w:rPr>
                <w:rFonts w:ascii="Times New Roman" w:eastAsia="Times New Roman" w:hAnsi="Times New Roman" w:cs="Times New Roman"/>
                <w:sz w:val="28"/>
                <w:szCs w:val="28"/>
              </w:rPr>
              <w:t>;</w:t>
            </w:r>
          </w:p>
          <w:p w:rsidR="00CA6C41" w:rsidRDefault="00CA6C41">
            <w:pPr>
              <w:pBdr>
                <w:top w:val="nil"/>
                <w:left w:val="nil"/>
                <w:bottom w:val="nil"/>
                <w:right w:val="nil"/>
                <w:between w:val="nil"/>
              </w:pBdr>
              <w:ind w:firstLine="397"/>
              <w:jc w:val="both"/>
              <w:rPr>
                <w:rFonts w:ascii="Times New Roman" w:eastAsia="Times New Roman" w:hAnsi="Times New Roman" w:cs="Times New Roman"/>
                <w:sz w:val="28"/>
                <w:szCs w:val="28"/>
              </w:rPr>
            </w:pPr>
          </w:p>
        </w:tc>
        <w:tc>
          <w:tcPr>
            <w:tcW w:w="807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w:t>
            </w:r>
            <w:r>
              <w:rPr>
                <w:rFonts w:ascii="Times New Roman" w:eastAsia="Times New Roman" w:hAnsi="Times New Roman" w:cs="Times New Roman"/>
                <w:sz w:val="28"/>
                <w:szCs w:val="28"/>
              </w:rPr>
              <w:t xml:space="preserve"> Об'єктом оподаткування є:</w:t>
            </w:r>
          </w:p>
          <w:p w:rsidR="00CA6C41" w:rsidRDefault="00FC4AC1">
            <w:p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ind w:firstLine="39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5) для платників збору, визначених </w:t>
            </w:r>
            <w:hyperlink r:id="rId161" w:anchor="n23">
              <w:r>
                <w:rPr>
                  <w:rFonts w:ascii="Times New Roman" w:eastAsia="Times New Roman" w:hAnsi="Times New Roman" w:cs="Times New Roman"/>
                  <w:sz w:val="28"/>
                  <w:szCs w:val="28"/>
                </w:rPr>
                <w:t>пунктом 6</w:t>
              </w:r>
            </w:hyperlink>
            <w:r>
              <w:rPr>
                <w:rFonts w:ascii="Times New Roman" w:eastAsia="Times New Roman" w:hAnsi="Times New Roman" w:cs="Times New Roman"/>
                <w:sz w:val="28"/>
                <w:szCs w:val="28"/>
              </w:rPr>
              <w:t xml:space="preserve"> статті 1 цього Закону, - </w:t>
            </w:r>
            <w:r>
              <w:rPr>
                <w:rFonts w:ascii="Times New Roman" w:eastAsia="Times New Roman" w:hAnsi="Times New Roman" w:cs="Times New Roman"/>
                <w:b/>
                <w:sz w:val="28"/>
                <w:szCs w:val="28"/>
              </w:rPr>
              <w:t>вартість проданих ювелірних та побутових виробів з дорогоцінних металів;</w:t>
            </w:r>
          </w:p>
          <w:p w:rsidR="00CA6C41" w:rsidRDefault="00FC4AC1">
            <w:pPr>
              <w:pBdr>
                <w:top w:val="nil"/>
                <w:left w:val="nil"/>
                <w:bottom w:val="nil"/>
                <w:right w:val="nil"/>
                <w:between w:val="nil"/>
              </w:pBd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A6C41" w:rsidRDefault="00FC4AC1">
            <w:pPr>
              <w:pBdr>
                <w:top w:val="nil"/>
                <w:left w:val="nil"/>
                <w:bottom w:val="nil"/>
                <w:right w:val="nil"/>
                <w:between w:val="nil"/>
              </w:pBdr>
              <w:spacing w:after="120"/>
              <w:ind w:firstLine="39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Під час здійснення суб'єктами господарювання, комісійної торгівлі ювелірними та побутовими виробами з дорогоцінних металів,  збір на обов’язкове пенсійне страхування нараховується та сплачується комісіонером з вартості товарів, що включає й комісійну винагороду, незалежно від порядку проведення розрахунків.   </w:t>
            </w:r>
          </w:p>
          <w:p w:rsidR="00CA6C41" w:rsidRDefault="00FC4AC1">
            <w:pPr>
              <w:pBdr>
                <w:top w:val="nil"/>
                <w:left w:val="nil"/>
                <w:bottom w:val="nil"/>
                <w:right w:val="nil"/>
                <w:between w:val="nil"/>
              </w:pBd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разі повернення кінцевим споживачем придбаного ювелірного чи побутового виробу з дорогоцінного металу, суми збору на обов’язкове державне пенсійне страхування, виходячи з суми коштів, які платник збору сплатив в момент реалізації таких виробів, зараховуються в рахунок зменшення поточних платежів з цього збору протягом поточного звітного періоду.</w:t>
            </w:r>
          </w:p>
        </w:tc>
      </w:tr>
      <w:tr w:rsidR="00CA6C41">
        <w:tc>
          <w:tcPr>
            <w:tcW w:w="723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 На обов'язкове  державне пенсійне страхування встановлюються ставки збору в таких розмірах:</w:t>
            </w:r>
          </w:p>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7) для платників збору, визначених пунктом 6 статті 1 цього Закону, - 10,0 відсотка від об'єкта </w:t>
            </w:r>
            <w:r>
              <w:rPr>
                <w:rFonts w:ascii="Times New Roman" w:eastAsia="Times New Roman" w:hAnsi="Times New Roman" w:cs="Times New Roman"/>
                <w:b/>
                <w:sz w:val="28"/>
                <w:szCs w:val="28"/>
              </w:rPr>
              <w:lastRenderedPageBreak/>
              <w:t>оподаткування, визначеного пунктом 5 статті 2 цього Закону;</w:t>
            </w:r>
          </w:p>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807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 На обов'язкове державне пенсійне страхування встановлюються ставки збору в таких розмірах:</w:t>
            </w:r>
          </w:p>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rPr>
                <w:rFonts w:ascii="Times New Roman" w:eastAsia="Times New Roman" w:hAnsi="Times New Roman" w:cs="Times New Roman"/>
                <w:sz w:val="28"/>
                <w:szCs w:val="28"/>
              </w:rPr>
            </w:pPr>
            <w:r>
              <w:rPr>
                <w:rFonts w:ascii="Times New Roman" w:eastAsia="Times New Roman" w:hAnsi="Times New Roman" w:cs="Times New Roman"/>
                <w:b/>
                <w:sz w:val="28"/>
                <w:szCs w:val="28"/>
              </w:rPr>
              <w:t>7</w:t>
            </w:r>
            <w:r>
              <w:rPr>
                <w:rFonts w:ascii="Times New Roman" w:eastAsia="Times New Roman" w:hAnsi="Times New Roman" w:cs="Times New Roman"/>
                <w:sz w:val="28"/>
                <w:szCs w:val="28"/>
              </w:rPr>
              <w:t xml:space="preserve">) для платників збору, визначених пунктом 6 статті 1 цього Закону,  </w:t>
            </w:r>
          </w:p>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 01 січня 2021 року - 3,0 відсотка від об'єкта оподаткування, визначеного пунктом 5 статті 2 цього Закону;</w:t>
            </w:r>
          </w:p>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rPr>
                <w:rFonts w:ascii="Times New Roman" w:eastAsia="Times New Roman" w:hAnsi="Times New Roman" w:cs="Times New Roman"/>
                <w:b/>
                <w:sz w:val="28"/>
                <w:szCs w:val="28"/>
              </w:rPr>
            </w:pPr>
            <w:r>
              <w:rPr>
                <w:rFonts w:ascii="Times New Roman" w:eastAsia="Times New Roman" w:hAnsi="Times New Roman" w:cs="Times New Roman"/>
                <w:b/>
                <w:sz w:val="28"/>
                <w:szCs w:val="28"/>
              </w:rPr>
              <w:t>З 01 січня 2022 року - 6,0 відсотків від об'єкта оподаткування, визначеного пунктом 5 статті 2 цього Закону;</w:t>
            </w:r>
          </w:p>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A6C41">
        <w:tc>
          <w:tcPr>
            <w:tcW w:w="7232"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Відсутній</w:t>
            </w:r>
          </w:p>
        </w:tc>
        <w:tc>
          <w:tcPr>
            <w:tcW w:w="8078" w:type="dxa"/>
            <w:shd w:val="clear" w:color="auto" w:fill="auto"/>
            <w:tcMar>
              <w:top w:w="0" w:type="dxa"/>
              <w:left w:w="115" w:type="dxa"/>
              <w:bottom w:w="0" w:type="dxa"/>
              <w:right w:w="115" w:type="dxa"/>
            </w:tcMar>
          </w:tcPr>
          <w:p w:rsidR="00CA6C41" w:rsidRDefault="00FC4AC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7-1) </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Платники збору, визначені пунктом 6  статті 1 цього Закону, звільняються від сплати збору з об’єктів, визначених пунктом 5 статті 2 цього Закону, за ставками, встановленими  пунктом 7 статті 4 цього Закону , з вартості проданих ювелірних та побутових виробів з дорогоцінних металів збір на обов’язкове пенсійне страхування з яких був сплачений при поданні таких ювелірних та побутових виробів з дорогоцінних металів на клеймування державним пробірним клеймом до казенних підприємств пробірного контролю, та які були оприбутковані  платниками збору до вступу в дію цього Закону</w:t>
            </w:r>
          </w:p>
          <w:p w:rsidR="00CA6C41" w:rsidRDefault="00CA6C4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8"/>
                <w:szCs w:val="28"/>
              </w:rPr>
            </w:pPr>
          </w:p>
        </w:tc>
      </w:tr>
    </w:tbl>
    <w:p w:rsidR="00CA6C41" w:rsidRDefault="00CA6C41">
      <w:pPr>
        <w:pBdr>
          <w:top w:val="nil"/>
          <w:left w:val="nil"/>
          <w:bottom w:val="nil"/>
          <w:right w:val="nil"/>
          <w:between w:val="nil"/>
        </w:pBdr>
        <w:spacing w:after="0" w:line="240" w:lineRule="auto"/>
        <w:ind w:firstLine="420"/>
        <w:jc w:val="center"/>
        <w:rPr>
          <w:rFonts w:ascii="Times New Roman" w:eastAsia="Times New Roman" w:hAnsi="Times New Roman" w:cs="Times New Roman"/>
          <w:b/>
          <w:sz w:val="28"/>
          <w:szCs w:val="28"/>
        </w:rPr>
      </w:pPr>
    </w:p>
    <w:p w:rsidR="00CA6C41" w:rsidRDefault="00CA6C41">
      <w:pPr>
        <w:pBdr>
          <w:top w:val="nil"/>
          <w:left w:val="nil"/>
          <w:bottom w:val="nil"/>
          <w:right w:val="nil"/>
          <w:between w:val="nil"/>
        </w:pBdr>
        <w:spacing w:after="0" w:line="240" w:lineRule="auto"/>
        <w:rPr>
          <w:rFonts w:ascii="Times New Roman" w:eastAsia="Times New Roman" w:hAnsi="Times New Roman" w:cs="Times New Roman"/>
          <w:b/>
          <w:sz w:val="28"/>
          <w:szCs w:val="28"/>
        </w:rPr>
      </w:pPr>
    </w:p>
    <w:tbl>
      <w:tblPr>
        <w:tblStyle w:val="afffffffff3"/>
        <w:tblW w:w="153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32"/>
        <w:gridCol w:w="8078"/>
      </w:tblGrid>
      <w:tr w:rsidR="00CA6C41">
        <w:tc>
          <w:tcPr>
            <w:tcW w:w="723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радіочастотний ресурс України»</w:t>
            </w:r>
          </w:p>
        </w:tc>
        <w:tc>
          <w:tcPr>
            <w:tcW w:w="807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радіочастотний ресурс України»</w:t>
            </w: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b/>
                <w:sz w:val="28"/>
                <w:szCs w:val="28"/>
              </w:rPr>
            </w:pPr>
          </w:p>
        </w:tc>
      </w:tr>
      <w:tr w:rsidR="00CA6C41">
        <w:tc>
          <w:tcPr>
            <w:tcW w:w="723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38.</w:t>
            </w:r>
            <w:r>
              <w:rPr>
                <w:rFonts w:ascii="Times New Roman" w:eastAsia="Times New Roman" w:hAnsi="Times New Roman" w:cs="Times New Roman"/>
                <w:sz w:val="28"/>
                <w:szCs w:val="28"/>
              </w:rPr>
              <w:t> Анулювання ліцензії на користування радіочастотним ресурсом України</w:t>
            </w:r>
            <w:bookmarkStart w:id="42" w:name="bookmark=id.11si5id" w:colFirst="0" w:colLast="0"/>
            <w:bookmarkEnd w:id="42"/>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Підставами для анулювання ліцензії на користування радіочастотним ресурсом України є:</w:t>
            </w:r>
            <w:bookmarkStart w:id="43" w:name="bookmark=id.3ls5o66" w:colFirst="0" w:colLast="0"/>
            <w:bookmarkEnd w:id="43"/>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заява користувача радіочастотного ресурсу України про анулювання ліцензії;</w:t>
            </w:r>
            <w:bookmarkStart w:id="44" w:name="bookmark=id.20xfydz" w:colFirst="0" w:colLast="0"/>
            <w:bookmarkEnd w:id="44"/>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акт про виявлення недостовірних відомостей у документах, поданих суб'єктом господарювання для одержання ліцензії;</w:t>
            </w:r>
            <w:bookmarkStart w:id="45" w:name="bookmark=id.4kx3h1s" w:colFirst="0" w:colLast="0"/>
            <w:bookmarkEnd w:id="45"/>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акт про встановлення факту передачі іншій юридичній або фізичній особі права на користування радіочастотним ресурсом України;</w:t>
            </w:r>
            <w:bookmarkStart w:id="46" w:name="bookmark=id.302dr9l" w:colFirst="0" w:colLast="0"/>
            <w:bookmarkEnd w:id="46"/>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акт про невиконання користувачем радіочастотного ресурсу України розпорядження про усунення порушень умов ліцензії;</w:t>
            </w:r>
            <w:bookmarkStart w:id="47" w:name="bookmark=id.1f7o1he" w:colFirst="0" w:colLast="0"/>
            <w:bookmarkEnd w:id="47"/>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акт про повторну відмову користувача радіочастотного ресурсу України у допуску уповноважених національною комісією, що здійснює державне регулювання у сфері зв'язку та інформатизації, посадових осіб для проведення перевірки, а також про вчинення перешкод, які не дають здійснювати перевірку в повному обсязі;</w:t>
            </w:r>
            <w:bookmarkStart w:id="48" w:name="bookmark=id.2eclud0" w:colFirst="0" w:colLast="0"/>
            <w:bookmarkStart w:id="49" w:name="bookmark=id.3z7bk57" w:colFirst="0" w:colLast="0"/>
            <w:bookmarkEnd w:id="48"/>
            <w:bookmarkEnd w:id="49"/>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акт про повторне порушення користувачем умов ліцензії протягом року;</w:t>
            </w:r>
            <w:bookmarkStart w:id="50" w:name="bookmark=id.thw4kt" w:colFirst="0" w:colLast="0"/>
            <w:bookmarkEnd w:id="50"/>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рішення про скасування державної реєстрації суб'єкта господарювання - користувача радіочастотного ресурсу України;</w:t>
            </w:r>
            <w:bookmarkStart w:id="51" w:name="bookmark=id.3dhjn8m" w:colFirst="0" w:colLast="0"/>
            <w:bookmarkEnd w:id="51"/>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нотаріально засвідчена копія свідоцтва про смерть фізичної особи - суб'єкта господарювання.</w:t>
            </w:r>
          </w:p>
          <w:p w:rsidR="00CA6C41" w:rsidRDefault="00CA6C4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b/>
                <w:sz w:val="28"/>
                <w:szCs w:val="28"/>
              </w:rPr>
            </w:pPr>
          </w:p>
        </w:tc>
        <w:tc>
          <w:tcPr>
            <w:tcW w:w="807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38.</w:t>
            </w:r>
            <w:r>
              <w:rPr>
                <w:rFonts w:ascii="Times New Roman" w:eastAsia="Times New Roman" w:hAnsi="Times New Roman" w:cs="Times New Roman"/>
                <w:sz w:val="28"/>
                <w:szCs w:val="28"/>
              </w:rPr>
              <w:t> Анулювання ліцензії на користування радіочастотним ресурсом України</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Підставами для анулювання ліцензії на користування радіочастотним ресурсом України є:</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заява користувача радіочастотного ресурсу України про анулювання ліцензії;</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акт про виявлення недостовірних відомостей у документах, поданих суб'єктом господарювання для одержання ліцензії;</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акт про встановлення факту передачі іншій юридичній або фізичній особі права на користування радіочастотним ресурсом України;</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акт про невиконання користувачем радіочастотного ресурсу України розпорядження про усунення порушень умов ліцензії;</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акт про повторну відмову користувача радіочастотного ресурсу України у допуску уповноважених національною комісією, що здійснює державне регулювання у сфері зв'язку та інформатизації, посадових осіб для проведення перевірки, а також про вчинення перешкод, які не дають здійснювати перевірку в повному обсязі;</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акт про повторне порушення користувачем умов ліцензії протягом року;</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рішення про скасування державної реєстрації суб'єкта господарювання - користувача радіочастотного ресурсу України;</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нотаріально засвідчена копія свідоцтва про смерть фізичної особи - суб'єкта господарювання;</w:t>
            </w:r>
          </w:p>
          <w:p w:rsidR="00CA6C41" w:rsidRDefault="00FC4AC1">
            <w:pPr>
              <w:pBdr>
                <w:top w:val="nil"/>
                <w:left w:val="nil"/>
                <w:bottom w:val="nil"/>
                <w:right w:val="nil"/>
                <w:between w:val="nil"/>
              </w:pBdr>
              <w:spacing w:after="150" w:line="240" w:lineRule="auto"/>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9) несплата або сплата в неповному обсязі рентної плати за користування радіочастотним ресурсом України до державного бюджету України протягом трьох і більше </w:t>
            </w:r>
            <w:r>
              <w:rPr>
                <w:rFonts w:ascii="Times New Roman" w:eastAsia="Times New Roman" w:hAnsi="Times New Roman" w:cs="Times New Roman"/>
                <w:b/>
                <w:sz w:val="28"/>
                <w:szCs w:val="28"/>
              </w:rPr>
              <w:lastRenderedPageBreak/>
              <w:t>місяців, що встановлено контролюючим органом та інформацію про що подано контролюючим органом до Національної комісії, що здійснює державне регулювання у сфері зв’язку та інформатизації,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b/>
                <w:sz w:val="28"/>
                <w:szCs w:val="28"/>
              </w:rPr>
            </w:pPr>
          </w:p>
        </w:tc>
      </w:tr>
      <w:tr w:rsidR="00CA6C41">
        <w:tc>
          <w:tcPr>
            <w:tcW w:w="7232"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45. Анулювання дозволу на експлуатацію</w:t>
            </w: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Анулювання дозволу на експлуатацію здійснюється УДЦР самостійно або за рішенням національної комісії, що здійснює державне регулювання у сфері зв'язку та інформатизації.</w:t>
            </w: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Підставами для прийняття національною комісією, що здійснює державне регулювання у сфері зв'язку та інформатизації, рішення про анулювання дозволу на експлуатацію є:</w:t>
            </w:r>
          </w:p>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виявлення недостовірних відомостей у документах, поданих користувачем радіочастотного ресурсу України для отримання дозволу на експлуатацію радіоелектронного засобу або випромінювального пристрою.</w:t>
            </w: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Відсутній</w:t>
            </w:r>
          </w:p>
        </w:tc>
        <w:tc>
          <w:tcPr>
            <w:tcW w:w="8078" w:type="dxa"/>
            <w:shd w:val="clear" w:color="auto" w:fill="auto"/>
            <w:tcMar>
              <w:top w:w="0" w:type="dxa"/>
              <w:left w:w="108" w:type="dxa"/>
              <w:bottom w:w="0" w:type="dxa"/>
              <w:right w:w="108" w:type="dxa"/>
            </w:tcMar>
          </w:tcPr>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45. Анулювання дозволу на експлуатацію</w:t>
            </w: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Анулювання дозволу на експлуатацію здійснюється УДЦР самостійно або за рішенням національної комісії, що здійснює державне регулювання у сфері зв'язку та інформатизації.</w:t>
            </w: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Підставами для прийняття національною комісією, що здійснює державне регулювання у сфері зв'язку та інформатизації, рішення про анулювання дозволу на експлуатацію є:</w:t>
            </w:r>
          </w:p>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виявлення недостовірних відомостей у документах, поданих користувачем радіочастотного ресурсу України для отримання дозволу на експлуатацію радіоелектронного засобу або випромінювального пристрою;</w:t>
            </w: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sz w:val="28"/>
                <w:szCs w:val="28"/>
              </w:rPr>
            </w:pPr>
          </w:p>
          <w:p w:rsidR="00CA6C41" w:rsidRDefault="00FC4AC1">
            <w:pPr>
              <w:pBdr>
                <w:top w:val="nil"/>
                <w:left w:val="nil"/>
                <w:bottom w:val="nil"/>
                <w:right w:val="nil"/>
                <w:between w:val="nil"/>
              </w:pBdr>
              <w:spacing w:after="0" w:line="240" w:lineRule="auto"/>
              <w:ind w:right="11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8) несплата або сплата в неповному обсязі рентної плати за користування радіочастотним ресурсом України до державного бюджету України протягом трьох і більше місяців, що встановлено контролюючим органом та інформацію про що подано контролюючим органом до Національної комісії, що здійснює державне регулювання у </w:t>
            </w:r>
            <w:r>
              <w:rPr>
                <w:rFonts w:ascii="Times New Roman" w:eastAsia="Times New Roman" w:hAnsi="Times New Roman" w:cs="Times New Roman"/>
                <w:b/>
                <w:sz w:val="28"/>
                <w:szCs w:val="28"/>
              </w:rPr>
              <w:lastRenderedPageBreak/>
              <w:t>сфері зв’язку та інформатизації,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CA6C41" w:rsidRDefault="00CA6C41">
            <w:pPr>
              <w:pBdr>
                <w:top w:val="nil"/>
                <w:left w:val="nil"/>
                <w:bottom w:val="nil"/>
                <w:right w:val="nil"/>
                <w:between w:val="nil"/>
              </w:pBdr>
              <w:spacing w:after="0" w:line="240" w:lineRule="auto"/>
              <w:ind w:right="110"/>
              <w:jc w:val="both"/>
              <w:rPr>
                <w:rFonts w:ascii="Times New Roman" w:eastAsia="Times New Roman" w:hAnsi="Times New Roman" w:cs="Times New Roman"/>
                <w:b/>
                <w:sz w:val="28"/>
                <w:szCs w:val="28"/>
              </w:rPr>
            </w:pPr>
          </w:p>
        </w:tc>
      </w:tr>
    </w:tbl>
    <w:p w:rsidR="00CA6C41" w:rsidRDefault="00CA6C41">
      <w:pPr>
        <w:pBdr>
          <w:top w:val="nil"/>
          <w:left w:val="nil"/>
          <w:bottom w:val="nil"/>
          <w:right w:val="nil"/>
          <w:between w:val="nil"/>
        </w:pBdr>
        <w:ind w:left="567" w:right="110"/>
        <w:jc w:val="both"/>
        <w:rPr>
          <w:rFonts w:ascii="Times New Roman" w:eastAsia="Times New Roman" w:hAnsi="Times New Roman" w:cs="Times New Roman"/>
          <w:b/>
          <w:sz w:val="28"/>
          <w:szCs w:val="28"/>
        </w:rPr>
      </w:pPr>
    </w:p>
    <w:p w:rsidR="00CA6C41" w:rsidRDefault="00CA6C41">
      <w:pPr>
        <w:pBdr>
          <w:top w:val="nil"/>
          <w:left w:val="nil"/>
          <w:bottom w:val="nil"/>
          <w:right w:val="nil"/>
          <w:between w:val="nil"/>
        </w:pBdr>
        <w:ind w:left="567" w:right="110"/>
        <w:jc w:val="both"/>
        <w:rPr>
          <w:rFonts w:ascii="Times New Roman" w:eastAsia="Times New Roman" w:hAnsi="Times New Roman" w:cs="Times New Roman"/>
          <w:b/>
          <w:sz w:val="28"/>
          <w:szCs w:val="28"/>
        </w:rPr>
      </w:pPr>
    </w:p>
    <w:p w:rsidR="00CA6C41" w:rsidRDefault="00FC4AC1">
      <w:pPr>
        <w:pBdr>
          <w:top w:val="nil"/>
          <w:left w:val="nil"/>
          <w:bottom w:val="nil"/>
          <w:right w:val="nil"/>
          <w:between w:val="nil"/>
        </w:pBdr>
        <w:ind w:left="567" w:right="11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Народний депутат</w:t>
      </w:r>
    </w:p>
    <w:sectPr w:rsidR="00CA6C41">
      <w:headerReference w:type="default" r:id="rId162"/>
      <w:pgSz w:w="16840" w:h="11907" w:orient="landscape"/>
      <w:pgMar w:top="851" w:right="2705" w:bottom="851" w:left="85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76E" w:rsidRDefault="0050376E">
      <w:pPr>
        <w:spacing w:after="0" w:line="240" w:lineRule="auto"/>
      </w:pPr>
      <w:r>
        <w:separator/>
      </w:r>
    </w:p>
  </w:endnote>
  <w:endnote w:type="continuationSeparator" w:id="0">
    <w:p w:rsidR="0050376E" w:rsidRDefault="00503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auto"/>
    <w:pitch w:val="default"/>
  </w:font>
  <w:font w:name="Segoe UI">
    <w:panose1 w:val="020B0502040204020203"/>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76E" w:rsidRDefault="0050376E">
      <w:pPr>
        <w:spacing w:after="0" w:line="240" w:lineRule="auto"/>
      </w:pPr>
      <w:r>
        <w:separator/>
      </w:r>
    </w:p>
  </w:footnote>
  <w:footnote w:type="continuationSeparator" w:id="0">
    <w:p w:rsidR="0050376E" w:rsidRDefault="005037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C41" w:rsidRDefault="00FC4AC1">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6A1232">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p w:rsidR="00CA6C41" w:rsidRDefault="00CA6C41">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A16171"/>
    <w:multiLevelType w:val="multilevel"/>
    <w:tmpl w:val="D93428FA"/>
    <w:lvl w:ilvl="0">
      <w:start w:val="1"/>
      <w:numFmt w:val="bullet"/>
      <w:lvlText w:val="-"/>
      <w:lvlJc w:val="left"/>
      <w:pPr>
        <w:ind w:left="666" w:hanging="36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1">
      <w:start w:val="1"/>
      <w:numFmt w:val="bullet"/>
      <w:lvlText w:val="○"/>
      <w:lvlJc w:val="left"/>
      <w:pPr>
        <w:ind w:left="138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06"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826"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54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266"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4986"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70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26" w:hanging="360"/>
      </w:pPr>
      <w:rPr>
        <w:rFonts w:ascii="Verdana" w:eastAsia="Verdana" w:hAnsi="Verdana" w:cs="Verdana"/>
        <w:b w:val="0"/>
        <w:i w:val="0"/>
        <w:smallCaps w:val="0"/>
        <w:strike w:val="0"/>
        <w:color w:val="000000"/>
        <w:sz w:val="20"/>
        <w:szCs w:val="20"/>
        <w:u w:val="none"/>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C41"/>
    <w:rsid w:val="002F704F"/>
    <w:rsid w:val="0050376E"/>
    <w:rsid w:val="006A1232"/>
    <w:rsid w:val="00A11E63"/>
    <w:rsid w:val="00CA6C41"/>
    <w:rsid w:val="00CD6706"/>
    <w:rsid w:val="00FC4AC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62AF6D-5D90-4443-8B4B-F8C2E5E89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pBdr>
        <w:top w:val="nil"/>
        <w:left w:val="nil"/>
        <w:bottom w:val="nil"/>
        <w:right w:val="nil"/>
        <w:between w:val="nil"/>
      </w:pBdr>
      <w:spacing w:before="480" w:after="120"/>
      <w:outlineLvl w:val="0"/>
    </w:pPr>
    <w:rPr>
      <w:b/>
      <w:sz w:val="48"/>
      <w:szCs w:val="48"/>
    </w:rPr>
  </w:style>
  <w:style w:type="paragraph" w:styleId="2">
    <w:name w:val="heading 2"/>
    <w:basedOn w:val="a"/>
    <w:next w:val="a"/>
    <w:pPr>
      <w:keepNext/>
      <w:keepLines/>
      <w:pBdr>
        <w:top w:val="nil"/>
        <w:left w:val="nil"/>
        <w:bottom w:val="nil"/>
        <w:right w:val="nil"/>
        <w:between w:val="nil"/>
      </w:pBdr>
      <w:spacing w:before="360" w:after="80"/>
      <w:outlineLvl w:val="1"/>
    </w:pPr>
    <w:rPr>
      <w:b/>
      <w:sz w:val="36"/>
      <w:szCs w:val="36"/>
    </w:rPr>
  </w:style>
  <w:style w:type="paragraph" w:styleId="3">
    <w:name w:val="heading 3"/>
    <w:basedOn w:val="a"/>
    <w:next w:val="a"/>
    <w:pPr>
      <w:pBdr>
        <w:top w:val="nil"/>
        <w:left w:val="nil"/>
        <w:bottom w:val="nil"/>
        <w:right w:val="nil"/>
        <w:between w:val="nil"/>
      </w:pBdr>
      <w:spacing w:line="240" w:lineRule="auto"/>
      <w:outlineLvl w:val="2"/>
    </w:pPr>
    <w:rPr>
      <w:rFonts w:ascii="Times New Roman" w:eastAsia="Times New Roman" w:hAnsi="Times New Roman" w:cs="Times New Roman"/>
      <w:b/>
      <w:sz w:val="26"/>
      <w:szCs w:val="26"/>
    </w:rPr>
  </w:style>
  <w:style w:type="paragraph" w:styleId="4">
    <w:name w:val="heading 4"/>
    <w:basedOn w:val="a"/>
    <w:next w:val="a"/>
    <w:pPr>
      <w:keepNext/>
      <w:keepLines/>
      <w:pBdr>
        <w:top w:val="nil"/>
        <w:left w:val="nil"/>
        <w:bottom w:val="nil"/>
        <w:right w:val="nil"/>
        <w:between w:val="nil"/>
      </w:pBdr>
      <w:spacing w:before="240" w:after="40"/>
      <w:outlineLvl w:val="3"/>
    </w:pPr>
    <w:rPr>
      <w:b/>
      <w:sz w:val="24"/>
      <w:szCs w:val="24"/>
    </w:rPr>
  </w:style>
  <w:style w:type="paragraph" w:styleId="5">
    <w:name w:val="heading 5"/>
    <w:basedOn w:val="a"/>
    <w:next w:val="a"/>
    <w:pPr>
      <w:keepNext/>
      <w:keepLines/>
      <w:pBdr>
        <w:top w:val="nil"/>
        <w:left w:val="nil"/>
        <w:bottom w:val="nil"/>
        <w:right w:val="nil"/>
        <w:between w:val="nil"/>
      </w:pBdr>
      <w:spacing w:before="220" w:after="40"/>
      <w:outlineLvl w:val="4"/>
    </w:pPr>
    <w:rPr>
      <w:b/>
    </w:rPr>
  </w:style>
  <w:style w:type="paragraph" w:styleId="6">
    <w:name w:val="heading 6"/>
    <w:basedOn w:val="a"/>
    <w:next w:val="a"/>
    <w:pPr>
      <w:keepNext/>
      <w:keepLines/>
      <w:pBdr>
        <w:top w:val="nil"/>
        <w:left w:val="nil"/>
        <w:bottom w:val="nil"/>
        <w:right w:val="nil"/>
        <w:between w:val="nil"/>
      </w:pBdr>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pBdr>
        <w:top w:val="nil"/>
        <w:left w:val="nil"/>
        <w:bottom w:val="nil"/>
        <w:right w:val="nil"/>
        <w:between w:val="nil"/>
      </w:pBdr>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top w:w="100" w:type="dxa"/>
        <w:left w:w="100" w:type="dxa"/>
        <w:bottom w:w="100" w:type="dxa"/>
        <w:right w:w="100"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00" w:type="dxa"/>
        <w:left w:w="100" w:type="dxa"/>
        <w:bottom w:w="100" w:type="dxa"/>
        <w:right w:w="100" w:type="dxa"/>
      </w:tblCellMar>
    </w:tblPr>
  </w:style>
  <w:style w:type="table" w:customStyle="1" w:styleId="afa">
    <w:basedOn w:val="TableNormal0"/>
    <w:tblPr>
      <w:tblStyleRowBandSize w:val="1"/>
      <w:tblStyleColBandSize w:val="1"/>
      <w:tblCellMar>
        <w:top w:w="100" w:type="dxa"/>
        <w:left w:w="100" w:type="dxa"/>
        <w:bottom w:w="100" w:type="dxa"/>
        <w:right w:w="100" w:type="dxa"/>
      </w:tblCellMar>
    </w:tblPr>
  </w:style>
  <w:style w:type="table" w:customStyle="1" w:styleId="afb">
    <w:basedOn w:val="TableNormal0"/>
    <w:tblPr>
      <w:tblStyleRowBandSize w:val="1"/>
      <w:tblStyleColBandSize w:val="1"/>
      <w:tblCellMar>
        <w:top w:w="100" w:type="dxa"/>
        <w:left w:w="100" w:type="dxa"/>
        <w:bottom w:w="100" w:type="dxa"/>
        <w:right w:w="100" w:type="dxa"/>
      </w:tblCellMar>
    </w:tblPr>
  </w:style>
  <w:style w:type="table" w:customStyle="1" w:styleId="afc">
    <w:basedOn w:val="TableNormal0"/>
    <w:tblPr>
      <w:tblStyleRowBandSize w:val="1"/>
      <w:tblStyleColBandSize w:val="1"/>
      <w:tblCellMar>
        <w:top w:w="100" w:type="dxa"/>
        <w:left w:w="100" w:type="dxa"/>
        <w:bottom w:w="100" w:type="dxa"/>
        <w:right w:w="100" w:type="dxa"/>
      </w:tblCellMar>
    </w:tblPr>
  </w:style>
  <w:style w:type="table" w:customStyle="1" w:styleId="afd">
    <w:basedOn w:val="TableNormal0"/>
    <w:tblPr>
      <w:tblStyleRowBandSize w:val="1"/>
      <w:tblStyleColBandSize w:val="1"/>
      <w:tblCellMar>
        <w:top w:w="100" w:type="dxa"/>
        <w:left w:w="100" w:type="dxa"/>
        <w:bottom w:w="100" w:type="dxa"/>
        <w:right w:w="100" w:type="dxa"/>
      </w:tblCellMar>
    </w:tblPr>
  </w:style>
  <w:style w:type="table" w:customStyle="1" w:styleId="afe">
    <w:basedOn w:val="TableNormal0"/>
    <w:tblPr>
      <w:tblStyleRowBandSize w:val="1"/>
      <w:tblStyleColBandSize w:val="1"/>
      <w:tblCellMar>
        <w:top w:w="100" w:type="dxa"/>
        <w:left w:w="100" w:type="dxa"/>
        <w:bottom w:w="100" w:type="dxa"/>
        <w:right w:w="100" w:type="dxa"/>
      </w:tblCellMar>
    </w:tblPr>
  </w:style>
  <w:style w:type="table" w:customStyle="1" w:styleId="aff">
    <w:basedOn w:val="TableNormal0"/>
    <w:tblPr>
      <w:tblStyleRowBandSize w:val="1"/>
      <w:tblStyleColBandSize w:val="1"/>
      <w:tblCellMar>
        <w:top w:w="100" w:type="dxa"/>
        <w:left w:w="100" w:type="dxa"/>
        <w:bottom w:w="100" w:type="dxa"/>
        <w:right w:w="100"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top w:w="100" w:type="dxa"/>
        <w:left w:w="100" w:type="dxa"/>
        <w:bottom w:w="100" w:type="dxa"/>
        <w:right w:w="100"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tblPr>
      <w:tblStyleRowBandSize w:val="1"/>
      <w:tblStyleColBandSize w:val="1"/>
      <w:tblCellMar>
        <w:top w:w="100" w:type="dxa"/>
        <w:left w:w="100" w:type="dxa"/>
        <w:bottom w:w="100" w:type="dxa"/>
        <w:right w:w="100" w:type="dxa"/>
      </w:tblCellMar>
    </w:tblPr>
  </w:style>
  <w:style w:type="table" w:customStyle="1" w:styleId="aff5">
    <w:basedOn w:val="TableNormal0"/>
    <w:tblPr>
      <w:tblStyleRowBandSize w:val="1"/>
      <w:tblStyleColBandSize w:val="1"/>
      <w:tblCellMar>
        <w:top w:w="100" w:type="dxa"/>
        <w:left w:w="100" w:type="dxa"/>
        <w:bottom w:w="100" w:type="dxa"/>
        <w:right w:w="100" w:type="dxa"/>
      </w:tblCellMar>
    </w:tblPr>
  </w:style>
  <w:style w:type="table" w:customStyle="1" w:styleId="aff6">
    <w:basedOn w:val="TableNormal0"/>
    <w:tblPr>
      <w:tblStyleRowBandSize w:val="1"/>
      <w:tblStyleColBandSize w:val="1"/>
      <w:tblCellMar>
        <w:top w:w="100" w:type="dxa"/>
        <w:left w:w="100" w:type="dxa"/>
        <w:bottom w:w="100" w:type="dxa"/>
        <w:right w:w="100" w:type="dxa"/>
      </w:tblCellMar>
    </w:tblPr>
  </w:style>
  <w:style w:type="table" w:customStyle="1" w:styleId="aff7">
    <w:basedOn w:val="TableNormal0"/>
    <w:tblPr>
      <w:tblStyleRowBandSize w:val="1"/>
      <w:tblStyleColBandSize w:val="1"/>
      <w:tblCellMar>
        <w:top w:w="100" w:type="dxa"/>
        <w:left w:w="100" w:type="dxa"/>
        <w:bottom w:w="100" w:type="dxa"/>
        <w:right w:w="100" w:type="dxa"/>
      </w:tblCellMar>
    </w:tbl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tblPr>
      <w:tblStyleRowBandSize w:val="1"/>
      <w:tblStyleColBandSize w:val="1"/>
      <w:tblCellMar>
        <w:top w:w="100" w:type="dxa"/>
        <w:left w:w="100" w:type="dxa"/>
        <w:bottom w:w="100" w:type="dxa"/>
        <w:right w:w="100" w:type="dxa"/>
      </w:tblCellMar>
    </w:tblPr>
  </w:style>
  <w:style w:type="table" w:customStyle="1" w:styleId="affb">
    <w:basedOn w:val="TableNormal0"/>
    <w:tblPr>
      <w:tblStyleRowBandSize w:val="1"/>
      <w:tblStyleColBandSize w:val="1"/>
      <w:tblCellMar>
        <w:top w:w="100" w:type="dxa"/>
        <w:left w:w="100" w:type="dxa"/>
        <w:bottom w:w="100" w:type="dxa"/>
        <w:right w:w="100" w:type="dxa"/>
      </w:tblCellMar>
    </w:tbl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tblPr>
      <w:tblStyleRowBandSize w:val="1"/>
      <w:tblStyleColBandSize w:val="1"/>
      <w:tblCellMar>
        <w:top w:w="100" w:type="dxa"/>
        <w:left w:w="100" w:type="dxa"/>
        <w:bottom w:w="100" w:type="dxa"/>
        <w:right w:w="100" w:type="dxa"/>
      </w:tblCellMar>
    </w:tblPr>
  </w:style>
  <w:style w:type="table" w:customStyle="1" w:styleId="afff">
    <w:basedOn w:val="TableNormal0"/>
    <w:tblPr>
      <w:tblStyleRowBandSize w:val="1"/>
      <w:tblStyleColBandSize w:val="1"/>
      <w:tblCellMar>
        <w:top w:w="100" w:type="dxa"/>
        <w:left w:w="100" w:type="dxa"/>
        <w:bottom w:w="100" w:type="dxa"/>
        <w:right w:w="100" w:type="dxa"/>
      </w:tblCellMar>
    </w:tblPr>
  </w:style>
  <w:style w:type="table" w:customStyle="1" w:styleId="afff0">
    <w:basedOn w:val="TableNormal0"/>
    <w:tblPr>
      <w:tblStyleRowBandSize w:val="1"/>
      <w:tblStyleColBandSize w:val="1"/>
      <w:tblCellMar>
        <w:top w:w="100" w:type="dxa"/>
        <w:left w:w="100" w:type="dxa"/>
        <w:bottom w:w="100" w:type="dxa"/>
        <w:right w:w="100" w:type="dxa"/>
      </w:tblCellMar>
    </w:tblPr>
  </w:style>
  <w:style w:type="table" w:customStyle="1" w:styleId="afff1">
    <w:basedOn w:val="TableNormal0"/>
    <w:tblPr>
      <w:tblStyleRowBandSize w:val="1"/>
      <w:tblStyleColBandSize w:val="1"/>
      <w:tblCellMar>
        <w:top w:w="100" w:type="dxa"/>
        <w:left w:w="100" w:type="dxa"/>
        <w:bottom w:w="100" w:type="dxa"/>
        <w:right w:w="100" w:type="dxa"/>
      </w:tblCellMar>
    </w:tblPr>
  </w:style>
  <w:style w:type="table" w:customStyle="1" w:styleId="afff2">
    <w:basedOn w:val="TableNormal0"/>
    <w:tblPr>
      <w:tblStyleRowBandSize w:val="1"/>
      <w:tblStyleColBandSize w:val="1"/>
      <w:tblCellMar>
        <w:top w:w="100" w:type="dxa"/>
        <w:left w:w="100" w:type="dxa"/>
        <w:bottom w:w="100" w:type="dxa"/>
        <w:right w:w="100" w:type="dxa"/>
      </w:tblCellMar>
    </w:tblPr>
  </w:style>
  <w:style w:type="table" w:customStyle="1" w:styleId="afff3">
    <w:basedOn w:val="TableNormal0"/>
    <w:tblPr>
      <w:tblStyleRowBandSize w:val="1"/>
      <w:tblStyleColBandSize w:val="1"/>
      <w:tblCellMar>
        <w:top w:w="100" w:type="dxa"/>
        <w:left w:w="100" w:type="dxa"/>
        <w:bottom w:w="100" w:type="dxa"/>
        <w:right w:w="100" w:type="dxa"/>
      </w:tblCellMar>
    </w:tblPr>
  </w:style>
  <w:style w:type="table" w:customStyle="1" w:styleId="afff4">
    <w:basedOn w:val="TableNormal0"/>
    <w:tblPr>
      <w:tblStyleRowBandSize w:val="1"/>
      <w:tblStyleColBandSize w:val="1"/>
      <w:tblCellMar>
        <w:top w:w="100" w:type="dxa"/>
        <w:left w:w="100" w:type="dxa"/>
        <w:bottom w:w="100" w:type="dxa"/>
        <w:right w:w="100" w:type="dxa"/>
      </w:tblCellMar>
    </w:tblPr>
  </w:style>
  <w:style w:type="table" w:customStyle="1" w:styleId="afff5">
    <w:basedOn w:val="TableNormal0"/>
    <w:tblPr>
      <w:tblStyleRowBandSize w:val="1"/>
      <w:tblStyleColBandSize w:val="1"/>
      <w:tblCellMar>
        <w:top w:w="100" w:type="dxa"/>
        <w:left w:w="100" w:type="dxa"/>
        <w:bottom w:w="100" w:type="dxa"/>
        <w:right w:w="100" w:type="dxa"/>
      </w:tblCellMar>
    </w:tblPr>
  </w:style>
  <w:style w:type="table" w:customStyle="1" w:styleId="afff6">
    <w:basedOn w:val="TableNormal0"/>
    <w:tblPr>
      <w:tblStyleRowBandSize w:val="1"/>
      <w:tblStyleColBandSize w:val="1"/>
      <w:tblCellMar>
        <w:top w:w="100" w:type="dxa"/>
        <w:left w:w="100" w:type="dxa"/>
        <w:bottom w:w="100" w:type="dxa"/>
        <w:right w:w="100" w:type="dxa"/>
      </w:tblCellMar>
    </w:tblPr>
  </w:style>
  <w:style w:type="table" w:customStyle="1" w:styleId="afff7">
    <w:basedOn w:val="TableNormal0"/>
    <w:tblPr>
      <w:tblStyleRowBandSize w:val="1"/>
      <w:tblStyleColBandSize w:val="1"/>
      <w:tblCellMar>
        <w:top w:w="100" w:type="dxa"/>
        <w:left w:w="100" w:type="dxa"/>
        <w:bottom w:w="100" w:type="dxa"/>
        <w:right w:w="100" w:type="dxa"/>
      </w:tblCellMar>
    </w:tblPr>
  </w:style>
  <w:style w:type="table" w:customStyle="1" w:styleId="afff8">
    <w:basedOn w:val="TableNormal0"/>
    <w:tblPr>
      <w:tblStyleRowBandSize w:val="1"/>
      <w:tblStyleColBandSize w:val="1"/>
      <w:tblCellMar>
        <w:top w:w="100" w:type="dxa"/>
        <w:left w:w="100" w:type="dxa"/>
        <w:bottom w:w="100" w:type="dxa"/>
        <w:right w:w="100" w:type="dxa"/>
      </w:tblCellMar>
    </w:tblPr>
  </w:style>
  <w:style w:type="table" w:customStyle="1" w:styleId="afff9">
    <w:basedOn w:val="TableNormal0"/>
    <w:tblPr>
      <w:tblStyleRowBandSize w:val="1"/>
      <w:tblStyleColBandSize w:val="1"/>
      <w:tblCellMar>
        <w:top w:w="100" w:type="dxa"/>
        <w:left w:w="100" w:type="dxa"/>
        <w:bottom w:w="100" w:type="dxa"/>
        <w:right w:w="100" w:type="dxa"/>
      </w:tblCellMar>
    </w:tblPr>
  </w:style>
  <w:style w:type="table" w:customStyle="1" w:styleId="afffa">
    <w:basedOn w:val="TableNormal0"/>
    <w:tblPr>
      <w:tblStyleRowBandSize w:val="1"/>
      <w:tblStyleColBandSize w:val="1"/>
      <w:tblCellMar>
        <w:top w:w="100" w:type="dxa"/>
        <w:left w:w="100" w:type="dxa"/>
        <w:bottom w:w="100" w:type="dxa"/>
        <w:right w:w="100" w:type="dxa"/>
      </w:tblCellMar>
    </w:tblPr>
  </w:style>
  <w:style w:type="table" w:customStyle="1" w:styleId="afffb">
    <w:basedOn w:val="TableNormal0"/>
    <w:tblPr>
      <w:tblStyleRowBandSize w:val="1"/>
      <w:tblStyleColBandSize w:val="1"/>
      <w:tblCellMar>
        <w:top w:w="100" w:type="dxa"/>
        <w:left w:w="100" w:type="dxa"/>
        <w:bottom w:w="100" w:type="dxa"/>
        <w:right w:w="100" w:type="dxa"/>
      </w:tblCellMar>
    </w:tblPr>
  </w:style>
  <w:style w:type="table" w:customStyle="1" w:styleId="afffc">
    <w:basedOn w:val="TableNormal0"/>
    <w:tblPr>
      <w:tblStyleRowBandSize w:val="1"/>
      <w:tblStyleColBandSize w:val="1"/>
      <w:tblCellMar>
        <w:top w:w="100" w:type="dxa"/>
        <w:left w:w="100" w:type="dxa"/>
        <w:bottom w:w="100" w:type="dxa"/>
        <w:right w:w="100" w:type="dxa"/>
      </w:tblCellMar>
    </w:tblPr>
  </w:style>
  <w:style w:type="table" w:customStyle="1" w:styleId="afffd">
    <w:basedOn w:val="TableNormal0"/>
    <w:tblPr>
      <w:tblStyleRowBandSize w:val="1"/>
      <w:tblStyleColBandSize w:val="1"/>
      <w:tblCellMar>
        <w:top w:w="100" w:type="dxa"/>
        <w:left w:w="100" w:type="dxa"/>
        <w:bottom w:w="100" w:type="dxa"/>
        <w:right w:w="100" w:type="dxa"/>
      </w:tblCellMar>
    </w:tblPr>
  </w:style>
  <w:style w:type="table" w:customStyle="1" w:styleId="afffe">
    <w:basedOn w:val="TableNormal0"/>
    <w:tblPr>
      <w:tblStyleRowBandSize w:val="1"/>
      <w:tblStyleColBandSize w:val="1"/>
      <w:tblCellMar>
        <w:top w:w="100" w:type="dxa"/>
        <w:left w:w="100" w:type="dxa"/>
        <w:bottom w:w="100" w:type="dxa"/>
        <w:right w:w="100" w:type="dxa"/>
      </w:tblCellMar>
    </w:tblPr>
  </w:style>
  <w:style w:type="table" w:customStyle="1" w:styleId="affff">
    <w:basedOn w:val="TableNormal0"/>
    <w:tblPr>
      <w:tblStyleRowBandSize w:val="1"/>
      <w:tblStyleColBandSize w:val="1"/>
      <w:tblCellMar>
        <w:top w:w="100" w:type="dxa"/>
        <w:left w:w="100" w:type="dxa"/>
        <w:bottom w:w="100" w:type="dxa"/>
        <w:right w:w="100" w:type="dxa"/>
      </w:tblCellMar>
    </w:tblPr>
  </w:style>
  <w:style w:type="table" w:customStyle="1" w:styleId="affff0">
    <w:basedOn w:val="TableNormal0"/>
    <w:tblPr>
      <w:tblStyleRowBandSize w:val="1"/>
      <w:tblStyleColBandSize w:val="1"/>
      <w:tblCellMar>
        <w:top w:w="100" w:type="dxa"/>
        <w:left w:w="100" w:type="dxa"/>
        <w:bottom w:w="100" w:type="dxa"/>
        <w:right w:w="100" w:type="dxa"/>
      </w:tblCellMar>
    </w:tblPr>
  </w:style>
  <w:style w:type="table" w:customStyle="1" w:styleId="affff1">
    <w:basedOn w:val="TableNormal0"/>
    <w:tblPr>
      <w:tblStyleRowBandSize w:val="1"/>
      <w:tblStyleColBandSize w:val="1"/>
      <w:tblCellMar>
        <w:top w:w="100" w:type="dxa"/>
        <w:left w:w="100" w:type="dxa"/>
        <w:bottom w:w="100" w:type="dxa"/>
        <w:right w:w="100" w:type="dxa"/>
      </w:tblCellMar>
    </w:tblPr>
  </w:style>
  <w:style w:type="table" w:customStyle="1" w:styleId="affff2">
    <w:basedOn w:val="TableNormal0"/>
    <w:tblPr>
      <w:tblStyleRowBandSize w:val="1"/>
      <w:tblStyleColBandSize w:val="1"/>
      <w:tblCellMar>
        <w:top w:w="100" w:type="dxa"/>
        <w:left w:w="100" w:type="dxa"/>
        <w:bottom w:w="100" w:type="dxa"/>
        <w:right w:w="100" w:type="dxa"/>
      </w:tblCellMar>
    </w:tblPr>
  </w:style>
  <w:style w:type="table" w:customStyle="1" w:styleId="affff3">
    <w:basedOn w:val="TableNormal0"/>
    <w:tblPr>
      <w:tblStyleRowBandSize w:val="1"/>
      <w:tblStyleColBandSize w:val="1"/>
      <w:tblCellMar>
        <w:top w:w="100" w:type="dxa"/>
        <w:left w:w="100" w:type="dxa"/>
        <w:bottom w:w="100" w:type="dxa"/>
        <w:right w:w="100" w:type="dxa"/>
      </w:tblCellMar>
    </w:tblPr>
  </w:style>
  <w:style w:type="table" w:customStyle="1" w:styleId="affff4">
    <w:basedOn w:val="TableNormal0"/>
    <w:tblPr>
      <w:tblStyleRowBandSize w:val="1"/>
      <w:tblStyleColBandSize w:val="1"/>
      <w:tblCellMar>
        <w:top w:w="100" w:type="dxa"/>
        <w:left w:w="100" w:type="dxa"/>
        <w:bottom w:w="100" w:type="dxa"/>
        <w:right w:w="100" w:type="dxa"/>
      </w:tblCellMar>
    </w:tblPr>
  </w:style>
  <w:style w:type="table" w:customStyle="1" w:styleId="affff5">
    <w:basedOn w:val="TableNormal0"/>
    <w:tblPr>
      <w:tblStyleRowBandSize w:val="1"/>
      <w:tblStyleColBandSize w:val="1"/>
      <w:tblCellMar>
        <w:top w:w="100" w:type="dxa"/>
        <w:left w:w="100" w:type="dxa"/>
        <w:bottom w:w="100" w:type="dxa"/>
        <w:right w:w="100" w:type="dxa"/>
      </w:tblCellMar>
    </w:tblPr>
  </w:style>
  <w:style w:type="table" w:customStyle="1" w:styleId="affff6">
    <w:basedOn w:val="TableNormal0"/>
    <w:tblPr>
      <w:tblStyleRowBandSize w:val="1"/>
      <w:tblStyleColBandSize w:val="1"/>
      <w:tblCellMar>
        <w:top w:w="100" w:type="dxa"/>
        <w:left w:w="100" w:type="dxa"/>
        <w:bottom w:w="100" w:type="dxa"/>
        <w:right w:w="100" w:type="dxa"/>
      </w:tblCellMar>
    </w:tblPr>
  </w:style>
  <w:style w:type="table" w:customStyle="1" w:styleId="affff7">
    <w:basedOn w:val="TableNormal0"/>
    <w:tblPr>
      <w:tblStyleRowBandSize w:val="1"/>
      <w:tblStyleColBandSize w:val="1"/>
      <w:tblCellMar>
        <w:top w:w="100" w:type="dxa"/>
        <w:left w:w="100" w:type="dxa"/>
        <w:bottom w:w="100" w:type="dxa"/>
        <w:right w:w="100" w:type="dxa"/>
      </w:tblCellMar>
    </w:tblPr>
  </w:style>
  <w:style w:type="table" w:customStyle="1" w:styleId="affff8">
    <w:basedOn w:val="TableNormal0"/>
    <w:tblPr>
      <w:tblStyleRowBandSize w:val="1"/>
      <w:tblStyleColBandSize w:val="1"/>
      <w:tblCellMar>
        <w:top w:w="100" w:type="dxa"/>
        <w:left w:w="100" w:type="dxa"/>
        <w:bottom w:w="100" w:type="dxa"/>
        <w:right w:w="100" w:type="dxa"/>
      </w:tblCellMar>
    </w:tblPr>
  </w:style>
  <w:style w:type="table" w:customStyle="1" w:styleId="affff9">
    <w:basedOn w:val="TableNormal0"/>
    <w:tblPr>
      <w:tblStyleRowBandSize w:val="1"/>
      <w:tblStyleColBandSize w:val="1"/>
      <w:tblCellMar>
        <w:top w:w="100" w:type="dxa"/>
        <w:left w:w="100" w:type="dxa"/>
        <w:bottom w:w="100" w:type="dxa"/>
        <w:right w:w="100" w:type="dxa"/>
      </w:tblCellMar>
    </w:tblPr>
  </w:style>
  <w:style w:type="table" w:customStyle="1" w:styleId="affffa">
    <w:basedOn w:val="TableNormal0"/>
    <w:tblPr>
      <w:tblStyleRowBandSize w:val="1"/>
      <w:tblStyleColBandSize w:val="1"/>
      <w:tblCellMar>
        <w:top w:w="100" w:type="dxa"/>
        <w:left w:w="100" w:type="dxa"/>
        <w:bottom w:w="100" w:type="dxa"/>
        <w:right w:w="100" w:type="dxa"/>
      </w:tblCellMar>
    </w:tblPr>
  </w:style>
  <w:style w:type="paragraph" w:styleId="affffb">
    <w:name w:val="Balloon Text"/>
    <w:basedOn w:val="a"/>
    <w:link w:val="affffc"/>
    <w:uiPriority w:val="99"/>
    <w:semiHidden/>
    <w:unhideWhenUsed/>
    <w:rsid w:val="002A3D4F"/>
    <w:pPr>
      <w:spacing w:after="0" w:line="240" w:lineRule="auto"/>
    </w:pPr>
    <w:rPr>
      <w:rFonts w:ascii="Segoe UI" w:hAnsi="Segoe UI" w:cs="Segoe UI"/>
      <w:sz w:val="18"/>
      <w:szCs w:val="18"/>
    </w:rPr>
  </w:style>
  <w:style w:type="character" w:customStyle="1" w:styleId="affffc">
    <w:name w:val="Текст у виносці Знак"/>
    <w:basedOn w:val="a0"/>
    <w:link w:val="affffb"/>
    <w:uiPriority w:val="99"/>
    <w:semiHidden/>
    <w:rsid w:val="002A3D4F"/>
    <w:rPr>
      <w:rFonts w:ascii="Segoe UI" w:hAnsi="Segoe UI" w:cs="Segoe UI"/>
      <w:sz w:val="18"/>
      <w:szCs w:val="18"/>
    </w:rPr>
  </w:style>
  <w:style w:type="paragraph" w:customStyle="1" w:styleId="rvps2">
    <w:name w:val="rvps2"/>
    <w:basedOn w:val="a"/>
    <w:rsid w:val="00956093"/>
    <w:pPr>
      <w:spacing w:before="100" w:beforeAutospacing="1" w:after="100" w:afterAutospacing="1" w:line="240" w:lineRule="auto"/>
    </w:pPr>
    <w:rPr>
      <w:rFonts w:ascii="Times New Roman" w:eastAsia="Times New Roman" w:hAnsi="Times New Roman" w:cs="Times New Roman"/>
      <w:sz w:val="24"/>
      <w:szCs w:val="24"/>
    </w:rPr>
  </w:style>
  <w:style w:type="character" w:styleId="affffd">
    <w:name w:val="Hyperlink"/>
    <w:basedOn w:val="a0"/>
    <w:uiPriority w:val="99"/>
    <w:unhideWhenUsed/>
    <w:rsid w:val="00956093"/>
    <w:rPr>
      <w:color w:val="0000FF"/>
      <w:u w:val="single"/>
    </w:rPr>
  </w:style>
  <w:style w:type="character" w:customStyle="1" w:styleId="rvts46">
    <w:name w:val="rvts46"/>
    <w:basedOn w:val="a0"/>
    <w:rsid w:val="00956093"/>
  </w:style>
  <w:style w:type="table" w:customStyle="1" w:styleId="affffe">
    <w:basedOn w:val="TableNormal0"/>
    <w:tblPr>
      <w:tblStyleRowBandSize w:val="1"/>
      <w:tblStyleColBandSize w:val="1"/>
      <w:tblCellMar>
        <w:top w:w="100" w:type="dxa"/>
        <w:left w:w="100" w:type="dxa"/>
        <w:bottom w:w="100" w:type="dxa"/>
        <w:right w:w="100" w:type="dxa"/>
      </w:tblCellMar>
    </w:tblPr>
  </w:style>
  <w:style w:type="table" w:customStyle="1" w:styleId="afffff">
    <w:basedOn w:val="TableNormal0"/>
    <w:tblPr>
      <w:tblStyleRowBandSize w:val="1"/>
      <w:tblStyleColBandSize w:val="1"/>
      <w:tblCellMar>
        <w:top w:w="100" w:type="dxa"/>
        <w:left w:w="100" w:type="dxa"/>
        <w:bottom w:w="100" w:type="dxa"/>
        <w:right w:w="100" w:type="dxa"/>
      </w:tblCellMar>
    </w:tblPr>
  </w:style>
  <w:style w:type="table" w:customStyle="1" w:styleId="afffff0">
    <w:basedOn w:val="TableNormal0"/>
    <w:tblPr>
      <w:tblStyleRowBandSize w:val="1"/>
      <w:tblStyleColBandSize w:val="1"/>
      <w:tblCellMar>
        <w:top w:w="100" w:type="dxa"/>
        <w:left w:w="100" w:type="dxa"/>
        <w:bottom w:w="100" w:type="dxa"/>
        <w:right w:w="100" w:type="dxa"/>
      </w:tblCellMar>
    </w:tblPr>
  </w:style>
  <w:style w:type="table" w:customStyle="1" w:styleId="afffff1">
    <w:basedOn w:val="TableNormal0"/>
    <w:tblPr>
      <w:tblStyleRowBandSize w:val="1"/>
      <w:tblStyleColBandSize w:val="1"/>
      <w:tblCellMar>
        <w:top w:w="100" w:type="dxa"/>
        <w:left w:w="100" w:type="dxa"/>
        <w:bottom w:w="100" w:type="dxa"/>
        <w:right w:w="100" w:type="dxa"/>
      </w:tblCellMar>
    </w:tblPr>
  </w:style>
  <w:style w:type="table" w:customStyle="1" w:styleId="afffff2">
    <w:basedOn w:val="TableNormal0"/>
    <w:tblPr>
      <w:tblStyleRowBandSize w:val="1"/>
      <w:tblStyleColBandSize w:val="1"/>
      <w:tblCellMar>
        <w:top w:w="100" w:type="dxa"/>
        <w:left w:w="100" w:type="dxa"/>
        <w:bottom w:w="100" w:type="dxa"/>
        <w:right w:w="100" w:type="dxa"/>
      </w:tblCellMar>
    </w:tblPr>
  </w:style>
  <w:style w:type="table" w:customStyle="1" w:styleId="afffff3">
    <w:basedOn w:val="TableNormal0"/>
    <w:tblPr>
      <w:tblStyleRowBandSize w:val="1"/>
      <w:tblStyleColBandSize w:val="1"/>
      <w:tblCellMar>
        <w:top w:w="100" w:type="dxa"/>
        <w:left w:w="100" w:type="dxa"/>
        <w:bottom w:w="100" w:type="dxa"/>
        <w:right w:w="100" w:type="dxa"/>
      </w:tblCellMar>
    </w:tblPr>
  </w:style>
  <w:style w:type="table" w:customStyle="1" w:styleId="afffff4">
    <w:basedOn w:val="TableNormal0"/>
    <w:tblPr>
      <w:tblStyleRowBandSize w:val="1"/>
      <w:tblStyleColBandSize w:val="1"/>
      <w:tblCellMar>
        <w:top w:w="100" w:type="dxa"/>
        <w:left w:w="100" w:type="dxa"/>
        <w:bottom w:w="100" w:type="dxa"/>
        <w:right w:w="100" w:type="dxa"/>
      </w:tblCellMar>
    </w:tblPr>
  </w:style>
  <w:style w:type="table" w:customStyle="1" w:styleId="afffff5">
    <w:basedOn w:val="TableNormal0"/>
    <w:tblPr>
      <w:tblStyleRowBandSize w:val="1"/>
      <w:tblStyleColBandSize w:val="1"/>
      <w:tblCellMar>
        <w:top w:w="100" w:type="dxa"/>
        <w:left w:w="100" w:type="dxa"/>
        <w:bottom w:w="100" w:type="dxa"/>
        <w:right w:w="100" w:type="dxa"/>
      </w:tblCellMar>
    </w:tblPr>
  </w:style>
  <w:style w:type="table" w:customStyle="1" w:styleId="afffff6">
    <w:basedOn w:val="TableNormal0"/>
    <w:tblPr>
      <w:tblStyleRowBandSize w:val="1"/>
      <w:tblStyleColBandSize w:val="1"/>
      <w:tblCellMar>
        <w:top w:w="100" w:type="dxa"/>
        <w:left w:w="100" w:type="dxa"/>
        <w:bottom w:w="100" w:type="dxa"/>
        <w:right w:w="100" w:type="dxa"/>
      </w:tblCellMar>
    </w:tblPr>
  </w:style>
  <w:style w:type="table" w:customStyle="1" w:styleId="afffff7">
    <w:basedOn w:val="TableNormal0"/>
    <w:tblPr>
      <w:tblStyleRowBandSize w:val="1"/>
      <w:tblStyleColBandSize w:val="1"/>
      <w:tblCellMar>
        <w:top w:w="100" w:type="dxa"/>
        <w:left w:w="100" w:type="dxa"/>
        <w:bottom w:w="100" w:type="dxa"/>
        <w:right w:w="100" w:type="dxa"/>
      </w:tblCellMar>
    </w:tblPr>
  </w:style>
  <w:style w:type="table" w:customStyle="1" w:styleId="afffff8">
    <w:basedOn w:val="TableNormal0"/>
    <w:tblPr>
      <w:tblStyleRowBandSize w:val="1"/>
      <w:tblStyleColBandSize w:val="1"/>
      <w:tblCellMar>
        <w:top w:w="100" w:type="dxa"/>
        <w:left w:w="100" w:type="dxa"/>
        <w:bottom w:w="100" w:type="dxa"/>
        <w:right w:w="100" w:type="dxa"/>
      </w:tblCellMar>
    </w:tblPr>
  </w:style>
  <w:style w:type="table" w:customStyle="1" w:styleId="afffff9">
    <w:basedOn w:val="TableNormal0"/>
    <w:tblPr>
      <w:tblStyleRowBandSize w:val="1"/>
      <w:tblStyleColBandSize w:val="1"/>
      <w:tblCellMar>
        <w:top w:w="100" w:type="dxa"/>
        <w:left w:w="100" w:type="dxa"/>
        <w:bottom w:w="100" w:type="dxa"/>
        <w:right w:w="100" w:type="dxa"/>
      </w:tblCellMar>
    </w:tblPr>
  </w:style>
  <w:style w:type="table" w:customStyle="1" w:styleId="afffffa">
    <w:basedOn w:val="TableNormal0"/>
    <w:tblPr>
      <w:tblStyleRowBandSize w:val="1"/>
      <w:tblStyleColBandSize w:val="1"/>
      <w:tblCellMar>
        <w:top w:w="100" w:type="dxa"/>
        <w:left w:w="100" w:type="dxa"/>
        <w:bottom w:w="100" w:type="dxa"/>
        <w:right w:w="100" w:type="dxa"/>
      </w:tblCellMar>
    </w:tblPr>
  </w:style>
  <w:style w:type="table" w:customStyle="1" w:styleId="afffffb">
    <w:basedOn w:val="TableNormal0"/>
    <w:tblPr>
      <w:tblStyleRowBandSize w:val="1"/>
      <w:tblStyleColBandSize w:val="1"/>
      <w:tblCellMar>
        <w:top w:w="100" w:type="dxa"/>
        <w:left w:w="100" w:type="dxa"/>
        <w:bottom w:w="100" w:type="dxa"/>
        <w:right w:w="100" w:type="dxa"/>
      </w:tblCellMar>
    </w:tblPr>
  </w:style>
  <w:style w:type="table" w:customStyle="1" w:styleId="afffffc">
    <w:basedOn w:val="TableNormal0"/>
    <w:tblPr>
      <w:tblStyleRowBandSize w:val="1"/>
      <w:tblStyleColBandSize w:val="1"/>
      <w:tblCellMar>
        <w:top w:w="100" w:type="dxa"/>
        <w:left w:w="100" w:type="dxa"/>
        <w:bottom w:w="100" w:type="dxa"/>
        <w:right w:w="100" w:type="dxa"/>
      </w:tblCellMar>
    </w:tblPr>
  </w:style>
  <w:style w:type="table" w:customStyle="1" w:styleId="afffffd">
    <w:basedOn w:val="TableNormal0"/>
    <w:tblPr>
      <w:tblStyleRowBandSize w:val="1"/>
      <w:tblStyleColBandSize w:val="1"/>
      <w:tblCellMar>
        <w:top w:w="100" w:type="dxa"/>
        <w:left w:w="100" w:type="dxa"/>
        <w:bottom w:w="100" w:type="dxa"/>
        <w:right w:w="100" w:type="dxa"/>
      </w:tblCellMar>
    </w:tblPr>
  </w:style>
  <w:style w:type="table" w:customStyle="1" w:styleId="afffffe">
    <w:basedOn w:val="TableNormal0"/>
    <w:tblPr>
      <w:tblStyleRowBandSize w:val="1"/>
      <w:tblStyleColBandSize w:val="1"/>
      <w:tblCellMar>
        <w:top w:w="100" w:type="dxa"/>
        <w:left w:w="100" w:type="dxa"/>
        <w:bottom w:w="100" w:type="dxa"/>
        <w:right w:w="100" w:type="dxa"/>
      </w:tblCellMar>
    </w:tblPr>
  </w:style>
  <w:style w:type="table" w:customStyle="1" w:styleId="affffff">
    <w:basedOn w:val="TableNormal0"/>
    <w:tblPr>
      <w:tblStyleRowBandSize w:val="1"/>
      <w:tblStyleColBandSize w:val="1"/>
      <w:tblCellMar>
        <w:top w:w="100" w:type="dxa"/>
        <w:left w:w="100" w:type="dxa"/>
        <w:bottom w:w="100" w:type="dxa"/>
        <w:right w:w="100" w:type="dxa"/>
      </w:tblCellMar>
    </w:tblPr>
  </w:style>
  <w:style w:type="table" w:customStyle="1" w:styleId="affffff0">
    <w:basedOn w:val="TableNormal0"/>
    <w:tblPr>
      <w:tblStyleRowBandSize w:val="1"/>
      <w:tblStyleColBandSize w:val="1"/>
      <w:tblCellMar>
        <w:top w:w="100" w:type="dxa"/>
        <w:left w:w="100" w:type="dxa"/>
        <w:bottom w:w="100" w:type="dxa"/>
        <w:right w:w="100" w:type="dxa"/>
      </w:tblCellMar>
    </w:tblPr>
  </w:style>
  <w:style w:type="table" w:customStyle="1" w:styleId="affffff1">
    <w:basedOn w:val="TableNormal0"/>
    <w:tblPr>
      <w:tblStyleRowBandSize w:val="1"/>
      <w:tblStyleColBandSize w:val="1"/>
      <w:tblCellMar>
        <w:top w:w="100" w:type="dxa"/>
        <w:left w:w="100" w:type="dxa"/>
        <w:bottom w:w="100" w:type="dxa"/>
        <w:right w:w="100" w:type="dxa"/>
      </w:tblCellMar>
    </w:tblPr>
  </w:style>
  <w:style w:type="table" w:customStyle="1" w:styleId="affffff2">
    <w:basedOn w:val="TableNormal0"/>
    <w:tblPr>
      <w:tblStyleRowBandSize w:val="1"/>
      <w:tblStyleColBandSize w:val="1"/>
      <w:tblCellMar>
        <w:top w:w="100" w:type="dxa"/>
        <w:left w:w="100" w:type="dxa"/>
        <w:bottom w:w="100" w:type="dxa"/>
        <w:right w:w="100" w:type="dxa"/>
      </w:tblCellMar>
    </w:tblPr>
  </w:style>
  <w:style w:type="table" w:customStyle="1" w:styleId="affffff3">
    <w:basedOn w:val="TableNormal0"/>
    <w:tblPr>
      <w:tblStyleRowBandSize w:val="1"/>
      <w:tblStyleColBandSize w:val="1"/>
      <w:tblCellMar>
        <w:top w:w="100" w:type="dxa"/>
        <w:left w:w="100" w:type="dxa"/>
        <w:bottom w:w="100" w:type="dxa"/>
        <w:right w:w="100" w:type="dxa"/>
      </w:tblCellMar>
    </w:tblPr>
  </w:style>
  <w:style w:type="table" w:customStyle="1" w:styleId="affffff4">
    <w:basedOn w:val="TableNormal0"/>
    <w:tblPr>
      <w:tblStyleRowBandSize w:val="1"/>
      <w:tblStyleColBandSize w:val="1"/>
      <w:tblCellMar>
        <w:top w:w="100" w:type="dxa"/>
        <w:left w:w="100" w:type="dxa"/>
        <w:bottom w:w="100" w:type="dxa"/>
        <w:right w:w="100" w:type="dxa"/>
      </w:tblCellMar>
    </w:tblPr>
  </w:style>
  <w:style w:type="table" w:customStyle="1" w:styleId="affffff5">
    <w:basedOn w:val="TableNormal0"/>
    <w:tblPr>
      <w:tblStyleRowBandSize w:val="1"/>
      <w:tblStyleColBandSize w:val="1"/>
      <w:tblCellMar>
        <w:top w:w="100" w:type="dxa"/>
        <w:left w:w="100" w:type="dxa"/>
        <w:bottom w:w="100" w:type="dxa"/>
        <w:right w:w="100" w:type="dxa"/>
      </w:tblCellMar>
    </w:tblPr>
  </w:style>
  <w:style w:type="table" w:customStyle="1" w:styleId="affffff6">
    <w:basedOn w:val="TableNormal0"/>
    <w:tblPr>
      <w:tblStyleRowBandSize w:val="1"/>
      <w:tblStyleColBandSize w:val="1"/>
      <w:tblCellMar>
        <w:top w:w="100" w:type="dxa"/>
        <w:left w:w="100" w:type="dxa"/>
        <w:bottom w:w="100" w:type="dxa"/>
        <w:right w:w="100" w:type="dxa"/>
      </w:tblCellMar>
    </w:tblPr>
  </w:style>
  <w:style w:type="table" w:customStyle="1" w:styleId="affffff7">
    <w:basedOn w:val="TableNormal0"/>
    <w:tblPr>
      <w:tblStyleRowBandSize w:val="1"/>
      <w:tblStyleColBandSize w:val="1"/>
      <w:tblCellMar>
        <w:top w:w="100" w:type="dxa"/>
        <w:left w:w="100" w:type="dxa"/>
        <w:bottom w:w="100" w:type="dxa"/>
        <w:right w:w="100" w:type="dxa"/>
      </w:tblCellMar>
    </w:tblPr>
  </w:style>
  <w:style w:type="table" w:customStyle="1" w:styleId="affffff8">
    <w:basedOn w:val="TableNormal0"/>
    <w:tblPr>
      <w:tblStyleRowBandSize w:val="1"/>
      <w:tblStyleColBandSize w:val="1"/>
      <w:tblCellMar>
        <w:top w:w="100" w:type="dxa"/>
        <w:left w:w="100" w:type="dxa"/>
        <w:bottom w:w="100" w:type="dxa"/>
        <w:right w:w="100" w:type="dxa"/>
      </w:tblCellMar>
    </w:tblPr>
  </w:style>
  <w:style w:type="table" w:customStyle="1" w:styleId="affffff9">
    <w:basedOn w:val="TableNormal0"/>
    <w:tblPr>
      <w:tblStyleRowBandSize w:val="1"/>
      <w:tblStyleColBandSize w:val="1"/>
      <w:tblCellMar>
        <w:top w:w="100" w:type="dxa"/>
        <w:left w:w="100" w:type="dxa"/>
        <w:bottom w:w="100" w:type="dxa"/>
        <w:right w:w="100" w:type="dxa"/>
      </w:tblCellMar>
    </w:tblPr>
  </w:style>
  <w:style w:type="table" w:customStyle="1" w:styleId="affffffa">
    <w:basedOn w:val="TableNormal0"/>
    <w:tblPr>
      <w:tblStyleRowBandSize w:val="1"/>
      <w:tblStyleColBandSize w:val="1"/>
      <w:tblCellMar>
        <w:top w:w="100" w:type="dxa"/>
        <w:left w:w="100" w:type="dxa"/>
        <w:bottom w:w="100" w:type="dxa"/>
        <w:right w:w="100" w:type="dxa"/>
      </w:tblCellMar>
    </w:tblPr>
  </w:style>
  <w:style w:type="table" w:customStyle="1" w:styleId="affffffb">
    <w:basedOn w:val="TableNormal0"/>
    <w:tblPr>
      <w:tblStyleRowBandSize w:val="1"/>
      <w:tblStyleColBandSize w:val="1"/>
      <w:tblCellMar>
        <w:top w:w="100" w:type="dxa"/>
        <w:left w:w="100" w:type="dxa"/>
        <w:bottom w:w="100" w:type="dxa"/>
        <w:right w:w="100" w:type="dxa"/>
      </w:tblCellMar>
    </w:tblPr>
  </w:style>
  <w:style w:type="table" w:customStyle="1" w:styleId="affffffc">
    <w:basedOn w:val="TableNormal0"/>
    <w:tblPr>
      <w:tblStyleRowBandSize w:val="1"/>
      <w:tblStyleColBandSize w:val="1"/>
      <w:tblCellMar>
        <w:top w:w="100" w:type="dxa"/>
        <w:left w:w="100" w:type="dxa"/>
        <w:bottom w:w="100" w:type="dxa"/>
        <w:right w:w="100" w:type="dxa"/>
      </w:tblCellMar>
    </w:tblPr>
  </w:style>
  <w:style w:type="table" w:customStyle="1" w:styleId="affffffd">
    <w:basedOn w:val="TableNormal0"/>
    <w:tblPr>
      <w:tblStyleRowBandSize w:val="1"/>
      <w:tblStyleColBandSize w:val="1"/>
      <w:tblCellMar>
        <w:top w:w="100" w:type="dxa"/>
        <w:left w:w="100" w:type="dxa"/>
        <w:bottom w:w="100" w:type="dxa"/>
        <w:right w:w="100" w:type="dxa"/>
      </w:tblCellMar>
    </w:tblPr>
  </w:style>
  <w:style w:type="table" w:customStyle="1" w:styleId="affffffe">
    <w:basedOn w:val="TableNormal0"/>
    <w:tblPr>
      <w:tblStyleRowBandSize w:val="1"/>
      <w:tblStyleColBandSize w:val="1"/>
      <w:tblCellMar>
        <w:top w:w="100" w:type="dxa"/>
        <w:left w:w="100" w:type="dxa"/>
        <w:bottom w:w="100" w:type="dxa"/>
        <w:right w:w="100" w:type="dxa"/>
      </w:tblCellMar>
    </w:tblPr>
  </w:style>
  <w:style w:type="table" w:customStyle="1" w:styleId="afffffff">
    <w:basedOn w:val="TableNormal0"/>
    <w:tblPr>
      <w:tblStyleRowBandSize w:val="1"/>
      <w:tblStyleColBandSize w:val="1"/>
      <w:tblCellMar>
        <w:top w:w="100" w:type="dxa"/>
        <w:left w:w="100" w:type="dxa"/>
        <w:bottom w:w="100" w:type="dxa"/>
        <w:right w:w="100" w:type="dxa"/>
      </w:tblCellMar>
    </w:tblPr>
  </w:style>
  <w:style w:type="table" w:customStyle="1" w:styleId="afffffff0">
    <w:basedOn w:val="TableNormal0"/>
    <w:tblPr>
      <w:tblStyleRowBandSize w:val="1"/>
      <w:tblStyleColBandSize w:val="1"/>
      <w:tblCellMar>
        <w:top w:w="100" w:type="dxa"/>
        <w:left w:w="100" w:type="dxa"/>
        <w:bottom w:w="100" w:type="dxa"/>
        <w:right w:w="100" w:type="dxa"/>
      </w:tblCellMar>
    </w:tblPr>
  </w:style>
  <w:style w:type="table" w:customStyle="1" w:styleId="afffffff1">
    <w:basedOn w:val="TableNormal0"/>
    <w:tblPr>
      <w:tblStyleRowBandSize w:val="1"/>
      <w:tblStyleColBandSize w:val="1"/>
      <w:tblCellMar>
        <w:top w:w="100" w:type="dxa"/>
        <w:left w:w="100" w:type="dxa"/>
        <w:bottom w:w="100" w:type="dxa"/>
        <w:right w:w="100" w:type="dxa"/>
      </w:tblCellMar>
    </w:tblPr>
  </w:style>
  <w:style w:type="table" w:customStyle="1" w:styleId="afffffff2">
    <w:basedOn w:val="TableNormal0"/>
    <w:tblPr>
      <w:tblStyleRowBandSize w:val="1"/>
      <w:tblStyleColBandSize w:val="1"/>
      <w:tblCellMar>
        <w:top w:w="100" w:type="dxa"/>
        <w:left w:w="100" w:type="dxa"/>
        <w:bottom w:w="100" w:type="dxa"/>
        <w:right w:w="100" w:type="dxa"/>
      </w:tblCellMar>
    </w:tblPr>
  </w:style>
  <w:style w:type="table" w:customStyle="1" w:styleId="afffffff3">
    <w:basedOn w:val="TableNormal0"/>
    <w:tblPr>
      <w:tblStyleRowBandSize w:val="1"/>
      <w:tblStyleColBandSize w:val="1"/>
      <w:tblCellMar>
        <w:top w:w="100" w:type="dxa"/>
        <w:left w:w="100" w:type="dxa"/>
        <w:bottom w:w="100" w:type="dxa"/>
        <w:right w:w="100" w:type="dxa"/>
      </w:tblCellMar>
    </w:tblPr>
  </w:style>
  <w:style w:type="table" w:customStyle="1" w:styleId="afffffff4">
    <w:basedOn w:val="TableNormal0"/>
    <w:tblPr>
      <w:tblStyleRowBandSize w:val="1"/>
      <w:tblStyleColBandSize w:val="1"/>
      <w:tblCellMar>
        <w:top w:w="100" w:type="dxa"/>
        <w:left w:w="100" w:type="dxa"/>
        <w:bottom w:w="100" w:type="dxa"/>
        <w:right w:w="100" w:type="dxa"/>
      </w:tblCellMar>
    </w:tblPr>
  </w:style>
  <w:style w:type="table" w:customStyle="1" w:styleId="afffffff5">
    <w:basedOn w:val="TableNormal0"/>
    <w:tblPr>
      <w:tblStyleRowBandSize w:val="1"/>
      <w:tblStyleColBandSize w:val="1"/>
      <w:tblCellMar>
        <w:top w:w="100" w:type="dxa"/>
        <w:left w:w="100" w:type="dxa"/>
        <w:bottom w:w="100" w:type="dxa"/>
        <w:right w:w="100" w:type="dxa"/>
      </w:tblCellMar>
    </w:tblPr>
  </w:style>
  <w:style w:type="table" w:customStyle="1" w:styleId="afffffff6">
    <w:basedOn w:val="TableNormal0"/>
    <w:tblPr>
      <w:tblStyleRowBandSize w:val="1"/>
      <w:tblStyleColBandSize w:val="1"/>
      <w:tblCellMar>
        <w:top w:w="100" w:type="dxa"/>
        <w:left w:w="100" w:type="dxa"/>
        <w:bottom w:w="100" w:type="dxa"/>
        <w:right w:w="100" w:type="dxa"/>
      </w:tblCellMar>
    </w:tblPr>
  </w:style>
  <w:style w:type="table" w:customStyle="1" w:styleId="afffffff7">
    <w:basedOn w:val="TableNormal0"/>
    <w:tblPr>
      <w:tblStyleRowBandSize w:val="1"/>
      <w:tblStyleColBandSize w:val="1"/>
      <w:tblCellMar>
        <w:top w:w="100" w:type="dxa"/>
        <w:left w:w="100" w:type="dxa"/>
        <w:bottom w:w="100" w:type="dxa"/>
        <w:right w:w="100" w:type="dxa"/>
      </w:tblCellMar>
    </w:tblPr>
  </w:style>
  <w:style w:type="table" w:customStyle="1" w:styleId="afffffff8">
    <w:basedOn w:val="TableNormal0"/>
    <w:tblPr>
      <w:tblStyleRowBandSize w:val="1"/>
      <w:tblStyleColBandSize w:val="1"/>
      <w:tblCellMar>
        <w:top w:w="100" w:type="dxa"/>
        <w:left w:w="100" w:type="dxa"/>
        <w:bottom w:w="100" w:type="dxa"/>
        <w:right w:w="100" w:type="dxa"/>
      </w:tblCellMar>
    </w:tblPr>
  </w:style>
  <w:style w:type="table" w:customStyle="1" w:styleId="afffffff9">
    <w:basedOn w:val="TableNormal0"/>
    <w:tblPr>
      <w:tblStyleRowBandSize w:val="1"/>
      <w:tblStyleColBandSize w:val="1"/>
      <w:tblCellMar>
        <w:top w:w="100" w:type="dxa"/>
        <w:left w:w="100" w:type="dxa"/>
        <w:bottom w:w="100" w:type="dxa"/>
        <w:right w:w="100" w:type="dxa"/>
      </w:tblCellMar>
    </w:tblPr>
  </w:style>
  <w:style w:type="table" w:customStyle="1" w:styleId="afffffffa">
    <w:basedOn w:val="TableNormal0"/>
    <w:tblPr>
      <w:tblStyleRowBandSize w:val="1"/>
      <w:tblStyleColBandSize w:val="1"/>
      <w:tblCellMar>
        <w:top w:w="100" w:type="dxa"/>
        <w:left w:w="100" w:type="dxa"/>
        <w:bottom w:w="100" w:type="dxa"/>
        <w:right w:w="100" w:type="dxa"/>
      </w:tblCellMar>
    </w:tblPr>
  </w:style>
  <w:style w:type="table" w:customStyle="1" w:styleId="afffffffb">
    <w:basedOn w:val="TableNormal0"/>
    <w:tblPr>
      <w:tblStyleRowBandSize w:val="1"/>
      <w:tblStyleColBandSize w:val="1"/>
      <w:tblCellMar>
        <w:top w:w="100" w:type="dxa"/>
        <w:left w:w="100" w:type="dxa"/>
        <w:bottom w:w="100" w:type="dxa"/>
        <w:right w:w="100" w:type="dxa"/>
      </w:tblCellMar>
    </w:tblPr>
  </w:style>
  <w:style w:type="table" w:customStyle="1" w:styleId="afffffffc">
    <w:basedOn w:val="TableNormal0"/>
    <w:tblPr>
      <w:tblStyleRowBandSize w:val="1"/>
      <w:tblStyleColBandSize w:val="1"/>
      <w:tblCellMar>
        <w:top w:w="100" w:type="dxa"/>
        <w:left w:w="100" w:type="dxa"/>
        <w:bottom w:w="100" w:type="dxa"/>
        <w:right w:w="100" w:type="dxa"/>
      </w:tblCellMar>
    </w:tblPr>
  </w:style>
  <w:style w:type="table" w:customStyle="1" w:styleId="afffffffd">
    <w:basedOn w:val="TableNormal0"/>
    <w:tblPr>
      <w:tblStyleRowBandSize w:val="1"/>
      <w:tblStyleColBandSize w:val="1"/>
      <w:tblCellMar>
        <w:top w:w="100" w:type="dxa"/>
        <w:left w:w="100" w:type="dxa"/>
        <w:bottom w:w="100" w:type="dxa"/>
        <w:right w:w="100" w:type="dxa"/>
      </w:tblCellMar>
    </w:tblPr>
  </w:style>
  <w:style w:type="table" w:customStyle="1" w:styleId="afffffffe">
    <w:basedOn w:val="TableNormal0"/>
    <w:tblPr>
      <w:tblStyleRowBandSize w:val="1"/>
      <w:tblStyleColBandSize w:val="1"/>
      <w:tblCellMar>
        <w:top w:w="100" w:type="dxa"/>
        <w:left w:w="100" w:type="dxa"/>
        <w:bottom w:w="100" w:type="dxa"/>
        <w:right w:w="100" w:type="dxa"/>
      </w:tblCellMar>
    </w:tblPr>
  </w:style>
  <w:style w:type="table" w:customStyle="1" w:styleId="affffffff">
    <w:basedOn w:val="TableNormal0"/>
    <w:tblPr>
      <w:tblStyleRowBandSize w:val="1"/>
      <w:tblStyleColBandSize w:val="1"/>
      <w:tblCellMar>
        <w:top w:w="100" w:type="dxa"/>
        <w:left w:w="100" w:type="dxa"/>
        <w:bottom w:w="100" w:type="dxa"/>
        <w:right w:w="100" w:type="dxa"/>
      </w:tblCellMar>
    </w:tblPr>
  </w:style>
  <w:style w:type="table" w:customStyle="1" w:styleId="affffffff0">
    <w:basedOn w:val="TableNormal0"/>
    <w:tblPr>
      <w:tblStyleRowBandSize w:val="1"/>
      <w:tblStyleColBandSize w:val="1"/>
      <w:tblCellMar>
        <w:top w:w="100" w:type="dxa"/>
        <w:left w:w="100" w:type="dxa"/>
        <w:bottom w:w="100" w:type="dxa"/>
        <w:right w:w="100" w:type="dxa"/>
      </w:tblCellMar>
    </w:tblPr>
  </w:style>
  <w:style w:type="table" w:customStyle="1" w:styleId="affffffff1">
    <w:basedOn w:val="TableNormal0"/>
    <w:tblPr>
      <w:tblStyleRowBandSize w:val="1"/>
      <w:tblStyleColBandSize w:val="1"/>
      <w:tblCellMar>
        <w:top w:w="100" w:type="dxa"/>
        <w:left w:w="100" w:type="dxa"/>
        <w:bottom w:w="100" w:type="dxa"/>
        <w:right w:w="100" w:type="dxa"/>
      </w:tblCellMar>
    </w:tblPr>
  </w:style>
  <w:style w:type="table" w:customStyle="1" w:styleId="affffffff2">
    <w:basedOn w:val="TableNormal0"/>
    <w:tblPr>
      <w:tblStyleRowBandSize w:val="1"/>
      <w:tblStyleColBandSize w:val="1"/>
      <w:tblCellMar>
        <w:top w:w="100" w:type="dxa"/>
        <w:left w:w="100" w:type="dxa"/>
        <w:bottom w:w="100" w:type="dxa"/>
        <w:right w:w="100" w:type="dxa"/>
      </w:tblCellMar>
    </w:tblPr>
  </w:style>
  <w:style w:type="table" w:customStyle="1" w:styleId="affffffff3">
    <w:basedOn w:val="TableNormal0"/>
    <w:tblPr>
      <w:tblStyleRowBandSize w:val="1"/>
      <w:tblStyleColBandSize w:val="1"/>
      <w:tblCellMar>
        <w:top w:w="100" w:type="dxa"/>
        <w:left w:w="100" w:type="dxa"/>
        <w:bottom w:w="100" w:type="dxa"/>
        <w:right w:w="100" w:type="dxa"/>
      </w:tblCellMar>
    </w:tblPr>
  </w:style>
  <w:style w:type="table" w:customStyle="1" w:styleId="affffffff4">
    <w:basedOn w:val="TableNormal0"/>
    <w:tblPr>
      <w:tblStyleRowBandSize w:val="1"/>
      <w:tblStyleColBandSize w:val="1"/>
      <w:tblCellMar>
        <w:top w:w="100" w:type="dxa"/>
        <w:left w:w="100" w:type="dxa"/>
        <w:bottom w:w="100" w:type="dxa"/>
        <w:right w:w="100" w:type="dxa"/>
      </w:tblCellMar>
    </w:tblPr>
  </w:style>
  <w:style w:type="table" w:customStyle="1" w:styleId="affffffff5">
    <w:basedOn w:val="TableNormal0"/>
    <w:tblPr>
      <w:tblStyleRowBandSize w:val="1"/>
      <w:tblStyleColBandSize w:val="1"/>
      <w:tblCellMar>
        <w:top w:w="100" w:type="dxa"/>
        <w:left w:w="100" w:type="dxa"/>
        <w:bottom w:w="100" w:type="dxa"/>
        <w:right w:w="100" w:type="dxa"/>
      </w:tblCellMar>
    </w:tblPr>
  </w:style>
  <w:style w:type="table" w:customStyle="1" w:styleId="affffffff6">
    <w:basedOn w:val="TableNormal0"/>
    <w:tblPr>
      <w:tblStyleRowBandSize w:val="1"/>
      <w:tblStyleColBandSize w:val="1"/>
      <w:tblCellMar>
        <w:top w:w="100" w:type="dxa"/>
        <w:left w:w="100" w:type="dxa"/>
        <w:bottom w:w="100" w:type="dxa"/>
        <w:right w:w="100" w:type="dxa"/>
      </w:tblCellMar>
    </w:tblPr>
  </w:style>
  <w:style w:type="table" w:customStyle="1" w:styleId="affffffff7">
    <w:basedOn w:val="TableNormal0"/>
    <w:tblPr>
      <w:tblStyleRowBandSize w:val="1"/>
      <w:tblStyleColBandSize w:val="1"/>
      <w:tblCellMar>
        <w:top w:w="100" w:type="dxa"/>
        <w:left w:w="100" w:type="dxa"/>
        <w:bottom w:w="100" w:type="dxa"/>
        <w:right w:w="100" w:type="dxa"/>
      </w:tblCellMar>
    </w:tblPr>
  </w:style>
  <w:style w:type="table" w:customStyle="1" w:styleId="affffffff8">
    <w:basedOn w:val="TableNormal0"/>
    <w:tblPr>
      <w:tblStyleRowBandSize w:val="1"/>
      <w:tblStyleColBandSize w:val="1"/>
      <w:tblCellMar>
        <w:top w:w="100" w:type="dxa"/>
        <w:left w:w="100" w:type="dxa"/>
        <w:bottom w:w="100" w:type="dxa"/>
        <w:right w:w="100" w:type="dxa"/>
      </w:tblCellMar>
    </w:tblPr>
  </w:style>
  <w:style w:type="table" w:customStyle="1" w:styleId="affffffff9">
    <w:basedOn w:val="TableNormal0"/>
    <w:tblPr>
      <w:tblStyleRowBandSize w:val="1"/>
      <w:tblStyleColBandSize w:val="1"/>
      <w:tblCellMar>
        <w:top w:w="100" w:type="dxa"/>
        <w:left w:w="100" w:type="dxa"/>
        <w:bottom w:w="100" w:type="dxa"/>
        <w:right w:w="100" w:type="dxa"/>
      </w:tblCellMar>
    </w:tblPr>
  </w:style>
  <w:style w:type="table" w:customStyle="1" w:styleId="affffffffa">
    <w:basedOn w:val="TableNormal0"/>
    <w:tblPr>
      <w:tblStyleRowBandSize w:val="1"/>
      <w:tblStyleColBandSize w:val="1"/>
      <w:tblCellMar>
        <w:top w:w="100" w:type="dxa"/>
        <w:left w:w="100" w:type="dxa"/>
        <w:bottom w:w="100" w:type="dxa"/>
        <w:right w:w="100" w:type="dxa"/>
      </w:tblCellMar>
    </w:tblPr>
  </w:style>
  <w:style w:type="table" w:customStyle="1" w:styleId="affffffffb">
    <w:basedOn w:val="TableNormal0"/>
    <w:tblPr>
      <w:tblStyleRowBandSize w:val="1"/>
      <w:tblStyleColBandSize w:val="1"/>
      <w:tblCellMar>
        <w:top w:w="100" w:type="dxa"/>
        <w:left w:w="100" w:type="dxa"/>
        <w:bottom w:w="100" w:type="dxa"/>
        <w:right w:w="100" w:type="dxa"/>
      </w:tblCellMar>
    </w:tblPr>
  </w:style>
  <w:style w:type="table" w:customStyle="1" w:styleId="affffffffc">
    <w:basedOn w:val="TableNormal0"/>
    <w:tblPr>
      <w:tblStyleRowBandSize w:val="1"/>
      <w:tblStyleColBandSize w:val="1"/>
      <w:tblCellMar>
        <w:top w:w="100" w:type="dxa"/>
        <w:left w:w="100" w:type="dxa"/>
        <w:bottom w:w="100" w:type="dxa"/>
        <w:right w:w="100" w:type="dxa"/>
      </w:tblCellMar>
    </w:tblPr>
  </w:style>
  <w:style w:type="table" w:customStyle="1" w:styleId="affffffffd">
    <w:basedOn w:val="TableNormal0"/>
    <w:tblPr>
      <w:tblStyleRowBandSize w:val="1"/>
      <w:tblStyleColBandSize w:val="1"/>
      <w:tblCellMar>
        <w:top w:w="100" w:type="dxa"/>
        <w:left w:w="100" w:type="dxa"/>
        <w:bottom w:w="100" w:type="dxa"/>
        <w:right w:w="100" w:type="dxa"/>
      </w:tblCellMar>
    </w:tblPr>
  </w:style>
  <w:style w:type="table" w:customStyle="1" w:styleId="affffffffe">
    <w:basedOn w:val="TableNormal0"/>
    <w:tblPr>
      <w:tblStyleRowBandSize w:val="1"/>
      <w:tblStyleColBandSize w:val="1"/>
      <w:tblCellMar>
        <w:top w:w="100" w:type="dxa"/>
        <w:left w:w="100" w:type="dxa"/>
        <w:bottom w:w="100" w:type="dxa"/>
        <w:right w:w="100" w:type="dxa"/>
      </w:tblCellMar>
    </w:tblPr>
  </w:style>
  <w:style w:type="table" w:customStyle="1" w:styleId="afffffffff">
    <w:basedOn w:val="TableNormal0"/>
    <w:tblPr>
      <w:tblStyleRowBandSize w:val="1"/>
      <w:tblStyleColBandSize w:val="1"/>
      <w:tblCellMar>
        <w:top w:w="100" w:type="dxa"/>
        <w:left w:w="100" w:type="dxa"/>
        <w:bottom w:w="100" w:type="dxa"/>
        <w:right w:w="100" w:type="dxa"/>
      </w:tblCellMar>
    </w:tblPr>
  </w:style>
  <w:style w:type="table" w:customStyle="1" w:styleId="afffffffff0">
    <w:basedOn w:val="TableNormal0"/>
    <w:tblPr>
      <w:tblStyleRowBandSize w:val="1"/>
      <w:tblStyleColBandSize w:val="1"/>
      <w:tblCellMar>
        <w:top w:w="100" w:type="dxa"/>
        <w:left w:w="100" w:type="dxa"/>
        <w:bottom w:w="100" w:type="dxa"/>
        <w:right w:w="100" w:type="dxa"/>
      </w:tblCellMar>
    </w:tblPr>
  </w:style>
  <w:style w:type="table" w:customStyle="1" w:styleId="afffffffff1">
    <w:basedOn w:val="TableNormal0"/>
    <w:tblPr>
      <w:tblStyleRowBandSize w:val="1"/>
      <w:tblStyleColBandSize w:val="1"/>
      <w:tblCellMar>
        <w:top w:w="100" w:type="dxa"/>
        <w:left w:w="100" w:type="dxa"/>
        <w:bottom w:w="100" w:type="dxa"/>
        <w:right w:w="100" w:type="dxa"/>
      </w:tblCellMar>
    </w:tblPr>
  </w:style>
  <w:style w:type="table" w:customStyle="1" w:styleId="afffffffff2">
    <w:basedOn w:val="TableNormal0"/>
    <w:tblPr>
      <w:tblStyleRowBandSize w:val="1"/>
      <w:tblStyleColBandSize w:val="1"/>
      <w:tblCellMar>
        <w:top w:w="100" w:type="dxa"/>
        <w:left w:w="100" w:type="dxa"/>
        <w:bottom w:w="100" w:type="dxa"/>
        <w:right w:w="100" w:type="dxa"/>
      </w:tblCellMar>
    </w:tblPr>
  </w:style>
  <w:style w:type="table" w:customStyle="1" w:styleId="afffffffff3">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584%D0%B0-18" TargetMode="External"/><Relationship Id="rId21" Type="http://schemas.openxmlformats.org/officeDocument/2006/relationships/hyperlink" Target="https://zakon.rada.gov.ua/rada/show/z1415-15" TargetMode="External"/><Relationship Id="rId42" Type="http://schemas.openxmlformats.org/officeDocument/2006/relationships/hyperlink" Target="https://zakon.rada.gov.ua/rada/show/z0159-16" TargetMode="External"/><Relationship Id="rId63" Type="http://schemas.openxmlformats.org/officeDocument/2006/relationships/hyperlink" Target="https://zakon.rada.gov.ua/rada/show/3551-12" TargetMode="External"/><Relationship Id="rId84" Type="http://schemas.openxmlformats.org/officeDocument/2006/relationships/hyperlink" Target="https://zakon.rada.gov.ua/laws/show/2755-17" TargetMode="External"/><Relationship Id="rId138" Type="http://schemas.openxmlformats.org/officeDocument/2006/relationships/hyperlink" Target="https://zakon.rada.gov.ua/rada/show/2464-17" TargetMode="External"/><Relationship Id="rId159" Type="http://schemas.openxmlformats.org/officeDocument/2006/relationships/hyperlink" Target="https://zakon.rada.gov.ua/laws/show/2464-17" TargetMode="External"/><Relationship Id="rId107" Type="http://schemas.openxmlformats.org/officeDocument/2006/relationships/hyperlink" Target="https://zakon.rada.gov.ua/laws/show/851-15" TargetMode="External"/><Relationship Id="rId11" Type="http://schemas.openxmlformats.org/officeDocument/2006/relationships/hyperlink" Target="https://zakon.rada.gov.ua/rada/show/z1415-15" TargetMode="External"/><Relationship Id="rId32" Type="http://schemas.openxmlformats.org/officeDocument/2006/relationships/hyperlink" Target="https://zakon.rada.gov.ua/rada/show/2755-17" TargetMode="External"/><Relationship Id="rId53" Type="http://schemas.openxmlformats.org/officeDocument/2006/relationships/hyperlink" Target="https://zakon.rada.gov.ua/rada/show/2755-17" TargetMode="External"/><Relationship Id="rId74" Type="http://schemas.openxmlformats.org/officeDocument/2006/relationships/hyperlink" Target="https://zakon.rada.gov.ua/laws/show/584%D0%B0-18" TargetMode="External"/><Relationship Id="rId128" Type="http://schemas.openxmlformats.org/officeDocument/2006/relationships/hyperlink" Target="https://zakon.rada.gov.ua/rada/show/2755-17/ed20201014" TargetMode="External"/><Relationship Id="rId149" Type="http://schemas.openxmlformats.org/officeDocument/2006/relationships/hyperlink" Target="https://zakon.rada.gov.ua/laws/show/584%D0%B0-18" TargetMode="External"/><Relationship Id="rId5" Type="http://schemas.openxmlformats.org/officeDocument/2006/relationships/numbering" Target="numbering.xml"/><Relationship Id="rId95" Type="http://schemas.openxmlformats.org/officeDocument/2006/relationships/hyperlink" Target="https://zakon.rada.gov.ua/laws/show/2755-17" TargetMode="External"/><Relationship Id="rId160" Type="http://schemas.openxmlformats.org/officeDocument/2006/relationships/hyperlink" Target="https://zakon.rada.gov.ua/laws/show/400/97-%D0%B2%D1%80/print" TargetMode="External"/><Relationship Id="rId22" Type="http://schemas.openxmlformats.org/officeDocument/2006/relationships/hyperlink" Target="https://zakon.rada.gov.ua/rada/show/996-14" TargetMode="External"/><Relationship Id="rId43" Type="http://schemas.openxmlformats.org/officeDocument/2006/relationships/hyperlink" Target="https://zakon.rada.gov.ua/rada/show/z0159-16" TargetMode="External"/><Relationship Id="rId64" Type="http://schemas.openxmlformats.org/officeDocument/2006/relationships/hyperlink" Target="https://zakon.rada.gov.ua/rada/show/3551-12" TargetMode="External"/><Relationship Id="rId118" Type="http://schemas.openxmlformats.org/officeDocument/2006/relationships/hyperlink" Target="https://zakon.rada.gov.ua/rada/show/2755-17" TargetMode="External"/><Relationship Id="rId139" Type="http://schemas.openxmlformats.org/officeDocument/2006/relationships/hyperlink" Target="https://zakon.rada.gov.ua/rada/show/2464-17" TargetMode="External"/><Relationship Id="rId85" Type="http://schemas.openxmlformats.org/officeDocument/2006/relationships/hyperlink" Target="https://zakon.rada.gov.ua/laws/show/584%D0%B0-18" TargetMode="External"/><Relationship Id="rId150" Type="http://schemas.openxmlformats.org/officeDocument/2006/relationships/hyperlink" Target="https://zakon.rada.gov.ua/laws/show/481/95-%D0%B2%D1%80/print" TargetMode="External"/><Relationship Id="rId12" Type="http://schemas.openxmlformats.org/officeDocument/2006/relationships/hyperlink" Target="https://zakon.rada.gov.ua/rada/show/z0159-16" TargetMode="External"/><Relationship Id="rId17" Type="http://schemas.openxmlformats.org/officeDocument/2006/relationships/hyperlink" Target="https://zakon.rada.gov.ua/rada/show/2755-17" TargetMode="External"/><Relationship Id="rId33" Type="http://schemas.openxmlformats.org/officeDocument/2006/relationships/hyperlink" Target="https://zakon.rada.gov.ua/rada/show/996-14" TargetMode="External"/><Relationship Id="rId38" Type="http://schemas.openxmlformats.org/officeDocument/2006/relationships/hyperlink" Target="https://zakon.rada.gov.ua/rada/show/2755-17" TargetMode="External"/><Relationship Id="rId59" Type="http://schemas.openxmlformats.org/officeDocument/2006/relationships/hyperlink" Target="https://zakon.rada.gov.ua/rada/show/2755-17/print" TargetMode="External"/><Relationship Id="rId103" Type="http://schemas.openxmlformats.org/officeDocument/2006/relationships/hyperlink" Target="https://zakon.rada.gov.ua/laws/show/66-2016-%D0%BF" TargetMode="External"/><Relationship Id="rId108" Type="http://schemas.openxmlformats.org/officeDocument/2006/relationships/hyperlink" Target="https://zakon.rada.gov.ua/laws/show/2155-19" TargetMode="External"/><Relationship Id="rId124" Type="http://schemas.openxmlformats.org/officeDocument/2006/relationships/hyperlink" Target="https://zakon.rada.gov.ua/laws/show/2755-17/print" TargetMode="External"/><Relationship Id="rId129" Type="http://schemas.openxmlformats.org/officeDocument/2006/relationships/hyperlink" Target="https://zakon.rada.gov.ua/rada/show/2755-17/ed20201014" TargetMode="External"/><Relationship Id="rId54" Type="http://schemas.openxmlformats.org/officeDocument/2006/relationships/hyperlink" Target="https://zakon.rada.gov.ua/rada/show/2755-17" TargetMode="External"/><Relationship Id="rId70" Type="http://schemas.openxmlformats.org/officeDocument/2006/relationships/hyperlink" Target="https://zakon.rada.gov.ua/laws/show/2755-17" TargetMode="External"/><Relationship Id="rId75" Type="http://schemas.openxmlformats.org/officeDocument/2006/relationships/hyperlink" Target="https://zakon.rada.gov.ua/laws/show/584%D0%B0-18" TargetMode="External"/><Relationship Id="rId91" Type="http://schemas.openxmlformats.org/officeDocument/2006/relationships/hyperlink" Target="https://zakon.rada.gov.ua/laws/show/584%D0%B0-18" TargetMode="External"/><Relationship Id="rId96" Type="http://schemas.openxmlformats.org/officeDocument/2006/relationships/hyperlink" Target="https://zakon.rada.gov.ua/laws/show/2755-17" TargetMode="External"/><Relationship Id="rId140" Type="http://schemas.openxmlformats.org/officeDocument/2006/relationships/hyperlink" Target="https://zakon.rada.gov.ua/rada/show/2464-17" TargetMode="External"/><Relationship Id="rId145" Type="http://schemas.openxmlformats.org/officeDocument/2006/relationships/hyperlink" Target="https://zakon.rada.gov.ua/rada/show/2464-17?find=1&amp;text=%D1%81%D0%BF%D0%B8%D1%81%D0%B0%D0%BD%D0%BD%D1%8F+" TargetMode="External"/><Relationship Id="rId161" Type="http://schemas.openxmlformats.org/officeDocument/2006/relationships/hyperlink" Target="https://zakon.rada.gov.ua/laws/show/400/97-%D0%B2%D1%80/prin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zakon.rada.gov.ua/rada/show/2755-17" TargetMode="External"/><Relationship Id="rId28" Type="http://schemas.openxmlformats.org/officeDocument/2006/relationships/hyperlink" Target="https://zakon.rada.gov.ua/rada/show/185-16" TargetMode="External"/><Relationship Id="rId49" Type="http://schemas.openxmlformats.org/officeDocument/2006/relationships/hyperlink" Target="https://zakon.rada.gov.ua/laws/show/840_005-17" TargetMode="External"/><Relationship Id="rId114" Type="http://schemas.openxmlformats.org/officeDocument/2006/relationships/hyperlink" Target="https://zakon.rada.gov.ua/laws/show/584%D0%B0-18" TargetMode="External"/><Relationship Id="rId119" Type="http://schemas.openxmlformats.org/officeDocument/2006/relationships/hyperlink" Target="https://zakon.rada.gov.ua/rada/show/2755-17" TargetMode="External"/><Relationship Id="rId44" Type="http://schemas.openxmlformats.org/officeDocument/2006/relationships/hyperlink" Target="https://zakon.rada.gov.ua/rada/show/z0159-16" TargetMode="External"/><Relationship Id="rId60" Type="http://schemas.openxmlformats.org/officeDocument/2006/relationships/hyperlink" Target="https://zakon.rada.gov.ua/rada/show/2456-17" TargetMode="External"/><Relationship Id="rId65" Type="http://schemas.openxmlformats.org/officeDocument/2006/relationships/hyperlink" Target="https://zakon.rada.gov.ua/rada/main/2755-17" TargetMode="External"/><Relationship Id="rId81" Type="http://schemas.openxmlformats.org/officeDocument/2006/relationships/hyperlink" Target="https://zakon.rada.gov.ua/laws/show/2755-17" TargetMode="External"/><Relationship Id="rId86" Type="http://schemas.openxmlformats.org/officeDocument/2006/relationships/hyperlink" Target="https://zakon.rada.gov.ua/laws/show/584%D0%B0-18" TargetMode="External"/><Relationship Id="rId130" Type="http://schemas.openxmlformats.org/officeDocument/2006/relationships/hyperlink" Target="https://zakon.rada.gov.ua/rada/show/2755-17/ed20201014" TargetMode="External"/><Relationship Id="rId135" Type="http://schemas.openxmlformats.org/officeDocument/2006/relationships/hyperlink" Target="https://zakon.rada.gov.ua/rada/show/2464-17" TargetMode="External"/><Relationship Id="rId151" Type="http://schemas.openxmlformats.org/officeDocument/2006/relationships/hyperlink" Target="https://zakon.rada.gov.ua/laws/show/584%D0%B0-18" TargetMode="External"/><Relationship Id="rId156" Type="http://schemas.openxmlformats.org/officeDocument/2006/relationships/hyperlink" Target="https://zakon.rada.gov.ua/laws/show/2464-17" TargetMode="External"/><Relationship Id="rId13" Type="http://schemas.openxmlformats.org/officeDocument/2006/relationships/hyperlink" Target="https://zakon.rada.gov.ua/rada/show/z1415-15" TargetMode="External"/><Relationship Id="rId18" Type="http://schemas.openxmlformats.org/officeDocument/2006/relationships/hyperlink" Target="https://zakon.rada.gov.ua/rada/show/996-14" TargetMode="External"/><Relationship Id="rId39" Type="http://schemas.openxmlformats.org/officeDocument/2006/relationships/hyperlink" Target="https://zakon.rada.gov.ua/rada/show/z0159-16" TargetMode="External"/><Relationship Id="rId109" Type="http://schemas.openxmlformats.org/officeDocument/2006/relationships/hyperlink" Target="https://zakon.rada.gov.ua/laws/show/2155-19" TargetMode="External"/><Relationship Id="rId34" Type="http://schemas.openxmlformats.org/officeDocument/2006/relationships/hyperlink" Target="https://zakon.rada.gov.ua/rada/show/z0159-16" TargetMode="External"/><Relationship Id="rId50" Type="http://schemas.openxmlformats.org/officeDocument/2006/relationships/hyperlink" Target="https://zakon.rada.gov.ua/laws/show/840_005-17" TargetMode="External"/><Relationship Id="rId55" Type="http://schemas.openxmlformats.org/officeDocument/2006/relationships/hyperlink" Target="https://zakon.rada.gov.ua/rada/show/2755-17" TargetMode="External"/><Relationship Id="rId76" Type="http://schemas.openxmlformats.org/officeDocument/2006/relationships/hyperlink" Target="https://zakon.rada.gov.ua/laws/show/584%D0%B0-18" TargetMode="External"/><Relationship Id="rId97" Type="http://schemas.openxmlformats.org/officeDocument/2006/relationships/hyperlink" Target="https://zakon.rada.gov.ua/laws/show/va507565-00" TargetMode="External"/><Relationship Id="rId104" Type="http://schemas.openxmlformats.org/officeDocument/2006/relationships/hyperlink" Target="https://zakon.rada.gov.ua/laws/show/66-2016-%D0%BF" TargetMode="External"/><Relationship Id="rId120" Type="http://schemas.openxmlformats.org/officeDocument/2006/relationships/hyperlink" Target="https://zakon.rada.gov.ua/rada/show/2755-17" TargetMode="External"/><Relationship Id="rId125" Type="http://schemas.openxmlformats.org/officeDocument/2006/relationships/hyperlink" Target="https://zakon.rada.gov.ua/rada/show/2755-17/ed20201014" TargetMode="External"/><Relationship Id="rId141" Type="http://schemas.openxmlformats.org/officeDocument/2006/relationships/hyperlink" Target="https://zakon.rada.gov.ua/rada/show/2464-17" TargetMode="External"/><Relationship Id="rId146" Type="http://schemas.openxmlformats.org/officeDocument/2006/relationships/hyperlink" Target="https://zakon.rada.gov.ua/rada/show/481/95-%D0%B2%D1%80/ed20210101" TargetMode="External"/><Relationship Id="rId7" Type="http://schemas.openxmlformats.org/officeDocument/2006/relationships/settings" Target="settings.xml"/><Relationship Id="rId71" Type="http://schemas.openxmlformats.org/officeDocument/2006/relationships/hyperlink" Target="https://zakon.rada.gov.ua/laws/show/584%D0%B0-18" TargetMode="External"/><Relationship Id="rId92" Type="http://schemas.openxmlformats.org/officeDocument/2006/relationships/hyperlink" Target="https://zakon.rada.gov.ua/laws/show/584%D0%B0-18" TargetMode="External"/><Relationship Id="rId16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zakon.rada.gov.ua/rada/show/2755-17" TargetMode="External"/><Relationship Id="rId24" Type="http://schemas.openxmlformats.org/officeDocument/2006/relationships/hyperlink" Target="https://zakon.rada.gov.ua/rada/show/z0159-16" TargetMode="External"/><Relationship Id="rId40" Type="http://schemas.openxmlformats.org/officeDocument/2006/relationships/hyperlink" Target="https://zakon.rada.gov.ua/rada/show/2755-17" TargetMode="External"/><Relationship Id="rId45" Type="http://schemas.openxmlformats.org/officeDocument/2006/relationships/hyperlink" Target="https://zakon.rada.gov.ua/rada/show/2755-17" TargetMode="External"/><Relationship Id="rId66" Type="http://schemas.openxmlformats.org/officeDocument/2006/relationships/hyperlink" Target="https://zakon.rada.gov.ua/rada/main/2755-17" TargetMode="External"/><Relationship Id="rId87" Type="http://schemas.openxmlformats.org/officeDocument/2006/relationships/hyperlink" Target="https://zakon.rada.gov.ua/laws/show/2371%D0%B0-14" TargetMode="External"/><Relationship Id="rId110" Type="http://schemas.openxmlformats.org/officeDocument/2006/relationships/hyperlink" Target="https://zakon.rada.gov.ua/laws/show/584%D0%B0-18" TargetMode="External"/><Relationship Id="rId115" Type="http://schemas.openxmlformats.org/officeDocument/2006/relationships/hyperlink" Target="https://zakon.rada.gov.ua/laws/show/584%D0%B0-18" TargetMode="External"/><Relationship Id="rId131" Type="http://schemas.openxmlformats.org/officeDocument/2006/relationships/hyperlink" Target="https://zakon.rada.gov.ua/rada/show/2755-17/ed20201014" TargetMode="External"/><Relationship Id="rId136" Type="http://schemas.openxmlformats.org/officeDocument/2006/relationships/hyperlink" Target="https://zakon.rada.gov.ua/rada/show/2464-17" TargetMode="External"/><Relationship Id="rId157" Type="http://schemas.openxmlformats.org/officeDocument/2006/relationships/hyperlink" Target="https://zakon.rada.gov.ua/laws/show/2464-17" TargetMode="External"/><Relationship Id="rId61" Type="http://schemas.openxmlformats.org/officeDocument/2006/relationships/hyperlink" Target="https://zakon.rada.gov.ua/rada/show/2456-17" TargetMode="External"/><Relationship Id="rId82" Type="http://schemas.openxmlformats.org/officeDocument/2006/relationships/hyperlink" Target="https://zakon.rada.gov.ua/laws/show/2755-17" TargetMode="External"/><Relationship Id="rId152" Type="http://schemas.openxmlformats.org/officeDocument/2006/relationships/hyperlink" Target="https://zakon.rada.gov.ua/rada/show/2755-17" TargetMode="External"/><Relationship Id="rId19" Type="http://schemas.openxmlformats.org/officeDocument/2006/relationships/hyperlink" Target="https://zakon.rada.gov.ua/rada/show/z0159-16" TargetMode="External"/><Relationship Id="rId14" Type="http://schemas.openxmlformats.org/officeDocument/2006/relationships/hyperlink" Target="https://zakon.rada.gov.ua/rada/show/z0159-16" TargetMode="External"/><Relationship Id="rId30" Type="http://schemas.openxmlformats.org/officeDocument/2006/relationships/hyperlink" Target="https://zakon.rada.gov.ua/rada/show/996-14" TargetMode="External"/><Relationship Id="rId35" Type="http://schemas.openxmlformats.org/officeDocument/2006/relationships/hyperlink" Target="https://zakon.rada.gov.ua/rada/show/2755-17" TargetMode="External"/><Relationship Id="rId56" Type="http://schemas.openxmlformats.org/officeDocument/2006/relationships/hyperlink" Target="https://zakon.rada.gov.ua/rada/show/2755-17" TargetMode="External"/><Relationship Id="rId77" Type="http://schemas.openxmlformats.org/officeDocument/2006/relationships/hyperlink" Target="https://zakon.rada.gov.ua/rada/show/584%D0%B1-18" TargetMode="External"/><Relationship Id="rId100" Type="http://schemas.openxmlformats.org/officeDocument/2006/relationships/hyperlink" Target="https://zakon.rada.gov.ua/laws/show/vb457609-10" TargetMode="External"/><Relationship Id="rId105" Type="http://schemas.openxmlformats.org/officeDocument/2006/relationships/hyperlink" Target="https://zakon.rada.gov.ua/laws/show/584%D0%B1-18" TargetMode="External"/><Relationship Id="rId126" Type="http://schemas.openxmlformats.org/officeDocument/2006/relationships/hyperlink" Target="https://zakon.rada.gov.ua/rada/show/2755-17/ed20201014" TargetMode="External"/><Relationship Id="rId147" Type="http://schemas.openxmlformats.org/officeDocument/2006/relationships/hyperlink" Target="https://zakon.rada.gov.ua/rada/show/481/95-%D0%B2%D1%80/ed20210101" TargetMode="External"/><Relationship Id="rId8" Type="http://schemas.openxmlformats.org/officeDocument/2006/relationships/webSettings" Target="webSettings.xml"/><Relationship Id="rId51" Type="http://schemas.openxmlformats.org/officeDocument/2006/relationships/hyperlink" Target="https://zakon.rada.gov.ua/laws/show/435-15" TargetMode="External"/><Relationship Id="rId72" Type="http://schemas.openxmlformats.org/officeDocument/2006/relationships/hyperlink" Target="https://zakon.rada.gov.ua/laws/show/584%D0%B0-18" TargetMode="External"/><Relationship Id="rId93" Type="http://schemas.openxmlformats.org/officeDocument/2006/relationships/hyperlink" Target="https://zakon.rada.gov.ua/laws/show/584%D0%B0-18" TargetMode="External"/><Relationship Id="rId98" Type="http://schemas.openxmlformats.org/officeDocument/2006/relationships/hyperlink" Target="https://zakon.rada.gov.ua/laws/show/vb457609-10" TargetMode="External"/><Relationship Id="rId121" Type="http://schemas.openxmlformats.org/officeDocument/2006/relationships/hyperlink" Target="https://zakon.rada.gov.ua/rada/show/2755-17" TargetMode="External"/><Relationship Id="rId142" Type="http://schemas.openxmlformats.org/officeDocument/2006/relationships/hyperlink" Target="https://zakon.rada.gov.ua/rada/show/2464-17" TargetMode="External"/><Relationship Id="rId163"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https://zakon.rada.gov.ua/rada/show/2755-17" TargetMode="External"/><Relationship Id="rId46" Type="http://schemas.openxmlformats.org/officeDocument/2006/relationships/hyperlink" Target="https://zakon.rada.gov.ua/rada/show/2755-17" TargetMode="External"/><Relationship Id="rId67" Type="http://schemas.openxmlformats.org/officeDocument/2006/relationships/hyperlink" Target="https://zakon.rada.gov.ua/rada/show/3551-12" TargetMode="External"/><Relationship Id="rId116" Type="http://schemas.openxmlformats.org/officeDocument/2006/relationships/hyperlink" Target="https://zakon.rada.gov.ua/laws/show/584%D0%B0-18" TargetMode="External"/><Relationship Id="rId137" Type="http://schemas.openxmlformats.org/officeDocument/2006/relationships/hyperlink" Target="https://zakon.rada.gov.ua/rada/show/2464-17" TargetMode="External"/><Relationship Id="rId158" Type="http://schemas.openxmlformats.org/officeDocument/2006/relationships/hyperlink" Target="https://zakon.rada.gov.ua/laws/show/2464-17" TargetMode="External"/><Relationship Id="rId20" Type="http://schemas.openxmlformats.org/officeDocument/2006/relationships/hyperlink" Target="https://zakon.rada.gov.ua/rada/show/2755-17" TargetMode="External"/><Relationship Id="rId41" Type="http://schemas.openxmlformats.org/officeDocument/2006/relationships/hyperlink" Target="https://zakon.rada.gov.ua/rada/show/2755-17" TargetMode="External"/><Relationship Id="rId62" Type="http://schemas.openxmlformats.org/officeDocument/2006/relationships/hyperlink" Target="https://zakon.rada.gov.ua/rada/show/2456-17" TargetMode="External"/><Relationship Id="rId83" Type="http://schemas.openxmlformats.org/officeDocument/2006/relationships/hyperlink" Target="https://zakon.rada.gov.ua/laws/show/2755-17" TargetMode="External"/><Relationship Id="rId88" Type="http://schemas.openxmlformats.org/officeDocument/2006/relationships/hyperlink" Target="https://zakon.rada.gov.ua/laws/show/2371%D0%B0-14" TargetMode="External"/><Relationship Id="rId111" Type="http://schemas.openxmlformats.org/officeDocument/2006/relationships/hyperlink" Target="https://zakon.rada.gov.ua/laws/show/584%D0%B0-18" TargetMode="External"/><Relationship Id="rId132" Type="http://schemas.openxmlformats.org/officeDocument/2006/relationships/hyperlink" Target="https://zakon.rada.gov.ua/rada/show/2755-17" TargetMode="External"/><Relationship Id="rId153" Type="http://schemas.openxmlformats.org/officeDocument/2006/relationships/hyperlink" Target="https://zakon.rada.gov.ua/rada/show/2755-17" TargetMode="External"/><Relationship Id="rId15" Type="http://schemas.openxmlformats.org/officeDocument/2006/relationships/hyperlink" Target="https://zakon.rada.gov.ua/rada/show/996-14" TargetMode="External"/><Relationship Id="rId36" Type="http://schemas.openxmlformats.org/officeDocument/2006/relationships/hyperlink" Target="https://zakon.rada.gov.ua/rada/show/z1415-15" TargetMode="External"/><Relationship Id="rId57" Type="http://schemas.openxmlformats.org/officeDocument/2006/relationships/hyperlink" Target="https://zakon.rada.gov.ua/laws/show/2755-17?find=1&amp;text=165" TargetMode="External"/><Relationship Id="rId106" Type="http://schemas.openxmlformats.org/officeDocument/2006/relationships/hyperlink" Target="https://zakon.rada.gov.ua/laws/show/851-15" TargetMode="External"/><Relationship Id="rId127" Type="http://schemas.openxmlformats.org/officeDocument/2006/relationships/hyperlink" Target="https://zakon.rada.gov.ua/rada/show/2755-17/ed20201014" TargetMode="External"/><Relationship Id="rId10" Type="http://schemas.openxmlformats.org/officeDocument/2006/relationships/endnotes" Target="endnotes.xml"/><Relationship Id="rId31" Type="http://schemas.openxmlformats.org/officeDocument/2006/relationships/hyperlink" Target="https://zakon.rada.gov.ua/rada/show/z0159-16" TargetMode="External"/><Relationship Id="rId52" Type="http://schemas.openxmlformats.org/officeDocument/2006/relationships/hyperlink" Target="https://zakon.rada.gov.ua/laws/show/435-15" TargetMode="External"/><Relationship Id="rId73" Type="http://schemas.openxmlformats.org/officeDocument/2006/relationships/hyperlink" Target="https://zakon.rada.gov.ua/laws/show/584%D0%B0-18" TargetMode="External"/><Relationship Id="rId78" Type="http://schemas.openxmlformats.org/officeDocument/2006/relationships/hyperlink" Target="https://zakon.rada.gov.ua/rada/show/584%D0%B1-18" TargetMode="External"/><Relationship Id="rId94" Type="http://schemas.openxmlformats.org/officeDocument/2006/relationships/hyperlink" Target="https://zakon.rada.gov.ua/laws/show/584%D0%B0-18" TargetMode="External"/><Relationship Id="rId99" Type="http://schemas.openxmlformats.org/officeDocument/2006/relationships/hyperlink" Target="https://zakon.rada.gov.ua/laws/show/va507565-00" TargetMode="External"/><Relationship Id="rId101" Type="http://schemas.openxmlformats.org/officeDocument/2006/relationships/hyperlink" Target="https://zakon.rada.gov.ua/laws/show/va507565-00" TargetMode="External"/><Relationship Id="rId122" Type="http://schemas.openxmlformats.org/officeDocument/2006/relationships/hyperlink" Target="https://zakon.rada.gov.ua/rada/show/2755-17" TargetMode="External"/><Relationship Id="rId143" Type="http://schemas.openxmlformats.org/officeDocument/2006/relationships/hyperlink" Target="https://zakon.rada.gov.ua/rada/show/2464-17?find=1&amp;text=%D1%81%D0%BF%D0%B8%D1%81%D0%B0%D0%BD%D0%BD%D1%8F+" TargetMode="External"/><Relationship Id="rId148" Type="http://schemas.openxmlformats.org/officeDocument/2006/relationships/hyperlink" Target="https://zakon.rada.gov.ua/laws/show/481/95-%D0%B2%D1%80/print" TargetMode="External"/><Relationship Id="rId16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zakon.rada.gov.ua/rada/show/2755-17" TargetMode="External"/><Relationship Id="rId47" Type="http://schemas.openxmlformats.org/officeDocument/2006/relationships/hyperlink" Target="https://zakon.rada.gov.ua/rada/show/2755-17" TargetMode="External"/><Relationship Id="rId68" Type="http://schemas.openxmlformats.org/officeDocument/2006/relationships/hyperlink" Target="https://zakon.rada.gov.ua/rada/show/3551-12" TargetMode="External"/><Relationship Id="rId89" Type="http://schemas.openxmlformats.org/officeDocument/2006/relationships/hyperlink" Target="https://zakon.rada.gov.ua/laws/show/584%D0%B0-18" TargetMode="External"/><Relationship Id="rId112" Type="http://schemas.openxmlformats.org/officeDocument/2006/relationships/hyperlink" Target="https://zakon.rada.gov.ua/laws/show/584%D0%B0-18" TargetMode="External"/><Relationship Id="rId133" Type="http://schemas.openxmlformats.org/officeDocument/2006/relationships/hyperlink" Target="https://zakon.rada.gov.ua/rada/show/2755-17" TargetMode="External"/><Relationship Id="rId154" Type="http://schemas.openxmlformats.org/officeDocument/2006/relationships/hyperlink" Target="https://zakon.rada.gov.ua/rada/show/2755-17" TargetMode="External"/><Relationship Id="rId16" Type="http://schemas.openxmlformats.org/officeDocument/2006/relationships/hyperlink" Target="https://zakon.rada.gov.ua/rada/show/z0159-16" TargetMode="External"/><Relationship Id="rId37" Type="http://schemas.openxmlformats.org/officeDocument/2006/relationships/hyperlink" Target="https://zakon.rada.gov.ua/rada/show/996-14" TargetMode="External"/><Relationship Id="rId58" Type="http://schemas.openxmlformats.org/officeDocument/2006/relationships/hyperlink" Target="https://zakon.rada.gov.ua/laws/show/2755-17?find=1&amp;text=165" TargetMode="External"/><Relationship Id="rId79" Type="http://schemas.openxmlformats.org/officeDocument/2006/relationships/hyperlink" Target="https://zakon.rada.gov.ua/laws/show/2755-17" TargetMode="External"/><Relationship Id="rId102" Type="http://schemas.openxmlformats.org/officeDocument/2006/relationships/hyperlink" Target="https://zakon.rada.gov.ua/laws/show/va507565-00" TargetMode="External"/><Relationship Id="rId123" Type="http://schemas.openxmlformats.org/officeDocument/2006/relationships/hyperlink" Target="https://zakon.rada.gov.ua/laws/show/2755-17/print" TargetMode="External"/><Relationship Id="rId144" Type="http://schemas.openxmlformats.org/officeDocument/2006/relationships/hyperlink" Target="https://zakon.rada.gov.ua/rada/show/2464-17?find=1&amp;text=%D1%81%D0%BF%D0%B8%D1%81%D0%B0%D0%BD%D0%BD%D1%8F+" TargetMode="External"/><Relationship Id="rId90" Type="http://schemas.openxmlformats.org/officeDocument/2006/relationships/hyperlink" Target="https://zakon.rada.gov.ua/laws/show/584%D0%B0-18" TargetMode="External"/><Relationship Id="rId27" Type="http://schemas.openxmlformats.org/officeDocument/2006/relationships/hyperlink" Target="https://zakon.rada.gov.ua/rada/show/z0159-16" TargetMode="External"/><Relationship Id="rId48" Type="http://schemas.openxmlformats.org/officeDocument/2006/relationships/hyperlink" Target="https://zakon.rada.gov.ua/rada/show/2755-17" TargetMode="External"/><Relationship Id="rId69" Type="http://schemas.openxmlformats.org/officeDocument/2006/relationships/hyperlink" Target="https://zakon.rada.gov.ua/laws/show/2755-17" TargetMode="External"/><Relationship Id="rId113" Type="http://schemas.openxmlformats.org/officeDocument/2006/relationships/hyperlink" Target="https://zakon.rada.gov.ua/laws/show/584%D0%B0-18" TargetMode="External"/><Relationship Id="rId134" Type="http://schemas.openxmlformats.org/officeDocument/2006/relationships/hyperlink" Target="https://zakon.rada.gov.ua/rada/show/2755-17/ed20201014" TargetMode="External"/><Relationship Id="rId80" Type="http://schemas.openxmlformats.org/officeDocument/2006/relationships/hyperlink" Target="https://zakon.rada.gov.ua/laws/show/2755-17" TargetMode="External"/><Relationship Id="rId155" Type="http://schemas.openxmlformats.org/officeDocument/2006/relationships/hyperlink" Target="https://zakon.rada.gov.ua/rada/show/2755-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B6A+ILlaTnztFjK9bhs1Fmjx4g==">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</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E6841A5-A182-4244-A018-85DEF7F35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140B31-E584-449C-8811-FDEA2854F6DF}">
  <ds:schemaRefs>
    <ds:schemaRef ds:uri="http://schemas.microsoft.com/sharepoint/v3/contenttype/forms"/>
  </ds:schemaRefs>
</ds:datastoreItem>
</file>

<file path=customXml/itemProps4.xml><?xml version="1.0" encoding="utf-8"?>
<ds:datastoreItem xmlns:ds="http://schemas.openxmlformats.org/officeDocument/2006/customXml" ds:itemID="{62E2778F-4B3C-4234-8EFD-031162264B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233</Pages>
  <Words>269743</Words>
  <Characters>153754</Characters>
  <Application>Microsoft Office Word</Application>
  <DocSecurity>0</DocSecurity>
  <Lines>1281</Lines>
  <Paragraphs>845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2020-11-11T10:01:00Z</dcterms:created>
  <dcterms:modified xsi:type="dcterms:W3CDTF">2020-11-11T10:01:00Z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