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B65DF" w14:textId="77777777" w:rsidR="00151DEF" w:rsidRDefault="00151DEF" w:rsidP="00151DEF">
      <w:pPr>
        <w:spacing w:line="276" w:lineRule="auto"/>
        <w:ind w:firstLine="709"/>
        <w:contextualSpacing/>
        <w:jc w:val="center"/>
        <w:rPr>
          <w:rFonts w:ascii="TimesNewRomanPS" w:hAnsi="TimesNewRomanPS"/>
          <w:b/>
          <w:bCs/>
          <w:sz w:val="28"/>
          <w:szCs w:val="28"/>
        </w:rPr>
      </w:pPr>
      <w:bookmarkStart w:id="0" w:name="_GoBack"/>
      <w:bookmarkEnd w:id="0"/>
    </w:p>
    <w:p w14:paraId="30CD93A6" w14:textId="72DE2AE8" w:rsidR="00151DEF" w:rsidRDefault="00151DEF" w:rsidP="0038354F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NewRomanPS" w:hAnsi="TimesNewRomanPS"/>
          <w:b/>
          <w:bCs/>
          <w:sz w:val="28"/>
          <w:szCs w:val="28"/>
        </w:rPr>
        <w:t>Фінансово-економічне обґрунтування</w:t>
      </w:r>
      <w:r>
        <w:rPr>
          <w:rFonts w:ascii="TimesNewRomanPS" w:hAnsi="TimesNewRomanPS"/>
          <w:b/>
          <w:bCs/>
          <w:sz w:val="28"/>
          <w:szCs w:val="28"/>
        </w:rPr>
        <w:br/>
        <w:t xml:space="preserve">до проекту </w:t>
      </w:r>
      <w:r w:rsidRPr="00151DE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Закону України </w:t>
      </w:r>
    </w:p>
    <w:p w14:paraId="2EC485BF" w14:textId="5A2AA375" w:rsidR="00151DEF" w:rsidRDefault="00151DEF" w:rsidP="0038354F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«Про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внесення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змін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до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Податкового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кодексу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щодо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порядку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зарахування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податку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на доходи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фізичних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осіб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у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зв’язку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із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завершенням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реформи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децентралізації</w:t>
      </w:r>
      <w:proofErr w:type="spellEnd"/>
      <w:r w:rsidRPr="00151DE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»</w:t>
      </w:r>
    </w:p>
    <w:p w14:paraId="1960F4E1" w14:textId="77777777" w:rsidR="00151DEF" w:rsidRPr="00151DEF" w:rsidRDefault="00151DEF" w:rsidP="0038354F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55387B47" w14:textId="0E7BA11D" w:rsidR="00151DEF" w:rsidRP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1DEF">
        <w:rPr>
          <w:rFonts w:ascii="Times New Roman" w:hAnsi="Times New Roman" w:cs="Times New Roman"/>
          <w:b/>
          <w:bCs/>
          <w:sz w:val="28"/>
          <w:szCs w:val="28"/>
        </w:rPr>
        <w:t>Аналіз проблеми</w:t>
      </w:r>
    </w:p>
    <w:p w14:paraId="6CBD3760" w14:textId="65797C0F" w:rsidR="00151DEF" w:rsidRP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>Для оцінки масштабу проблеми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51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</w:t>
      </w:r>
      <w:r w:rsidRPr="00151DEF">
        <w:rPr>
          <w:rFonts w:ascii="Times New Roman" w:hAnsi="Times New Roman" w:cs="Times New Roman"/>
          <w:sz w:val="28"/>
          <w:szCs w:val="28"/>
        </w:rPr>
        <w:t xml:space="preserve">’язаної з несправедливим і застарілим методом алокації доходів від </w:t>
      </w:r>
      <w:r>
        <w:rPr>
          <w:rFonts w:ascii="Times New Roman" w:hAnsi="Times New Roman" w:cs="Times New Roman"/>
          <w:sz w:val="28"/>
          <w:szCs w:val="28"/>
        </w:rPr>
        <w:t xml:space="preserve">податку на доходи фізичних осіб (далі – ПДФО) </w:t>
      </w:r>
      <w:r w:rsidRPr="00151DEF">
        <w:rPr>
          <w:rFonts w:ascii="Times New Roman" w:hAnsi="Times New Roman" w:cs="Times New Roman"/>
          <w:sz w:val="28"/>
          <w:szCs w:val="28"/>
        </w:rPr>
        <w:t>в місцеві бюджети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51DEF">
        <w:rPr>
          <w:rFonts w:ascii="Times New Roman" w:hAnsi="Times New Roman" w:cs="Times New Roman"/>
          <w:sz w:val="28"/>
          <w:szCs w:val="28"/>
        </w:rPr>
        <w:t xml:space="preserve"> був проведений додатковий аналіз на базі </w:t>
      </w:r>
      <w:r>
        <w:rPr>
          <w:rFonts w:ascii="Times New Roman" w:hAnsi="Times New Roman" w:cs="Times New Roman"/>
          <w:sz w:val="28"/>
          <w:szCs w:val="28"/>
        </w:rPr>
        <w:t>десяти об’єднаних територіальних громад</w:t>
      </w:r>
      <w:r w:rsidRPr="00151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51DEF">
        <w:rPr>
          <w:rFonts w:ascii="Times New Roman" w:hAnsi="Times New Roman" w:cs="Times New Roman"/>
          <w:sz w:val="28"/>
          <w:szCs w:val="28"/>
        </w:rPr>
        <w:t xml:space="preserve"> Львівській</w:t>
      </w:r>
      <w:r>
        <w:rPr>
          <w:rFonts w:ascii="Times New Roman" w:hAnsi="Times New Roman" w:cs="Times New Roman"/>
          <w:sz w:val="28"/>
          <w:szCs w:val="28"/>
        </w:rPr>
        <w:t xml:space="preserve"> області</w:t>
      </w:r>
      <w:r w:rsidRPr="00151DEF">
        <w:rPr>
          <w:rFonts w:ascii="Times New Roman" w:hAnsi="Times New Roman" w:cs="Times New Roman"/>
          <w:sz w:val="28"/>
          <w:szCs w:val="28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>десяти</w:t>
      </w:r>
      <w:r w:rsidRPr="00151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об’єднаних територіальних громад</w:t>
      </w:r>
      <w:r w:rsidRPr="00151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151DEF">
        <w:rPr>
          <w:rFonts w:ascii="Times New Roman" w:hAnsi="Times New Roman" w:cs="Times New Roman"/>
          <w:sz w:val="28"/>
          <w:szCs w:val="28"/>
        </w:rPr>
        <w:t>Вінницькій облас</w:t>
      </w:r>
      <w:r>
        <w:rPr>
          <w:rFonts w:ascii="Times New Roman" w:hAnsi="Times New Roman" w:cs="Times New Roman"/>
          <w:sz w:val="28"/>
          <w:szCs w:val="28"/>
        </w:rPr>
        <w:t>ті</w:t>
      </w:r>
      <w:r w:rsidRPr="00151DE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2025B15" w14:textId="5B2E19CF" w:rsidR="00151DEF" w:rsidRP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 xml:space="preserve">Вибір областей випадковий </w:t>
      </w:r>
      <w:r w:rsidR="00DF19F9">
        <w:rPr>
          <w:rFonts w:ascii="Times New Roman" w:hAnsi="Times New Roman" w:cs="Times New Roman"/>
          <w:sz w:val="28"/>
          <w:szCs w:val="28"/>
        </w:rPr>
        <w:t xml:space="preserve">і </w:t>
      </w:r>
      <w:r w:rsidRPr="00151DEF">
        <w:rPr>
          <w:rFonts w:ascii="Times New Roman" w:hAnsi="Times New Roman" w:cs="Times New Roman"/>
          <w:sz w:val="28"/>
          <w:szCs w:val="28"/>
        </w:rPr>
        <w:t>в основному</w:t>
      </w:r>
      <w:r w:rsidR="00DF19F9">
        <w:rPr>
          <w:rFonts w:ascii="Times New Roman" w:hAnsi="Times New Roman" w:cs="Times New Roman"/>
          <w:sz w:val="28"/>
          <w:szCs w:val="28"/>
        </w:rPr>
        <w:t xml:space="preserve"> </w:t>
      </w:r>
      <w:r w:rsidRPr="00151DEF">
        <w:rPr>
          <w:rFonts w:ascii="Times New Roman" w:hAnsi="Times New Roman" w:cs="Times New Roman"/>
          <w:sz w:val="28"/>
          <w:szCs w:val="28"/>
        </w:rPr>
        <w:t xml:space="preserve">зумовлений відкритістю </w:t>
      </w:r>
      <w:r w:rsidR="00056A59">
        <w:rPr>
          <w:rFonts w:ascii="Times New Roman" w:hAnsi="Times New Roman" w:cs="Times New Roman"/>
          <w:sz w:val="28"/>
          <w:szCs w:val="28"/>
        </w:rPr>
        <w:t xml:space="preserve">та </w:t>
      </w:r>
      <w:r w:rsidRPr="00151DEF">
        <w:rPr>
          <w:rFonts w:ascii="Times New Roman" w:hAnsi="Times New Roman" w:cs="Times New Roman"/>
          <w:sz w:val="28"/>
          <w:szCs w:val="28"/>
        </w:rPr>
        <w:t xml:space="preserve">доступністю необхідних даних для аналізу. </w:t>
      </w:r>
      <w:r>
        <w:rPr>
          <w:rFonts w:ascii="Times New Roman" w:hAnsi="Times New Roman" w:cs="Times New Roman"/>
          <w:sz w:val="28"/>
          <w:szCs w:val="28"/>
        </w:rPr>
        <w:t>Розгля</w:t>
      </w:r>
      <w:r w:rsidR="005E58B0">
        <w:rPr>
          <w:rFonts w:ascii="Times New Roman" w:hAnsi="Times New Roman" w:cs="Times New Roman"/>
          <w:sz w:val="28"/>
          <w:szCs w:val="28"/>
        </w:rPr>
        <w:t>нуті</w:t>
      </w:r>
      <w:r>
        <w:rPr>
          <w:rFonts w:ascii="Times New Roman" w:hAnsi="Times New Roman" w:cs="Times New Roman"/>
          <w:sz w:val="28"/>
          <w:szCs w:val="28"/>
        </w:rPr>
        <w:t xml:space="preserve"> об’єднані територіальні громади (далі – ОТГ) у</w:t>
      </w:r>
      <w:r w:rsidRPr="00151DEF">
        <w:rPr>
          <w:rFonts w:ascii="Times New Roman" w:hAnsi="Times New Roman" w:cs="Times New Roman"/>
          <w:sz w:val="28"/>
          <w:szCs w:val="28"/>
        </w:rPr>
        <w:t xml:space="preserve"> кожній області репрезенту</w:t>
      </w:r>
      <w:r>
        <w:rPr>
          <w:rFonts w:ascii="Times New Roman" w:hAnsi="Times New Roman" w:cs="Times New Roman"/>
          <w:sz w:val="28"/>
          <w:szCs w:val="28"/>
        </w:rPr>
        <w:t>ють</w:t>
      </w:r>
      <w:r w:rsidRPr="00151DEF">
        <w:rPr>
          <w:rFonts w:ascii="Times New Roman" w:hAnsi="Times New Roman" w:cs="Times New Roman"/>
          <w:sz w:val="28"/>
          <w:szCs w:val="28"/>
        </w:rPr>
        <w:t xml:space="preserve"> всю область без великих міст. Відповідно, </w:t>
      </w:r>
      <w:r>
        <w:rPr>
          <w:rFonts w:ascii="Times New Roman" w:hAnsi="Times New Roman" w:cs="Times New Roman"/>
          <w:sz w:val="28"/>
          <w:szCs w:val="28"/>
        </w:rPr>
        <w:t xml:space="preserve">ОТГ </w:t>
      </w:r>
      <w:r w:rsidRPr="00151DEF">
        <w:rPr>
          <w:rFonts w:ascii="Times New Roman" w:hAnsi="Times New Roman" w:cs="Times New Roman"/>
          <w:sz w:val="28"/>
          <w:szCs w:val="28"/>
        </w:rPr>
        <w:t xml:space="preserve">були взяті з різним рівнем доходів, різною віддаленістю від обласного центру </w:t>
      </w:r>
      <w:r w:rsidR="00056A59">
        <w:rPr>
          <w:rFonts w:ascii="Times New Roman" w:hAnsi="Times New Roman" w:cs="Times New Roman"/>
          <w:sz w:val="28"/>
          <w:szCs w:val="28"/>
        </w:rPr>
        <w:t>та</w:t>
      </w:r>
      <w:r w:rsidRPr="00151DEF">
        <w:rPr>
          <w:rFonts w:ascii="Times New Roman" w:hAnsi="Times New Roman" w:cs="Times New Roman"/>
          <w:sz w:val="28"/>
          <w:szCs w:val="28"/>
        </w:rPr>
        <w:t xml:space="preserve"> інших великих міст, а також</w:t>
      </w:r>
      <w:r w:rsidR="00056A59">
        <w:rPr>
          <w:rFonts w:ascii="Times New Roman" w:hAnsi="Times New Roman" w:cs="Times New Roman"/>
          <w:sz w:val="28"/>
          <w:szCs w:val="28"/>
        </w:rPr>
        <w:t xml:space="preserve"> з</w:t>
      </w:r>
      <w:r w:rsidRPr="00151DEF">
        <w:rPr>
          <w:rFonts w:ascii="Times New Roman" w:hAnsi="Times New Roman" w:cs="Times New Roman"/>
          <w:sz w:val="28"/>
          <w:szCs w:val="28"/>
        </w:rPr>
        <w:t xml:space="preserve"> різним рівнем соціально-економічного розвитку.</w:t>
      </w:r>
    </w:p>
    <w:p w14:paraId="1F6CFC30" w14:textId="46F23072" w:rsid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 xml:space="preserve">Завданням аналізу є оцінка втрат місцевих бюджетів невеликих ОТГ на прикладі 2019 року, пов’язаних з дисбалансом між місцем роботи і місцем проживання жителів цих ОТГ. </w:t>
      </w:r>
      <w:r w:rsidR="00DF19F9">
        <w:rPr>
          <w:rFonts w:ascii="Times New Roman" w:hAnsi="Times New Roman" w:cs="Times New Roman"/>
          <w:sz w:val="28"/>
          <w:szCs w:val="28"/>
        </w:rPr>
        <w:t>Виходячи з цього</w:t>
      </w:r>
      <w:r w:rsidRPr="00151DEF">
        <w:rPr>
          <w:rFonts w:ascii="Times New Roman" w:hAnsi="Times New Roman" w:cs="Times New Roman"/>
          <w:sz w:val="28"/>
          <w:szCs w:val="28"/>
        </w:rPr>
        <w:t xml:space="preserve">, оцінюється недоотримання доходів від ПДФО сплачених жителями ОТГ </w:t>
      </w:r>
      <w:r w:rsidR="00056A59">
        <w:rPr>
          <w:rFonts w:ascii="Times New Roman" w:hAnsi="Times New Roman" w:cs="Times New Roman"/>
          <w:sz w:val="28"/>
          <w:szCs w:val="28"/>
        </w:rPr>
        <w:t>у</w:t>
      </w:r>
      <w:r w:rsidRPr="00151DEF">
        <w:rPr>
          <w:rFonts w:ascii="Times New Roman" w:hAnsi="Times New Roman" w:cs="Times New Roman"/>
          <w:sz w:val="28"/>
          <w:szCs w:val="28"/>
        </w:rPr>
        <w:t xml:space="preserve"> зв’язку з оплатою ПДФО не за місцем проживання</w:t>
      </w:r>
      <w:r>
        <w:rPr>
          <w:rFonts w:ascii="Times New Roman" w:hAnsi="Times New Roman" w:cs="Times New Roman"/>
          <w:sz w:val="28"/>
          <w:szCs w:val="28"/>
        </w:rPr>
        <w:t xml:space="preserve"> (податковою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151DEF">
        <w:rPr>
          <w:rFonts w:ascii="Times New Roman" w:hAnsi="Times New Roman" w:cs="Times New Roman"/>
          <w:sz w:val="28"/>
          <w:szCs w:val="28"/>
        </w:rPr>
        <w:t xml:space="preserve">, а за місцем роботи. </w:t>
      </w:r>
    </w:p>
    <w:p w14:paraId="3F1145F0" w14:textId="77777777" w:rsidR="00151DEF" w:rsidRP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BAD685C" w14:textId="77777777" w:rsidR="00151DEF" w:rsidRDefault="00151DEF" w:rsidP="0038354F">
      <w:pPr>
        <w:pStyle w:val="a5"/>
        <w:spacing w:line="276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51DEF">
        <w:rPr>
          <w:b/>
          <w:bCs/>
          <w:sz w:val="28"/>
          <w:szCs w:val="28"/>
        </w:rPr>
        <w:t>Зведені фінансово-економічні розрахунки</w:t>
      </w:r>
    </w:p>
    <w:p w14:paraId="3B67D062" w14:textId="64B6B769" w:rsidR="00151DEF" w:rsidRDefault="00151DEF" w:rsidP="0038354F">
      <w:pPr>
        <w:pStyle w:val="a5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151DEF">
        <w:rPr>
          <w:sz w:val="28"/>
          <w:szCs w:val="28"/>
        </w:rPr>
        <w:t>Для оцінки використовувався наступний підхід. Фактично сплачен</w:t>
      </w:r>
      <w:proofErr w:type="spellStart"/>
      <w:r w:rsidR="00D57D39">
        <w:rPr>
          <w:sz w:val="28"/>
          <w:szCs w:val="28"/>
          <w:lang w:val="uk-UA"/>
        </w:rPr>
        <w:t>ий</w:t>
      </w:r>
      <w:proofErr w:type="spellEnd"/>
      <w:r w:rsidRPr="00151DEF">
        <w:rPr>
          <w:sz w:val="28"/>
          <w:szCs w:val="28"/>
        </w:rPr>
        <w:t xml:space="preserve"> ПДФО в бюджет ОТГ порівню</w:t>
      </w:r>
      <w:r>
        <w:rPr>
          <w:sz w:val="28"/>
          <w:szCs w:val="28"/>
          <w:lang w:val="uk-UA"/>
        </w:rPr>
        <w:t>вав</w:t>
      </w:r>
      <w:r w:rsidRPr="00151DEF">
        <w:rPr>
          <w:sz w:val="28"/>
          <w:szCs w:val="28"/>
        </w:rPr>
        <w:t>ся з оціночним ПДФО</w:t>
      </w:r>
      <w:r>
        <w:rPr>
          <w:sz w:val="28"/>
          <w:szCs w:val="28"/>
        </w:rPr>
        <w:t>,</w:t>
      </w:r>
      <w:r w:rsidRPr="00151DEF">
        <w:rPr>
          <w:sz w:val="28"/>
          <w:szCs w:val="28"/>
        </w:rPr>
        <w:t xml:space="preserve"> який сплатили жителі ОТГ в бюджети всіх громад</w:t>
      </w:r>
      <w:r w:rsidR="00D57D39">
        <w:rPr>
          <w:sz w:val="28"/>
          <w:szCs w:val="28"/>
          <w:lang w:val="uk-UA"/>
        </w:rPr>
        <w:t xml:space="preserve">, </w:t>
      </w:r>
      <w:r w:rsidRPr="00151DEF">
        <w:rPr>
          <w:sz w:val="28"/>
          <w:szCs w:val="28"/>
        </w:rPr>
        <w:t>на території яких вони працюють. Останній показник розраховувався як кількість найманих працівників у платників податків на території ОТГ</w:t>
      </w:r>
      <w:r>
        <w:rPr>
          <w:sz w:val="28"/>
          <w:szCs w:val="28"/>
        </w:rPr>
        <w:t>,</w:t>
      </w:r>
      <w:r w:rsidRPr="00151DEF">
        <w:rPr>
          <w:sz w:val="28"/>
          <w:szCs w:val="28"/>
        </w:rPr>
        <w:t xml:space="preserve"> помножена на оціночну заробітну плату в ОТГ. Оскільки Державна служба статистики України не веде облік середніх заробітних плат в ОТГ, а тільки в районах, для розрахунку оціночної заробітної плати в ОТГ брались дані по старих районах і робилась поправка з врахуванням більшої частки сільського населення порівняно з часткою в районі</w:t>
      </w:r>
      <w:r w:rsidR="00056A59">
        <w:rPr>
          <w:sz w:val="28"/>
          <w:szCs w:val="28"/>
          <w:lang w:val="uk-UA"/>
        </w:rPr>
        <w:t>,</w:t>
      </w:r>
      <w:r w:rsidRPr="00151DEF">
        <w:rPr>
          <w:sz w:val="28"/>
          <w:szCs w:val="28"/>
        </w:rPr>
        <w:t xml:space="preserve"> на території якого знаходилась ОТГ. </w:t>
      </w:r>
      <w:r>
        <w:rPr>
          <w:sz w:val="28"/>
          <w:szCs w:val="28"/>
        </w:rPr>
        <w:t>Даний метод застосовувався</w:t>
      </w:r>
      <w:r w:rsidRPr="00151DEF">
        <w:rPr>
          <w:sz w:val="28"/>
          <w:szCs w:val="28"/>
        </w:rPr>
        <w:t xml:space="preserve"> для того, щоб врахувати той факт, що середня заробітна плата в сільській місцевості нижча</w:t>
      </w:r>
      <w:r w:rsidR="00056A59">
        <w:rPr>
          <w:sz w:val="28"/>
          <w:szCs w:val="28"/>
          <w:lang w:val="uk-UA"/>
        </w:rPr>
        <w:t>,</w:t>
      </w:r>
      <w:r w:rsidRPr="00151DEF">
        <w:rPr>
          <w:sz w:val="28"/>
          <w:szCs w:val="28"/>
        </w:rPr>
        <w:t xml:space="preserve"> ніж в міській.</w:t>
      </w:r>
    </w:p>
    <w:p w14:paraId="50A728F6" w14:textId="77777777" w:rsidR="0038354F" w:rsidRPr="00151DEF" w:rsidRDefault="0038354F" w:rsidP="0038354F">
      <w:pPr>
        <w:pStyle w:val="a5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14:paraId="462936DB" w14:textId="2B14E967" w:rsidR="00FE487C" w:rsidRDefault="009B2665" w:rsidP="00151D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2CE4E80" wp14:editId="2472D734">
            <wp:extent cx="6324212" cy="5217459"/>
            <wp:effectExtent l="0" t="0" r="63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225" cy="523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F0CDD" w14:textId="54FD4AC2" w:rsidR="0038354F" w:rsidRDefault="0038354F" w:rsidP="00151D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29D177" w14:textId="77777777" w:rsidR="0038354F" w:rsidRPr="00151DEF" w:rsidRDefault="0038354F" w:rsidP="00151D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4D9EE5" w14:textId="5D76891A" w:rsidR="00963144" w:rsidRPr="00151DEF" w:rsidRDefault="00B60A88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>Даний аналіз показав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, що в середньому 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невеликі 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ОТГ </w:t>
      </w:r>
      <w:proofErr w:type="spellStart"/>
      <w:r w:rsidR="00100950" w:rsidRPr="00151DEF">
        <w:rPr>
          <w:rFonts w:ascii="Times New Roman" w:hAnsi="Times New Roman" w:cs="Times New Roman"/>
          <w:sz w:val="28"/>
          <w:szCs w:val="28"/>
        </w:rPr>
        <w:t>недоотримують</w:t>
      </w:r>
      <w:proofErr w:type="spellEnd"/>
      <w:r w:rsidR="001123FC" w:rsidRPr="00151DEF">
        <w:rPr>
          <w:rFonts w:ascii="Times New Roman" w:hAnsi="Times New Roman" w:cs="Times New Roman"/>
          <w:sz w:val="28"/>
          <w:szCs w:val="28"/>
        </w:rPr>
        <w:t xml:space="preserve"> близько </w:t>
      </w:r>
      <w:r w:rsidR="00FE487C" w:rsidRPr="00151DEF">
        <w:rPr>
          <w:rFonts w:ascii="Times New Roman" w:hAnsi="Times New Roman" w:cs="Times New Roman"/>
          <w:sz w:val="28"/>
          <w:szCs w:val="28"/>
        </w:rPr>
        <w:t>16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% 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доходів 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в </w:t>
      </w:r>
      <w:r w:rsidR="00B855E1" w:rsidRPr="00151DEF">
        <w:rPr>
          <w:rFonts w:ascii="Times New Roman" w:hAnsi="Times New Roman" w:cs="Times New Roman"/>
          <w:sz w:val="28"/>
          <w:szCs w:val="28"/>
        </w:rPr>
        <w:t>місцев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і </w:t>
      </w:r>
      <w:r w:rsidR="00B855E1" w:rsidRPr="00151DEF">
        <w:rPr>
          <w:rFonts w:ascii="Times New Roman" w:hAnsi="Times New Roman" w:cs="Times New Roman"/>
          <w:sz w:val="28"/>
          <w:szCs w:val="28"/>
        </w:rPr>
        <w:t>бюджет</w:t>
      </w:r>
      <w:r w:rsidR="00A0668F" w:rsidRPr="00151DEF">
        <w:rPr>
          <w:rFonts w:ascii="Times New Roman" w:hAnsi="Times New Roman" w:cs="Times New Roman"/>
          <w:sz w:val="28"/>
          <w:szCs w:val="28"/>
        </w:rPr>
        <w:t>и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 від 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ПДФО в </w:t>
      </w:r>
      <w:r w:rsidR="00100950" w:rsidRPr="00151DEF">
        <w:rPr>
          <w:rFonts w:ascii="Times New Roman" w:hAnsi="Times New Roman" w:cs="Times New Roman"/>
          <w:sz w:val="28"/>
          <w:szCs w:val="28"/>
        </w:rPr>
        <w:t>зв’язку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 з тим, що значна частина населення</w:t>
      </w:r>
      <w:r w:rsidR="00D57D39">
        <w:rPr>
          <w:rFonts w:ascii="Times New Roman" w:hAnsi="Times New Roman" w:cs="Times New Roman"/>
          <w:sz w:val="28"/>
          <w:szCs w:val="28"/>
        </w:rPr>
        <w:t xml:space="preserve">, </w:t>
      </w:r>
      <w:r w:rsidR="001123FC" w:rsidRPr="00151DEF">
        <w:rPr>
          <w:rFonts w:ascii="Times New Roman" w:hAnsi="Times New Roman" w:cs="Times New Roman"/>
          <w:sz w:val="28"/>
          <w:szCs w:val="28"/>
        </w:rPr>
        <w:t>як</w:t>
      </w:r>
      <w:r w:rsidR="00D57D39">
        <w:rPr>
          <w:rFonts w:ascii="Times New Roman" w:hAnsi="Times New Roman" w:cs="Times New Roman"/>
          <w:sz w:val="28"/>
          <w:szCs w:val="28"/>
        </w:rPr>
        <w:t>а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 проживає на території цих ОТГ</w:t>
      </w:r>
      <w:r w:rsidR="00D57D39">
        <w:rPr>
          <w:rFonts w:ascii="Times New Roman" w:hAnsi="Times New Roman" w:cs="Times New Roman"/>
          <w:sz w:val="28"/>
          <w:szCs w:val="28"/>
        </w:rPr>
        <w:t>,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 сплачує ПДФО в бюджети 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інших </w:t>
      </w:r>
      <w:r w:rsidR="001123FC" w:rsidRPr="00151DEF">
        <w:rPr>
          <w:rFonts w:ascii="Times New Roman" w:hAnsi="Times New Roman" w:cs="Times New Roman"/>
          <w:sz w:val="28"/>
          <w:szCs w:val="28"/>
        </w:rPr>
        <w:t>міст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 чи ОТГ. </w:t>
      </w:r>
    </w:p>
    <w:p w14:paraId="645F9F54" w14:textId="04886142" w:rsidR="00C171C9" w:rsidRPr="00151DEF" w:rsidRDefault="00C171C9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>Оскільки одержані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 висновки</w:t>
      </w:r>
      <w:r w:rsidRPr="00151DEF">
        <w:rPr>
          <w:rFonts w:ascii="Times New Roman" w:hAnsi="Times New Roman" w:cs="Times New Roman"/>
          <w:sz w:val="28"/>
          <w:szCs w:val="28"/>
        </w:rPr>
        <w:t xml:space="preserve"> схожі для двох областей</w:t>
      </w:r>
      <w:r w:rsidR="00100950" w:rsidRPr="00151DEF">
        <w:rPr>
          <w:rFonts w:ascii="Times New Roman" w:hAnsi="Times New Roman" w:cs="Times New Roman"/>
          <w:sz w:val="28"/>
          <w:szCs w:val="28"/>
        </w:rPr>
        <w:t xml:space="preserve"> (для вибірки з </w:t>
      </w:r>
      <w:r w:rsidR="00151DEF">
        <w:rPr>
          <w:rFonts w:ascii="Times New Roman" w:hAnsi="Times New Roman" w:cs="Times New Roman"/>
          <w:sz w:val="28"/>
          <w:szCs w:val="28"/>
        </w:rPr>
        <w:t xml:space="preserve">десяти </w:t>
      </w:r>
      <w:r w:rsidR="00100950" w:rsidRPr="00151DEF">
        <w:rPr>
          <w:rFonts w:ascii="Times New Roman" w:hAnsi="Times New Roman" w:cs="Times New Roman"/>
          <w:sz w:val="28"/>
          <w:szCs w:val="28"/>
        </w:rPr>
        <w:t xml:space="preserve">ОТГ Львівської області - </w:t>
      </w:r>
      <w:r w:rsidR="00FE487C" w:rsidRPr="00151DEF">
        <w:rPr>
          <w:rFonts w:ascii="Times New Roman" w:hAnsi="Times New Roman" w:cs="Times New Roman"/>
          <w:sz w:val="28"/>
          <w:szCs w:val="28"/>
        </w:rPr>
        <w:t>17</w:t>
      </w:r>
      <w:r w:rsidR="00100950" w:rsidRPr="00151DEF">
        <w:rPr>
          <w:rFonts w:ascii="Times New Roman" w:hAnsi="Times New Roman" w:cs="Times New Roman"/>
          <w:sz w:val="28"/>
          <w:szCs w:val="28"/>
        </w:rPr>
        <w:t xml:space="preserve">%, для вибірки з </w:t>
      </w:r>
      <w:r w:rsidR="00151DEF">
        <w:rPr>
          <w:rFonts w:ascii="Times New Roman" w:hAnsi="Times New Roman" w:cs="Times New Roman"/>
          <w:sz w:val="28"/>
          <w:szCs w:val="28"/>
        </w:rPr>
        <w:t xml:space="preserve">десяти </w:t>
      </w:r>
      <w:r w:rsidR="00100950" w:rsidRPr="00151DEF">
        <w:rPr>
          <w:rFonts w:ascii="Times New Roman" w:hAnsi="Times New Roman" w:cs="Times New Roman"/>
          <w:sz w:val="28"/>
          <w:szCs w:val="28"/>
        </w:rPr>
        <w:t xml:space="preserve">ОТГ Вінницької області - </w:t>
      </w:r>
      <w:r w:rsidR="00FE487C" w:rsidRPr="00151DEF">
        <w:rPr>
          <w:rFonts w:ascii="Times New Roman" w:hAnsi="Times New Roman" w:cs="Times New Roman"/>
          <w:sz w:val="28"/>
          <w:szCs w:val="28"/>
        </w:rPr>
        <w:t>16</w:t>
      </w:r>
      <w:r w:rsidR="00100950" w:rsidRPr="00151DEF">
        <w:rPr>
          <w:rFonts w:ascii="Times New Roman" w:hAnsi="Times New Roman" w:cs="Times New Roman"/>
          <w:sz w:val="28"/>
          <w:szCs w:val="28"/>
        </w:rPr>
        <w:t>%)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, </w:t>
      </w:r>
      <w:r w:rsidRPr="00151DEF">
        <w:rPr>
          <w:rFonts w:ascii="Times New Roman" w:hAnsi="Times New Roman" w:cs="Times New Roman"/>
          <w:sz w:val="28"/>
          <w:szCs w:val="28"/>
        </w:rPr>
        <w:t xml:space="preserve">можна </w:t>
      </w:r>
      <w:r w:rsidR="00E90E58">
        <w:rPr>
          <w:rFonts w:ascii="Times New Roman" w:hAnsi="Times New Roman" w:cs="Times New Roman"/>
          <w:sz w:val="28"/>
          <w:szCs w:val="28"/>
        </w:rPr>
        <w:t>з</w:t>
      </w:r>
      <w:r w:rsidRPr="00151DEF">
        <w:rPr>
          <w:rFonts w:ascii="Times New Roman" w:hAnsi="Times New Roman" w:cs="Times New Roman"/>
          <w:sz w:val="28"/>
          <w:szCs w:val="28"/>
        </w:rPr>
        <w:t xml:space="preserve">робити </w:t>
      </w:r>
      <w:r w:rsidR="00B855E1" w:rsidRPr="00151DEF">
        <w:rPr>
          <w:rFonts w:ascii="Times New Roman" w:hAnsi="Times New Roman" w:cs="Times New Roman"/>
          <w:sz w:val="28"/>
          <w:szCs w:val="28"/>
        </w:rPr>
        <w:t>при</w:t>
      </w:r>
      <w:r w:rsidRPr="00151DEF">
        <w:rPr>
          <w:rFonts w:ascii="Times New Roman" w:hAnsi="Times New Roman" w:cs="Times New Roman"/>
          <w:sz w:val="28"/>
          <w:szCs w:val="28"/>
        </w:rPr>
        <w:t>пущення, що масштаби проблеми по всій Україні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 схожі.</w:t>
      </w:r>
    </w:p>
    <w:p w14:paraId="120F2F7D" w14:textId="0C6BCCC0" w:rsidR="00B855E1" w:rsidRDefault="00B855E1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>Така ситуаці</w:t>
      </w:r>
      <w:r w:rsidR="00151DEF" w:rsidRPr="00151DEF">
        <w:rPr>
          <w:rFonts w:ascii="Times New Roman" w:hAnsi="Times New Roman" w:cs="Times New Roman"/>
          <w:sz w:val="28"/>
          <w:szCs w:val="28"/>
        </w:rPr>
        <w:t>я</w:t>
      </w:r>
      <w:r w:rsidRPr="00151DEF">
        <w:rPr>
          <w:rFonts w:ascii="Times New Roman" w:hAnsi="Times New Roman" w:cs="Times New Roman"/>
          <w:sz w:val="28"/>
          <w:szCs w:val="28"/>
        </w:rPr>
        <w:t xml:space="preserve"> є несправедливою</w:t>
      </w:r>
      <w:r w:rsidR="00151DEF" w:rsidRPr="00151DEF">
        <w:rPr>
          <w:rFonts w:ascii="Times New Roman" w:hAnsi="Times New Roman" w:cs="Times New Roman"/>
          <w:sz w:val="28"/>
          <w:szCs w:val="28"/>
        </w:rPr>
        <w:t>,</w:t>
      </w:r>
      <w:r w:rsidRPr="00151DEF">
        <w:rPr>
          <w:rFonts w:ascii="Times New Roman" w:hAnsi="Times New Roman" w:cs="Times New Roman"/>
          <w:sz w:val="28"/>
          <w:szCs w:val="28"/>
        </w:rPr>
        <w:t xml:space="preserve"> оскільки більшість громадян користуються державними послугами саме на території </w:t>
      </w:r>
      <w:r w:rsidR="00D57D39">
        <w:rPr>
          <w:rFonts w:ascii="Times New Roman" w:hAnsi="Times New Roman" w:cs="Times New Roman"/>
          <w:sz w:val="28"/>
          <w:szCs w:val="28"/>
        </w:rPr>
        <w:t xml:space="preserve">тих </w:t>
      </w:r>
      <w:r w:rsidRPr="00151DEF">
        <w:rPr>
          <w:rFonts w:ascii="Times New Roman" w:hAnsi="Times New Roman" w:cs="Times New Roman"/>
          <w:sz w:val="28"/>
          <w:szCs w:val="28"/>
        </w:rPr>
        <w:t>ОТГ</w:t>
      </w:r>
      <w:r w:rsidR="00D57D39">
        <w:rPr>
          <w:rFonts w:ascii="Times New Roman" w:hAnsi="Times New Roman" w:cs="Times New Roman"/>
          <w:sz w:val="28"/>
          <w:szCs w:val="28"/>
        </w:rPr>
        <w:t>, у</w:t>
      </w:r>
      <w:r w:rsidRPr="00151DEF">
        <w:rPr>
          <w:rFonts w:ascii="Times New Roman" w:hAnsi="Times New Roman" w:cs="Times New Roman"/>
          <w:sz w:val="28"/>
          <w:szCs w:val="28"/>
        </w:rPr>
        <w:t xml:space="preserve"> яких </w:t>
      </w:r>
      <w:r w:rsidR="00D57D39">
        <w:rPr>
          <w:rFonts w:ascii="Times New Roman" w:hAnsi="Times New Roman" w:cs="Times New Roman"/>
          <w:sz w:val="28"/>
          <w:szCs w:val="28"/>
        </w:rPr>
        <w:t xml:space="preserve">вони </w:t>
      </w:r>
      <w:r w:rsidRPr="00151DEF">
        <w:rPr>
          <w:rFonts w:ascii="Times New Roman" w:hAnsi="Times New Roman" w:cs="Times New Roman"/>
          <w:sz w:val="28"/>
          <w:szCs w:val="28"/>
        </w:rPr>
        <w:t>живуть, а не працюють. Також це зменшує фінансову спроможність невеликих ОТГ, що суперечить принципам децентралізації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. </w:t>
      </w:r>
      <w:r w:rsidR="00151DEF">
        <w:rPr>
          <w:rFonts w:ascii="Times New Roman" w:hAnsi="Times New Roman" w:cs="Times New Roman"/>
          <w:sz w:val="28"/>
          <w:szCs w:val="28"/>
        </w:rPr>
        <w:t>Окрім цього,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європейська </w:t>
      </w:r>
      <w:r w:rsidR="00F35415" w:rsidRPr="00151DEF">
        <w:rPr>
          <w:rFonts w:ascii="Times New Roman" w:hAnsi="Times New Roman" w:cs="Times New Roman"/>
          <w:sz w:val="28"/>
          <w:szCs w:val="28"/>
        </w:rPr>
        <w:lastRenderedPageBreak/>
        <w:t xml:space="preserve">практика децентралізації показує, що громадяни, які сплачують податки за місцем проживання, значно більше </w:t>
      </w:r>
      <w:r w:rsidR="00910D7A">
        <w:rPr>
          <w:rFonts w:ascii="Times New Roman" w:hAnsi="Times New Roman" w:cs="Times New Roman"/>
          <w:sz w:val="28"/>
          <w:szCs w:val="28"/>
        </w:rPr>
        <w:t>беруть участь у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житт</w:t>
      </w:r>
      <w:r w:rsidR="00910D7A">
        <w:rPr>
          <w:rFonts w:ascii="Times New Roman" w:hAnsi="Times New Roman" w:cs="Times New Roman"/>
          <w:sz w:val="28"/>
          <w:szCs w:val="28"/>
        </w:rPr>
        <w:t>і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своєї громади</w:t>
      </w:r>
      <w:r w:rsidR="00151DEF">
        <w:rPr>
          <w:rFonts w:ascii="Times New Roman" w:hAnsi="Times New Roman" w:cs="Times New Roman"/>
          <w:sz w:val="28"/>
          <w:szCs w:val="28"/>
        </w:rPr>
        <w:t xml:space="preserve"> та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вирішенн</w:t>
      </w:r>
      <w:r w:rsidR="00910D7A">
        <w:rPr>
          <w:rFonts w:ascii="Times New Roman" w:hAnsi="Times New Roman" w:cs="Times New Roman"/>
          <w:sz w:val="28"/>
          <w:szCs w:val="28"/>
        </w:rPr>
        <w:t>і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її проблем.</w:t>
      </w:r>
    </w:p>
    <w:p w14:paraId="1DA937DB" w14:textId="163006D4" w:rsidR="00151DEF" w:rsidRDefault="00151DEF" w:rsidP="0038354F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0020CE" w14:textId="77777777" w:rsidR="0031568A" w:rsidRDefault="0031568A" w:rsidP="003156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AF77141" w14:textId="6B253FF7" w:rsidR="0031568A" w:rsidRDefault="0031568A" w:rsidP="0031568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Народні депутати України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Г.І. Васильченко (посвід.№319)</w:t>
      </w:r>
    </w:p>
    <w:p w14:paraId="41C08C1A" w14:textId="77777777" w:rsidR="0031568A" w:rsidRPr="00AC0063" w:rsidRDefault="0031568A" w:rsidP="0031568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та інші</w:t>
      </w:r>
    </w:p>
    <w:p w14:paraId="6515B862" w14:textId="77777777" w:rsidR="005D2140" w:rsidRPr="00151DEF" w:rsidRDefault="005D2140" w:rsidP="00151DE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D2140" w:rsidRPr="00151DEF" w:rsidSect="005D2140">
      <w:footerReference w:type="even" r:id="rId10"/>
      <w:footerReference w:type="default" r:id="rId11"/>
      <w:pgSz w:w="11906" w:h="16838"/>
      <w:pgMar w:top="850" w:right="850" w:bottom="164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D3587" w14:textId="77777777" w:rsidR="008357B9" w:rsidRDefault="008357B9" w:rsidP="005D2140">
      <w:pPr>
        <w:spacing w:after="0" w:line="240" w:lineRule="auto"/>
      </w:pPr>
      <w:r>
        <w:separator/>
      </w:r>
    </w:p>
  </w:endnote>
  <w:endnote w:type="continuationSeparator" w:id="0">
    <w:p w14:paraId="63FF1D97" w14:textId="77777777" w:rsidR="008357B9" w:rsidRDefault="008357B9" w:rsidP="005D2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404040555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31751829" w14:textId="736530B7" w:rsidR="005D2140" w:rsidRDefault="005D2140" w:rsidP="005D2140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37BEE572" w14:textId="77777777" w:rsidR="005D2140" w:rsidRDefault="005D2140" w:rsidP="005D214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1633673789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765015B0" w14:textId="63AACC00" w:rsidR="005D2140" w:rsidRDefault="005D2140" w:rsidP="005D2140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 w:rsidR="002E3A46">
          <w:rPr>
            <w:rStyle w:val="a8"/>
            <w:noProof/>
          </w:rPr>
          <w:t>2</w:t>
        </w:r>
        <w:r>
          <w:rPr>
            <w:rStyle w:val="a8"/>
          </w:rPr>
          <w:fldChar w:fldCharType="end"/>
        </w:r>
      </w:p>
    </w:sdtContent>
  </w:sdt>
  <w:p w14:paraId="3D0EA801" w14:textId="77777777" w:rsidR="005D2140" w:rsidRDefault="005D2140" w:rsidP="005D214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9A1C39" w14:textId="77777777" w:rsidR="008357B9" w:rsidRDefault="008357B9" w:rsidP="005D2140">
      <w:pPr>
        <w:spacing w:after="0" w:line="240" w:lineRule="auto"/>
      </w:pPr>
      <w:r>
        <w:separator/>
      </w:r>
    </w:p>
  </w:footnote>
  <w:footnote w:type="continuationSeparator" w:id="0">
    <w:p w14:paraId="2580152E" w14:textId="77777777" w:rsidR="008357B9" w:rsidRDefault="008357B9" w:rsidP="005D2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C9"/>
    <w:rsid w:val="00056A59"/>
    <w:rsid w:val="00100950"/>
    <w:rsid w:val="001123FC"/>
    <w:rsid w:val="00151DEF"/>
    <w:rsid w:val="002805EE"/>
    <w:rsid w:val="002E3A46"/>
    <w:rsid w:val="0031568A"/>
    <w:rsid w:val="0037339E"/>
    <w:rsid w:val="0038354F"/>
    <w:rsid w:val="004B5DF0"/>
    <w:rsid w:val="005D2140"/>
    <w:rsid w:val="005E58B0"/>
    <w:rsid w:val="008357B9"/>
    <w:rsid w:val="00910D7A"/>
    <w:rsid w:val="00963144"/>
    <w:rsid w:val="009A46CC"/>
    <w:rsid w:val="009B2665"/>
    <w:rsid w:val="00A0668F"/>
    <w:rsid w:val="00A33AC0"/>
    <w:rsid w:val="00B222AD"/>
    <w:rsid w:val="00B60A88"/>
    <w:rsid w:val="00B855E1"/>
    <w:rsid w:val="00C171C9"/>
    <w:rsid w:val="00C43118"/>
    <w:rsid w:val="00D57D39"/>
    <w:rsid w:val="00DF19F9"/>
    <w:rsid w:val="00E730F3"/>
    <w:rsid w:val="00E90E58"/>
    <w:rsid w:val="00EC6E48"/>
    <w:rsid w:val="00F06E05"/>
    <w:rsid w:val="00F35415"/>
    <w:rsid w:val="00FE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3CE24"/>
  <w15:chartTrackingRefBased/>
  <w15:docId w15:val="{2C5C41E9-F07C-4C69-A978-25A6E6E5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0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805EE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151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D2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D2140"/>
  </w:style>
  <w:style w:type="character" w:styleId="a8">
    <w:name w:val="page number"/>
    <w:basedOn w:val="a0"/>
    <w:uiPriority w:val="99"/>
    <w:semiHidden/>
    <w:unhideWhenUsed/>
    <w:rsid w:val="005D2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3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54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6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75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1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13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8AAA19-6AE0-4A36-8087-17F6E40A0C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D35703-DF26-4D88-9425-BE633F8DB8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7A97DB-809B-4903-B540-FD02B988F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2049</Words>
  <Characters>1168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2020-11-13T10:11:00Z</dcterms:created>
  <dcterms:modified xsi:type="dcterms:W3CDTF">2020-11-13T10:11:00Z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