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A1C" w:rsidRDefault="005A2A1C" w:rsidP="005A2A1C">
      <w:pPr>
        <w:spacing w:after="0" w:line="276" w:lineRule="auto"/>
        <w:jc w:val="center"/>
        <w:rPr>
          <w:rFonts w:ascii="Times New Roman" w:hAnsi="Times New Roman" w:cs="Times New Roman"/>
          <w:b/>
          <w:color w:val="000000"/>
          <w:sz w:val="28"/>
          <w:szCs w:val="28"/>
        </w:rPr>
      </w:pPr>
      <w:bookmarkStart w:id="0" w:name="_GoBack"/>
      <w:bookmarkEnd w:id="0"/>
      <w:r>
        <w:rPr>
          <w:rFonts w:ascii="Times New Roman" w:hAnsi="Times New Roman" w:cs="Times New Roman"/>
          <w:b/>
          <w:color w:val="000000"/>
          <w:sz w:val="28"/>
          <w:szCs w:val="28"/>
        </w:rPr>
        <w:t>ПОЯСНЮВАЛЬНА ЗАПИСКА</w:t>
      </w:r>
    </w:p>
    <w:p w:rsidR="005A2A1C" w:rsidRPr="009E13A9" w:rsidRDefault="005A2A1C" w:rsidP="005A2A1C">
      <w:pPr>
        <w:spacing w:after="0" w:line="240" w:lineRule="auto"/>
        <w:rPr>
          <w:rFonts w:ascii="Times New Roman" w:hAnsi="Times New Roman" w:cs="Times New Roman"/>
          <w:b/>
          <w:sz w:val="28"/>
          <w:szCs w:val="28"/>
          <w:lang w:val="uk-UA"/>
        </w:rPr>
      </w:pPr>
    </w:p>
    <w:p w:rsidR="005A2A1C" w:rsidRDefault="005A2A1C" w:rsidP="005A2A1C">
      <w:pPr>
        <w:widowControl w:val="0"/>
        <w:spacing w:after="0" w:line="276" w:lineRule="auto"/>
        <w:jc w:val="center"/>
        <w:rPr>
          <w:rFonts w:ascii="Times New Roman" w:hAnsi="Times New Roman" w:cs="Times New Roman"/>
          <w:b/>
          <w:sz w:val="28"/>
          <w:szCs w:val="28"/>
        </w:rPr>
      </w:pPr>
      <w:bookmarkStart w:id="1" w:name="_heading=h.gjdgxs" w:colFirst="0" w:colLast="0"/>
      <w:bookmarkEnd w:id="1"/>
      <w:r>
        <w:rPr>
          <w:rFonts w:ascii="Times New Roman" w:hAnsi="Times New Roman" w:cs="Times New Roman"/>
          <w:b/>
          <w:sz w:val="28"/>
          <w:szCs w:val="28"/>
        </w:rPr>
        <w:t xml:space="preserve">до проекту </w:t>
      </w:r>
      <w:r w:rsidR="00A36F32" w:rsidRPr="00A36F32">
        <w:rPr>
          <w:rFonts w:ascii="Times New Roman" w:hAnsi="Times New Roman" w:cs="Times New Roman"/>
          <w:b/>
          <w:sz w:val="28"/>
          <w:szCs w:val="28"/>
        </w:rPr>
        <w:t>Закону України «Про внесення змін до статті 64 Бюджетного кодексу України щодо порядку зарахування податку на доходи фізичних осіб у зв’язку із завершенням реформи децентралізації»</w:t>
      </w:r>
    </w:p>
    <w:p w:rsidR="005A2A1C" w:rsidRDefault="005A2A1C" w:rsidP="005A2A1C">
      <w:pPr>
        <w:widowControl w:val="0"/>
        <w:spacing w:after="0" w:line="240" w:lineRule="auto"/>
        <w:rPr>
          <w:rFonts w:ascii="Times New Roman" w:hAnsi="Times New Roman" w:cs="Times New Roman"/>
          <w:b/>
          <w:sz w:val="28"/>
          <w:szCs w:val="28"/>
        </w:rPr>
      </w:pPr>
    </w:p>
    <w:p w:rsidR="005A2A1C" w:rsidRPr="00843A4C" w:rsidRDefault="005A2A1C" w:rsidP="005A2A1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Обґрунтування необхідності прийняття законопроекту</w:t>
      </w:r>
    </w:p>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Запровадження змін у  зв’язку із проведенням реформи децентралізації в Україні вплинуло на оновлення системи формування доходів місцевих бюджетів. Відтак, одним із пріоритетних напрямків роботи у сфері фінансової децентралізації стало забезпечення функціонування спроможних та фінансово незалежних адміністративно-територіальних одиниць базового рівня. Зважаючи на це, питома вага змін, які були запропоновані починаючи з 2014 року і донині, були спрямовані на збільшення дохідної частини місцевих бюджетів  та ефективного використання власного фінансового та економічного потенціалу.</w:t>
      </w:r>
    </w:p>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 цьому аспекті слід зазначити, що основним джерелом наповнення місцевих бюджетів є податки, а тому оптимізація та покращення механізмів їх справляння прямо впливає на економічне зростання тієї чи іншої об’єднаної територіальної громади. За даними офіційної звітності Державної казначейської служби</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України</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 xml:space="preserve">за </w:t>
      </w:r>
      <w:r>
        <w:rPr>
          <w:rFonts w:ascii="Times New Roman" w:hAnsi="Times New Roman" w:cs="Times New Roman"/>
          <w:color w:val="000000"/>
          <w:sz w:val="28"/>
          <w:szCs w:val="28"/>
          <w:highlight w:val="white"/>
        </w:rPr>
        <w:t>підсумками І півріччя 2020 року</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highlight w:val="white"/>
        </w:rPr>
        <w:t>найбільшу частку серед видів надходжень місцевих бюджетів займають надходження </w:t>
      </w:r>
      <w:r>
        <w:rPr>
          <w:rFonts w:ascii="Times New Roman" w:hAnsi="Times New Roman" w:cs="Times New Roman"/>
          <w:color w:val="000000"/>
          <w:sz w:val="28"/>
          <w:szCs w:val="28"/>
        </w:rPr>
        <w:t>податку на доходи фізичних осіб</w:t>
      </w:r>
      <w:r>
        <w:rPr>
          <w:rFonts w:ascii="Times New Roman" w:hAnsi="Times New Roman" w:cs="Times New Roman"/>
          <w:color w:val="000000"/>
          <w:sz w:val="28"/>
          <w:szCs w:val="28"/>
          <w:highlight w:val="white"/>
        </w:rPr>
        <w:t xml:space="preserve"> (далі – ПДФО).</w:t>
      </w:r>
      <w:r>
        <w:rPr>
          <w:rFonts w:ascii="Times New Roman" w:hAnsi="Times New Roman" w:cs="Times New Roman"/>
          <w:color w:val="000000"/>
          <w:sz w:val="28"/>
          <w:szCs w:val="28"/>
          <w:highlight w:val="white"/>
          <w:vertAlign w:val="superscript"/>
        </w:rPr>
        <w:footnoteReference w:id="1"/>
      </w:r>
      <w:r>
        <w:rPr>
          <w:rFonts w:ascii="Times New Roman" w:hAnsi="Times New Roman" w:cs="Times New Roman"/>
          <w:color w:val="000000"/>
          <w:sz w:val="28"/>
          <w:szCs w:val="28"/>
          <w:highlight w:val="white"/>
        </w:rPr>
        <w:t xml:space="preserve"> </w:t>
      </w:r>
      <w:r>
        <w:rPr>
          <w:rFonts w:ascii="Times New Roman" w:hAnsi="Times New Roman" w:cs="Times New Roman"/>
          <w:color w:val="000000"/>
          <w:sz w:val="28"/>
          <w:szCs w:val="28"/>
        </w:rPr>
        <w:t xml:space="preserve">Аналіз середніх обсягів надходження власних доходів дозволяє акцентувати, що до бюджетів міст надходить майже вдвічі більше ПДФО на одну особу, аніж, наприклад, плати за землю чи єдиного податку. Враховуючи природу податку, який сплачується роботодавцями з доходів працівників, показник кількості зайнятих на суб’єктах господарювання виступає одним з основних чинників впливу на обсяги податку загалом. </w:t>
      </w:r>
    </w:p>
    <w:p w:rsidR="005A2A1C" w:rsidRDefault="005A2A1C" w:rsidP="005A2A1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Виходячи з цього, особливої актуальності набувають питання порядку зарахування надходжень ПДФО до відповідного місцевого бюджету.  Так, згідно зі статтею 168 Податкового кодексу, ПДФО зараховується до місцевого бюджету за місцезнаходженням юридичної особи – платника податку. </w:t>
      </w:r>
      <w:r>
        <w:rPr>
          <w:rFonts w:ascii="Times New Roman" w:hAnsi="Times New Roman" w:cs="Times New Roman"/>
          <w:color w:val="000000"/>
          <w:sz w:val="28"/>
          <w:szCs w:val="28"/>
          <w:highlight w:val="white"/>
        </w:rPr>
        <w:t xml:space="preserve">Однак, станом на сьогодні, поширеною є практика, коли працівник має реєстрацію місця проживання в одному населеному пункті, </w:t>
      </w:r>
      <w:r>
        <w:rPr>
          <w:rFonts w:ascii="Times New Roman" w:hAnsi="Times New Roman" w:cs="Times New Roman"/>
          <w:color w:val="000000"/>
          <w:sz w:val="28"/>
          <w:szCs w:val="28"/>
          <w:highlight w:val="white"/>
          <w:lang w:val="uk-UA"/>
        </w:rPr>
        <w:t>а</w:t>
      </w:r>
      <w:r>
        <w:rPr>
          <w:rFonts w:ascii="Times New Roman" w:hAnsi="Times New Roman" w:cs="Times New Roman"/>
          <w:color w:val="000000"/>
          <w:sz w:val="28"/>
          <w:szCs w:val="28"/>
          <w:highlight w:val="white"/>
        </w:rPr>
        <w:t xml:space="preserve"> трудову діяльність здійснює у іншому, то</w:t>
      </w:r>
      <w:r>
        <w:rPr>
          <w:rFonts w:ascii="Times New Roman" w:hAnsi="Times New Roman" w:cs="Times New Roman"/>
          <w:color w:val="000000"/>
          <w:sz w:val="28"/>
          <w:szCs w:val="28"/>
          <w:lang w:val="uk-UA"/>
        </w:rPr>
        <w:t>ді як</w:t>
      </w:r>
      <w:r>
        <w:rPr>
          <w:rFonts w:ascii="Times New Roman" w:hAnsi="Times New Roman" w:cs="Times New Roman"/>
          <w:color w:val="000000"/>
          <w:sz w:val="28"/>
          <w:szCs w:val="28"/>
        </w:rPr>
        <w:t xml:space="preserve"> ПДФО надходить саме до тієї територіальної громади, де </w:t>
      </w:r>
      <w:r>
        <w:rPr>
          <w:rFonts w:ascii="Times New Roman" w:hAnsi="Times New Roman" w:cs="Times New Roman"/>
          <w:color w:val="000000"/>
          <w:sz w:val="28"/>
          <w:szCs w:val="28"/>
        </w:rPr>
        <w:lastRenderedPageBreak/>
        <w:t>юридично зареєстроване підприємство. В</w:t>
      </w:r>
      <w:r>
        <w:rPr>
          <w:rFonts w:ascii="Times New Roman" w:hAnsi="Times New Roman" w:cs="Times New Roman"/>
          <w:color w:val="000000"/>
          <w:sz w:val="28"/>
          <w:szCs w:val="28"/>
          <w:highlight w:val="white"/>
        </w:rPr>
        <w:t xml:space="preserve">наслідок цього виходить, що велика частка цих грошей — дуже важливих для підвищення якості життя у власному місті чи селі — сплачується працівником іншій громаді. </w:t>
      </w:r>
      <w:r>
        <w:rPr>
          <w:rFonts w:ascii="Times New Roman" w:hAnsi="Times New Roman" w:cs="Times New Roman"/>
          <w:color w:val="000000"/>
          <w:sz w:val="28"/>
          <w:szCs w:val="28"/>
        </w:rPr>
        <w:t>Відповідно до цього, від такого перерозподілу найбільший обсяг надходжень з даного податку недоотримують саме сільські територіальні громади, де податкові надходження мешканців</w:t>
      </w:r>
      <w:r>
        <w:t xml:space="preserve"> </w:t>
      </w:r>
      <w:r>
        <w:rPr>
          <w:rFonts w:ascii="Times New Roman" w:hAnsi="Times New Roman" w:cs="Times New Roman"/>
          <w:color w:val="000000"/>
          <w:sz w:val="28"/>
          <w:szCs w:val="28"/>
        </w:rPr>
        <w:t>йдуть на підвищення добробуту зовсім іншої громади.</w:t>
      </w:r>
    </w:p>
    <w:p w:rsidR="005A2A1C" w:rsidRDefault="005A2A1C" w:rsidP="005A2A1C">
      <w:pPr>
        <w:spacing w:after="0" w:line="276"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rPr>
        <w:t xml:space="preserve">Для вирішення цієї проблеми можна звернутися до практики зарубіжних країн (зокрема, Польщі, з якої був запозичений реалізований в Україні варіант децентралізації, а також Сполучених Штатів Америки та низки скандинавських країн) й розглянути можливість запровадження справедливого розподілу надходжень податку на доходи фізичних осіб. Так, найбільш прийнятною вбачається модель, за якою надходження від податку спрямовуються </w:t>
      </w:r>
      <w:r>
        <w:rPr>
          <w:rFonts w:ascii="Times New Roman" w:hAnsi="Times New Roman" w:cs="Times New Roman"/>
          <w:color w:val="000000"/>
          <w:sz w:val="28"/>
          <w:szCs w:val="28"/>
          <w:highlight w:val="white"/>
        </w:rPr>
        <w:t xml:space="preserve">до відповідного місцевого бюджету за податковою адресою фізичної особи (працівника). </w:t>
      </w:r>
    </w:p>
    <w:p w:rsidR="005A2A1C" w:rsidRDefault="005A2A1C" w:rsidP="005A2A1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highlight w:val="white"/>
        </w:rPr>
        <w:t xml:space="preserve">Податковий кодекс України у пункті першому статті 45 містить правове визначення податкової адреси, згідно з чим нею вважається </w:t>
      </w:r>
      <w:r>
        <w:rPr>
          <w:rFonts w:ascii="Times New Roman" w:hAnsi="Times New Roman" w:cs="Times New Roman"/>
          <w:color w:val="000000"/>
          <w:sz w:val="28"/>
          <w:szCs w:val="28"/>
        </w:rPr>
        <w:t>місце проживання фізичної особи – платника податків, за яким остання береться на облік в контролюючому органі. Зважаючи на це, згадане поняття «місце проживання» передбачає житло, розташоване на території адміністративно-територіальної одиниці, в якому особа проживає та зареєстрована у визначеному національним законодавством порядку.</w:t>
      </w:r>
      <w:r>
        <w:rPr>
          <w:rFonts w:ascii="Times New Roman" w:hAnsi="Times New Roman" w:cs="Times New Roman"/>
          <w:color w:val="000000"/>
          <w:sz w:val="28"/>
          <w:szCs w:val="28"/>
          <w:vertAlign w:val="superscript"/>
        </w:rPr>
        <w:footnoteReference w:id="2"/>
      </w:r>
      <w:r>
        <w:rPr>
          <w:rFonts w:ascii="Times New Roman" w:hAnsi="Times New Roman" w:cs="Times New Roman"/>
          <w:color w:val="000000"/>
          <w:sz w:val="28"/>
          <w:szCs w:val="28"/>
        </w:rPr>
        <w:t xml:space="preserve"> </w:t>
      </w:r>
    </w:p>
    <w:p w:rsidR="005A2A1C" w:rsidRDefault="005A2A1C" w:rsidP="005A2A1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Використовуючи дані положення, можна презюмувати, що податкова адреса фізичної особи є ознакою, що дає змогу індивідуалізувати фізичну особу у податкових правовідносинах. Пропонована модель дозволить здійснювати  перерахування податку на доходи фізичних осіб впродовж визначеного періоду (до наступного поновлення даних працівником) до відповідного місцевого бюджету. </w:t>
      </w:r>
    </w:p>
    <w:p w:rsidR="005A2A1C" w:rsidRDefault="005A2A1C" w:rsidP="005A2A1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Окреслені зміни спрямовані на продовження курсу фіскальної децентралізації задля забезпечення фінансової незалежності місцевих бюджетів, що за позицією Міністерства фінансів України «</w:t>
      </w:r>
      <w:r>
        <w:rPr>
          <w:rFonts w:ascii="Times New Roman" w:hAnsi="Times New Roman" w:cs="Times New Roman"/>
          <w:color w:val="000000"/>
          <w:sz w:val="28"/>
          <w:szCs w:val="28"/>
          <w:highlight w:val="white"/>
        </w:rPr>
        <w:t>залишається одним з пріоритетних напрямів роботи та важливим компонентом удосконалення системи управління публічними фінансами в цілому».</w:t>
      </w:r>
      <w:r>
        <w:rPr>
          <w:rFonts w:ascii="Times New Roman" w:hAnsi="Times New Roman" w:cs="Times New Roman"/>
          <w:color w:val="000000"/>
          <w:sz w:val="28"/>
          <w:szCs w:val="28"/>
          <w:highlight w:val="white"/>
          <w:vertAlign w:val="superscript"/>
        </w:rPr>
        <w:footnoteReference w:id="3"/>
      </w:r>
    </w:p>
    <w:p w:rsidR="005A2A1C" w:rsidRPr="00C328D8" w:rsidRDefault="005A2A1C" w:rsidP="005A2A1C">
      <w:pPr>
        <w:spacing w:after="0" w:line="276" w:lineRule="auto"/>
        <w:jc w:val="both"/>
        <w:rPr>
          <w:rFonts w:ascii="Times New Roman" w:hAnsi="Times New Roman" w:cs="Times New Roman"/>
          <w:color w:val="000000"/>
          <w:sz w:val="28"/>
          <w:szCs w:val="28"/>
          <w:lang w:val="uk-UA"/>
        </w:rPr>
      </w:pPr>
    </w:p>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rPr>
        <w:t xml:space="preserve">Основним позитивом запропонованого підходу є спрощення механізму перерахування податку та можливість контролю за інформацією про актуальну податкову адресу особи. Також неможливо не відмітити той факт, що </w:t>
      </w:r>
      <w:r>
        <w:rPr>
          <w:rFonts w:ascii="Times New Roman" w:hAnsi="Times New Roman" w:cs="Times New Roman"/>
          <w:color w:val="000000"/>
          <w:sz w:val="28"/>
          <w:szCs w:val="28"/>
          <w:highlight w:val="white"/>
        </w:rPr>
        <w:t xml:space="preserve">з 1 січня 2021 року почне діяти Єдиний рахунок для сплати податків і зборів, що у свою чергу значно спростить адміністрування податків, у тому числі і ПДФО. </w:t>
      </w:r>
    </w:p>
    <w:p w:rsidR="000C4C4A" w:rsidRPr="000C4C4A" w:rsidRDefault="000C4C4A" w:rsidP="000C4C4A">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lang w:val="uk-UA"/>
        </w:rPr>
      </w:pPr>
      <w:r>
        <w:rPr>
          <w:rFonts w:ascii="Times New Roman" w:hAnsi="Times New Roman" w:cs="Times New Roman"/>
          <w:color w:val="000000"/>
          <w:sz w:val="28"/>
          <w:szCs w:val="28"/>
          <w:highlight w:val="white"/>
          <w:lang w:val="uk-UA"/>
        </w:rPr>
        <w:t xml:space="preserve">Варто зазначити, що даний законопроект є системно пов’язаним </w:t>
      </w:r>
      <w:r>
        <w:rPr>
          <w:rFonts w:ascii="Times New Roman" w:hAnsi="Times New Roman" w:cs="Times New Roman"/>
          <w:color w:val="000000"/>
          <w:sz w:val="28"/>
          <w:szCs w:val="28"/>
          <w:lang w:val="uk-UA"/>
        </w:rPr>
        <w:t xml:space="preserve">із проектом Закону України </w:t>
      </w:r>
      <w:r w:rsidRPr="000C4C4A">
        <w:rPr>
          <w:rFonts w:ascii="Times New Roman" w:hAnsi="Times New Roman" w:cs="Times New Roman"/>
          <w:color w:val="000000"/>
          <w:sz w:val="28"/>
          <w:szCs w:val="28"/>
          <w:lang w:val="uk-UA"/>
        </w:rPr>
        <w:t>«Про внесення змін до Податкового кодексу України щодо порядку зарахування податку на доходи фізичних осіб у зв’язку із завершенням реформи децентралізації»</w:t>
      </w:r>
      <w:r>
        <w:rPr>
          <w:rFonts w:ascii="Times New Roman" w:hAnsi="Times New Roman" w:cs="Times New Roman"/>
          <w:color w:val="000000"/>
          <w:sz w:val="28"/>
          <w:szCs w:val="28"/>
          <w:lang w:val="uk-UA"/>
        </w:rPr>
        <w:t xml:space="preserve">, а тому пропоновані законодавчі зміни мають розглядатися комплексно.  </w:t>
      </w:r>
    </w:p>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p>
    <w:p w:rsidR="005A2A1C" w:rsidRDefault="005A2A1C" w:rsidP="005A2A1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Мета і завдання законопроекту</w:t>
      </w:r>
    </w:p>
    <w:p w:rsidR="005A2A1C" w:rsidRDefault="005A2A1C" w:rsidP="005A2A1C">
      <w:pPr>
        <w:spacing w:after="0" w:line="276" w:lineRule="auto"/>
        <w:ind w:firstLine="709"/>
        <w:jc w:val="both"/>
        <w:rPr>
          <w:rFonts w:ascii="Times New Roman" w:hAnsi="Times New Roman" w:cs="Times New Roman"/>
          <w:color w:val="000000"/>
          <w:sz w:val="28"/>
          <w:szCs w:val="28"/>
          <w:highlight w:val="lightGray"/>
        </w:rPr>
      </w:pPr>
      <w:r>
        <w:rPr>
          <w:rFonts w:ascii="Times New Roman" w:hAnsi="Times New Roman" w:cs="Times New Roman"/>
          <w:color w:val="000000"/>
          <w:sz w:val="28"/>
          <w:szCs w:val="28"/>
        </w:rPr>
        <w:t>Метою законопроекту є вдосконалення порядку сплати основного місцевого бюджетоутворювального податку – податку на доходи фізичних осіб</w:t>
      </w:r>
      <w:r>
        <w:rPr>
          <w:rFonts w:ascii="Times New Roman" w:hAnsi="Times New Roman" w:cs="Times New Roman"/>
          <w:color w:val="000000"/>
          <w:sz w:val="28"/>
          <w:szCs w:val="28"/>
          <w:highlight w:val="white"/>
        </w:rPr>
        <w:t xml:space="preserve"> та усунення диспропорції у наявності джерел для розвитку територіальних громад.</w:t>
      </w:r>
    </w:p>
    <w:p w:rsidR="005A2A1C" w:rsidRDefault="005A2A1C" w:rsidP="005A2A1C">
      <w:pPr>
        <w:spacing w:after="0" w:line="276" w:lineRule="auto"/>
        <w:ind w:firstLine="709"/>
        <w:jc w:val="both"/>
        <w:rPr>
          <w:rFonts w:ascii="Times New Roman" w:hAnsi="Times New Roman" w:cs="Times New Roman"/>
          <w:b/>
          <w:color w:val="000000"/>
          <w:sz w:val="28"/>
          <w:szCs w:val="28"/>
        </w:rPr>
      </w:pPr>
    </w:p>
    <w:p w:rsidR="005A2A1C" w:rsidRDefault="005A2A1C" w:rsidP="005A2A1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Загальна характеристика і основні положення законопроекту</w:t>
      </w:r>
    </w:p>
    <w:p w:rsidR="005A2A1C" w:rsidRDefault="005A2A1C" w:rsidP="008051DB">
      <w:pPr>
        <w:spacing w:after="0" w:line="240" w:lineRule="auto"/>
        <w:ind w:firstLine="709"/>
        <w:contextualSpacing/>
        <w:jc w:val="both"/>
        <w:rPr>
          <w:rFonts w:ascii="Times New Roman" w:hAnsi="Times New Roman" w:cs="Times New Roman"/>
          <w:color w:val="000000"/>
          <w:sz w:val="28"/>
          <w:szCs w:val="28"/>
          <w:lang w:val="uk-UA"/>
        </w:rPr>
      </w:pPr>
      <w:r>
        <w:rPr>
          <w:rFonts w:ascii="Times New Roman" w:hAnsi="Times New Roman" w:cs="Times New Roman"/>
          <w:color w:val="000000"/>
          <w:sz w:val="28"/>
          <w:szCs w:val="28"/>
        </w:rPr>
        <w:t>Законопроектом пропо</w:t>
      </w:r>
      <w:r w:rsidR="008051DB">
        <w:rPr>
          <w:rFonts w:ascii="Times New Roman" w:hAnsi="Times New Roman" w:cs="Times New Roman"/>
          <w:color w:val="000000"/>
          <w:sz w:val="28"/>
          <w:szCs w:val="28"/>
          <w:lang w:val="uk-UA"/>
        </w:rPr>
        <w:t>нується внести зміни до статті 64 Бюджетного кодексу України щодо встановлення порядку зарахування податку на доходи фізичних осіб за місцем податкової адреси фізичних осіб – платників податку.</w:t>
      </w:r>
    </w:p>
    <w:p w:rsidR="008051DB" w:rsidRPr="008051DB" w:rsidRDefault="008051DB" w:rsidP="008051DB">
      <w:pPr>
        <w:spacing w:after="0" w:line="240" w:lineRule="auto"/>
        <w:ind w:firstLine="709"/>
        <w:contextualSpacing/>
        <w:jc w:val="both"/>
        <w:rPr>
          <w:rFonts w:ascii="Times New Roman" w:hAnsi="Times New Roman" w:cs="Times New Roman"/>
          <w:color w:val="000000"/>
          <w:sz w:val="28"/>
          <w:szCs w:val="28"/>
          <w:lang w:val="uk-UA"/>
        </w:rPr>
      </w:pPr>
    </w:p>
    <w:p w:rsidR="005A2A1C" w:rsidRDefault="005A2A1C" w:rsidP="005A2A1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Стан нормативно-правової бази у даній сфері правового регулювання</w:t>
      </w:r>
    </w:p>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Основними нормативно-правовими актами у даній сфері правового регулювання є </w:t>
      </w:r>
      <w:r w:rsidR="00913D7F">
        <w:rPr>
          <w:rFonts w:ascii="Times New Roman" w:hAnsi="Times New Roman" w:cs="Times New Roman"/>
          <w:color w:val="000000"/>
          <w:sz w:val="28"/>
          <w:szCs w:val="28"/>
        </w:rPr>
        <w:t xml:space="preserve">Бюджетний Кодекс України та </w:t>
      </w:r>
      <w:r>
        <w:rPr>
          <w:rFonts w:ascii="Times New Roman" w:hAnsi="Times New Roman" w:cs="Times New Roman"/>
          <w:color w:val="000000"/>
          <w:sz w:val="28"/>
          <w:szCs w:val="28"/>
        </w:rPr>
        <w:t>Податковий кодекс України.</w:t>
      </w:r>
    </w:p>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b/>
          <w:color w:val="000000"/>
          <w:sz w:val="28"/>
          <w:szCs w:val="28"/>
        </w:rPr>
      </w:pPr>
    </w:p>
    <w:p w:rsidR="005A2A1C" w:rsidRDefault="005A2A1C" w:rsidP="005A2A1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Фінансово-економічне обґрунтування</w:t>
      </w:r>
    </w:p>
    <w:p w:rsidR="005A2A1C" w:rsidRPr="00DC243B" w:rsidRDefault="00F516E6" w:rsidP="005A2A1C">
      <w:pPr>
        <w:spacing w:line="276" w:lineRule="auto"/>
        <w:ind w:firstLine="709"/>
        <w:contextualSpacing/>
        <w:jc w:val="both"/>
        <w:rPr>
          <w:rFonts w:ascii="Times New Roman" w:hAnsi="Times New Roman" w:cs="Times New Roman"/>
          <w:sz w:val="28"/>
          <w:szCs w:val="28"/>
        </w:rPr>
      </w:pPr>
      <w:sdt>
        <w:sdtPr>
          <w:tag w:val="goog_rdk_0"/>
          <w:id w:val="-1371756191"/>
        </w:sdtPr>
        <w:sdtEndPr/>
        <w:sdtContent/>
      </w:sdt>
      <w:r w:rsidR="005A2A1C">
        <w:rPr>
          <w:rFonts w:ascii="Times New Roman" w:hAnsi="Times New Roman" w:cs="Times New Roman"/>
          <w:color w:val="000000"/>
          <w:sz w:val="28"/>
          <w:szCs w:val="28"/>
          <w:highlight w:val="white"/>
        </w:rPr>
        <w:t>Реалізація положень проекту</w:t>
      </w:r>
      <w:r w:rsidR="005A2A1C">
        <w:rPr>
          <w:rFonts w:ascii="Times New Roman" w:hAnsi="Times New Roman" w:cs="Times New Roman"/>
          <w:color w:val="000000"/>
          <w:sz w:val="28"/>
          <w:szCs w:val="28"/>
          <w:highlight w:val="white"/>
          <w:lang w:val="uk-UA"/>
        </w:rPr>
        <w:t xml:space="preserve"> </w:t>
      </w:r>
      <w:r w:rsidR="005A2A1C">
        <w:rPr>
          <w:rFonts w:ascii="Times New Roman" w:hAnsi="Times New Roman" w:cs="Times New Roman"/>
          <w:color w:val="000000"/>
          <w:sz w:val="28"/>
          <w:szCs w:val="28"/>
          <w:highlight w:val="white"/>
        </w:rPr>
        <w:t xml:space="preserve">має на меті </w:t>
      </w:r>
      <w:r w:rsidR="005A2A1C">
        <w:rPr>
          <w:rFonts w:ascii="Times New Roman" w:hAnsi="Times New Roman" w:cs="Times New Roman"/>
          <w:sz w:val="28"/>
          <w:szCs w:val="28"/>
          <w:highlight w:val="white"/>
        </w:rPr>
        <w:t>в</w:t>
      </w:r>
      <w:r w:rsidR="005A2A1C">
        <w:rPr>
          <w:rFonts w:ascii="Times New Roman" w:hAnsi="Times New Roman" w:cs="Times New Roman"/>
          <w:color w:val="000000"/>
          <w:sz w:val="28"/>
          <w:szCs w:val="28"/>
          <w:highlight w:val="white"/>
        </w:rPr>
        <w:t>регулювання податкових надходжень до місцевих бюджетів</w:t>
      </w:r>
      <w:r w:rsidR="005A2A1C">
        <w:rPr>
          <w:rFonts w:ascii="Times New Roman" w:hAnsi="Times New Roman" w:cs="Times New Roman"/>
          <w:color w:val="000000"/>
          <w:sz w:val="28"/>
          <w:szCs w:val="28"/>
          <w:highlight w:val="white"/>
          <w:lang w:val="uk-UA"/>
        </w:rPr>
        <w:t xml:space="preserve"> та фінансової спроможності невеликих об’єднаних територіальних громад, а тому в загальному не змінює показники бюджету</w:t>
      </w:r>
      <w:r w:rsidR="005A2A1C">
        <w:rPr>
          <w:rFonts w:ascii="Times New Roman" w:hAnsi="Times New Roman" w:cs="Times New Roman"/>
          <w:color w:val="000000"/>
          <w:sz w:val="28"/>
          <w:szCs w:val="28"/>
          <w:highlight w:val="white"/>
        </w:rPr>
        <w:t xml:space="preserve">. </w:t>
      </w:r>
      <w:r w:rsidR="005A2A1C">
        <w:rPr>
          <w:rFonts w:ascii="Times New Roman" w:hAnsi="Times New Roman" w:cs="Times New Roman"/>
          <w:color w:val="000000"/>
          <w:sz w:val="28"/>
          <w:szCs w:val="28"/>
          <w:lang w:val="uk-UA"/>
        </w:rPr>
        <w:t xml:space="preserve">Однак, у матеріалах, поданих до законопроекту, є проведений фінансово-економічний </w:t>
      </w:r>
      <w:r w:rsidR="005A2A1C" w:rsidRPr="00151DEF">
        <w:rPr>
          <w:rFonts w:ascii="Times New Roman" w:hAnsi="Times New Roman" w:cs="Times New Roman"/>
          <w:sz w:val="28"/>
          <w:szCs w:val="28"/>
        </w:rPr>
        <w:t xml:space="preserve">аналіз </w:t>
      </w:r>
      <w:r w:rsidR="005A2A1C">
        <w:rPr>
          <w:rFonts w:ascii="Times New Roman" w:hAnsi="Times New Roman" w:cs="Times New Roman"/>
          <w:sz w:val="28"/>
          <w:szCs w:val="28"/>
          <w:lang w:val="uk-UA"/>
        </w:rPr>
        <w:t xml:space="preserve">поточної ситуації, який </w:t>
      </w:r>
      <w:r w:rsidR="005A2A1C" w:rsidRPr="00151DEF">
        <w:rPr>
          <w:rFonts w:ascii="Times New Roman" w:hAnsi="Times New Roman" w:cs="Times New Roman"/>
          <w:sz w:val="28"/>
          <w:szCs w:val="28"/>
        </w:rPr>
        <w:t xml:space="preserve">показав, що в середньому невеликі </w:t>
      </w:r>
      <w:r w:rsidR="005A2A1C">
        <w:rPr>
          <w:rFonts w:ascii="Times New Roman" w:hAnsi="Times New Roman" w:cs="Times New Roman"/>
          <w:sz w:val="28"/>
          <w:szCs w:val="28"/>
          <w:lang w:val="uk-UA"/>
        </w:rPr>
        <w:t xml:space="preserve">об’єднані територіальні громади </w:t>
      </w:r>
      <w:r w:rsidR="005A2A1C" w:rsidRPr="00151DEF">
        <w:rPr>
          <w:rFonts w:ascii="Times New Roman" w:hAnsi="Times New Roman" w:cs="Times New Roman"/>
          <w:sz w:val="28"/>
          <w:szCs w:val="28"/>
        </w:rPr>
        <w:t>недоотримують близько 16% доходів в місцеві бюджети від ПДФО в зв’язку з тим, що значна частина населення</w:t>
      </w:r>
      <w:r w:rsidR="005A2A1C">
        <w:rPr>
          <w:rFonts w:ascii="Times New Roman" w:hAnsi="Times New Roman" w:cs="Times New Roman"/>
          <w:sz w:val="28"/>
          <w:szCs w:val="28"/>
          <w:lang w:val="uk-UA"/>
        </w:rPr>
        <w:t xml:space="preserve">, </w:t>
      </w:r>
      <w:r w:rsidR="005A2A1C" w:rsidRPr="00151DEF">
        <w:rPr>
          <w:rFonts w:ascii="Times New Roman" w:hAnsi="Times New Roman" w:cs="Times New Roman"/>
          <w:sz w:val="28"/>
          <w:szCs w:val="28"/>
        </w:rPr>
        <w:t xml:space="preserve">яке проживає на </w:t>
      </w:r>
      <w:r w:rsidR="005A2A1C">
        <w:rPr>
          <w:rFonts w:ascii="Times New Roman" w:hAnsi="Times New Roman" w:cs="Times New Roman"/>
          <w:sz w:val="28"/>
          <w:szCs w:val="28"/>
          <w:lang w:val="uk-UA"/>
        </w:rPr>
        <w:t xml:space="preserve">відповідній </w:t>
      </w:r>
      <w:r w:rsidR="005A2A1C" w:rsidRPr="00151DEF">
        <w:rPr>
          <w:rFonts w:ascii="Times New Roman" w:hAnsi="Times New Roman" w:cs="Times New Roman"/>
          <w:sz w:val="28"/>
          <w:szCs w:val="28"/>
        </w:rPr>
        <w:t>території</w:t>
      </w:r>
      <w:r w:rsidR="005A2A1C">
        <w:rPr>
          <w:rFonts w:ascii="Times New Roman" w:hAnsi="Times New Roman" w:cs="Times New Roman"/>
          <w:sz w:val="28"/>
          <w:szCs w:val="28"/>
          <w:lang w:val="uk-UA"/>
        </w:rPr>
        <w:t>,</w:t>
      </w:r>
      <w:r w:rsidR="005A2A1C" w:rsidRPr="00151DEF">
        <w:rPr>
          <w:rFonts w:ascii="Times New Roman" w:hAnsi="Times New Roman" w:cs="Times New Roman"/>
          <w:sz w:val="28"/>
          <w:szCs w:val="28"/>
        </w:rPr>
        <w:t xml:space="preserve"> сплачує ПДФО в бюджети інших міст чи </w:t>
      </w:r>
      <w:r w:rsidR="005A2A1C">
        <w:rPr>
          <w:rFonts w:ascii="Times New Roman" w:hAnsi="Times New Roman" w:cs="Times New Roman"/>
          <w:sz w:val="28"/>
          <w:szCs w:val="28"/>
          <w:lang w:val="uk-UA"/>
        </w:rPr>
        <w:t>територіальних одиниць</w:t>
      </w:r>
      <w:r w:rsidR="005A2A1C" w:rsidRPr="00151DEF">
        <w:rPr>
          <w:rFonts w:ascii="Times New Roman" w:hAnsi="Times New Roman" w:cs="Times New Roman"/>
          <w:sz w:val="28"/>
          <w:szCs w:val="28"/>
        </w:rPr>
        <w:t xml:space="preserve">. </w:t>
      </w:r>
    </w:p>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b/>
          <w:color w:val="000000"/>
          <w:sz w:val="28"/>
          <w:szCs w:val="28"/>
        </w:rPr>
      </w:pPr>
    </w:p>
    <w:p w:rsidR="005A2A1C" w:rsidRDefault="005A2A1C" w:rsidP="005A2A1C">
      <w:pPr>
        <w:spacing w:after="0" w:line="276"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6. Прогнозовані соціально-економічні та інші наслідки прийняття законопроекту</w:t>
      </w:r>
    </w:p>
    <w:p w:rsidR="005A2A1C" w:rsidRDefault="005A2A1C" w:rsidP="005A2A1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Прийняття законопроекту </w:t>
      </w:r>
      <w:r>
        <w:rPr>
          <w:rFonts w:ascii="Times New Roman" w:hAnsi="Times New Roman" w:cs="Times New Roman"/>
          <w:sz w:val="28"/>
          <w:szCs w:val="28"/>
        </w:rPr>
        <w:t>забезпечить</w:t>
      </w:r>
      <w:r>
        <w:rPr>
          <w:rFonts w:ascii="Times New Roman" w:hAnsi="Times New Roman" w:cs="Times New Roman"/>
          <w:color w:val="000000"/>
          <w:sz w:val="28"/>
          <w:szCs w:val="28"/>
        </w:rPr>
        <w:t xml:space="preserve"> збалансоване та справедливе наповнення місцевих бюджетів за допомоги встановлення оптимального порядку сплати податку на доходи фізичних осіб, а також функціонування спроможних та фінансово незалежних адміністративно-територіальних одиниць.</w:t>
      </w:r>
    </w:p>
    <w:p w:rsidR="005A2A1C" w:rsidRDefault="005A2A1C" w:rsidP="005A2A1C">
      <w:pPr>
        <w:spacing w:after="168" w:line="240" w:lineRule="auto"/>
        <w:ind w:firstLine="567"/>
        <w:jc w:val="both"/>
        <w:rPr>
          <w:rFonts w:ascii="Times New Roman" w:hAnsi="Times New Roman" w:cs="Times New Roman"/>
          <w:sz w:val="28"/>
          <w:szCs w:val="28"/>
        </w:rPr>
      </w:pPr>
    </w:p>
    <w:p w:rsidR="005A2A1C" w:rsidRDefault="005A2A1C" w:rsidP="005A2A1C">
      <w:pPr>
        <w:pBdr>
          <w:top w:val="nil"/>
          <w:left w:val="nil"/>
          <w:bottom w:val="nil"/>
          <w:right w:val="nil"/>
          <w:between w:val="nil"/>
        </w:pBdr>
        <w:spacing w:after="0" w:line="240" w:lineRule="auto"/>
        <w:ind w:firstLine="709"/>
        <w:jc w:val="both"/>
        <w:rPr>
          <w:rFonts w:ascii="Times New Roman" w:hAnsi="Times New Roman" w:cs="Times New Roman"/>
          <w:color w:val="000000"/>
          <w:sz w:val="28"/>
          <w:szCs w:val="28"/>
        </w:rPr>
      </w:pPr>
    </w:p>
    <w:p w:rsidR="00913D7F" w:rsidRDefault="00913D7F" w:rsidP="00913D7F">
      <w:pPr>
        <w:pBdr>
          <w:top w:val="nil"/>
          <w:left w:val="nil"/>
          <w:bottom w:val="nil"/>
          <w:right w:val="nil"/>
          <w:between w:val="nil"/>
        </w:pBdr>
        <w:spacing w:after="0" w:line="240" w:lineRule="auto"/>
        <w:ind w:firstLine="709"/>
        <w:jc w:val="both"/>
        <w:rPr>
          <w:rFonts w:ascii="Times New Roman" w:hAnsi="Times New Roman" w:cs="Times New Roman"/>
          <w:color w:val="000000"/>
          <w:sz w:val="28"/>
          <w:szCs w:val="28"/>
        </w:rPr>
      </w:pPr>
    </w:p>
    <w:p w:rsidR="00913D7F" w:rsidRDefault="00913D7F" w:rsidP="00913D7F">
      <w:pPr>
        <w:spacing w:after="0" w:line="24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rPr>
        <w:t>Народн</w:t>
      </w:r>
      <w:r>
        <w:rPr>
          <w:rFonts w:ascii="Times New Roman" w:hAnsi="Times New Roman" w:cs="Times New Roman"/>
          <w:b/>
          <w:color w:val="000000"/>
          <w:sz w:val="28"/>
          <w:szCs w:val="28"/>
          <w:lang w:val="uk-UA"/>
        </w:rPr>
        <w:t>і</w:t>
      </w:r>
      <w:r>
        <w:rPr>
          <w:rFonts w:ascii="Times New Roman" w:hAnsi="Times New Roman" w:cs="Times New Roman"/>
          <w:b/>
          <w:color w:val="000000"/>
          <w:sz w:val="28"/>
          <w:szCs w:val="28"/>
        </w:rPr>
        <w:t xml:space="preserve"> депутат</w:t>
      </w:r>
      <w:r>
        <w:rPr>
          <w:rFonts w:ascii="Times New Roman" w:hAnsi="Times New Roman" w:cs="Times New Roman"/>
          <w:b/>
          <w:color w:val="000000"/>
          <w:sz w:val="28"/>
          <w:szCs w:val="28"/>
          <w:lang w:val="uk-UA"/>
        </w:rPr>
        <w:t>и</w:t>
      </w:r>
      <w:r>
        <w:rPr>
          <w:rFonts w:ascii="Times New Roman" w:hAnsi="Times New Roman" w:cs="Times New Roman"/>
          <w:b/>
          <w:color w:val="000000"/>
          <w:sz w:val="28"/>
          <w:szCs w:val="28"/>
        </w:rPr>
        <w:t xml:space="preserve"> України </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lang w:val="uk-UA"/>
        </w:rPr>
        <w:t xml:space="preserve">     Г.І. Васильченко (посвід.№319)</w:t>
      </w:r>
    </w:p>
    <w:p w:rsidR="00913D7F" w:rsidRPr="00AC0063" w:rsidRDefault="00913D7F" w:rsidP="00913D7F">
      <w:pPr>
        <w:spacing w:after="0" w:line="24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 xml:space="preserve">                                                                            та інші</w:t>
      </w:r>
    </w:p>
    <w:p w:rsidR="005A2A1C" w:rsidRDefault="005A2A1C" w:rsidP="005A2A1C"/>
    <w:p w:rsidR="005A2A1C" w:rsidRDefault="005A2A1C" w:rsidP="005A2A1C"/>
    <w:p w:rsidR="005A2A1C" w:rsidRPr="005A2A1C" w:rsidRDefault="005A2A1C">
      <w:pPr>
        <w:rPr>
          <w:lang w:val="en-US"/>
        </w:rPr>
      </w:pPr>
    </w:p>
    <w:sectPr w:rsidR="005A2A1C" w:rsidRPr="005A2A1C" w:rsidSect="007A30FA">
      <w:headerReference w:type="even" r:id="rId10"/>
      <w:headerReference w:type="default" r:id="rId11"/>
      <w:pgSz w:w="11906" w:h="16838"/>
      <w:pgMar w:top="1368" w:right="567" w:bottom="1452" w:left="1701" w:header="709"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6E6" w:rsidRDefault="00F516E6" w:rsidP="005A2A1C">
      <w:pPr>
        <w:spacing w:after="0" w:line="240" w:lineRule="auto"/>
      </w:pPr>
      <w:r>
        <w:separator/>
      </w:r>
    </w:p>
  </w:endnote>
  <w:endnote w:type="continuationSeparator" w:id="0">
    <w:p w:rsidR="00F516E6" w:rsidRDefault="00F516E6" w:rsidP="005A2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6E6" w:rsidRDefault="00F516E6" w:rsidP="005A2A1C">
      <w:pPr>
        <w:spacing w:after="0" w:line="240" w:lineRule="auto"/>
      </w:pPr>
      <w:r>
        <w:separator/>
      </w:r>
    </w:p>
  </w:footnote>
  <w:footnote w:type="continuationSeparator" w:id="0">
    <w:p w:rsidR="00F516E6" w:rsidRDefault="00F516E6" w:rsidP="005A2A1C">
      <w:pPr>
        <w:spacing w:after="0" w:line="240" w:lineRule="auto"/>
      </w:pPr>
      <w:r>
        <w:continuationSeparator/>
      </w:r>
    </w:p>
  </w:footnote>
  <w:footnote w:id="1">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4"/>
          <w:szCs w:val="24"/>
        </w:rPr>
      </w:pPr>
      <w:r>
        <w:rPr>
          <w:vertAlign w:val="superscript"/>
        </w:rPr>
        <w:footnoteRef/>
      </w:r>
      <w:r>
        <w:rPr>
          <w:rFonts w:eastAsia="Calibri" w:cs="Calibri"/>
          <w:color w:val="000000"/>
          <w:sz w:val="20"/>
          <w:szCs w:val="20"/>
        </w:rPr>
        <w:t xml:space="preserve"> </w:t>
      </w:r>
      <w:r>
        <w:rPr>
          <w:rFonts w:ascii="Times New Roman" w:hAnsi="Times New Roman" w:cs="Times New Roman"/>
          <w:color w:val="000000"/>
          <w:sz w:val="24"/>
          <w:szCs w:val="24"/>
        </w:rPr>
        <w:t>Офіційний веб-сайт Державної казначейської служби України. Режим доступу: https://www.treasury.gov.ua/ua/file-storage/kvartalnij-zvit-pro-vikonannya-derzhavnogo-byudzhetu-ukrayini-za-pershe-pivrichchya-2020-roku?page=1.</w:t>
      </w:r>
    </w:p>
  </w:footnote>
  <w:footnote w:id="2">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4"/>
          <w:szCs w:val="24"/>
        </w:rPr>
      </w:pPr>
      <w:r>
        <w:rPr>
          <w:vertAlign w:val="superscript"/>
        </w:rPr>
        <w:footnoteRef/>
      </w:r>
      <w:r>
        <w:rPr>
          <w:rFonts w:ascii="Times New Roman" w:hAnsi="Times New Roman" w:cs="Times New Roman"/>
          <w:color w:val="000000"/>
          <w:sz w:val="24"/>
          <w:szCs w:val="24"/>
        </w:rPr>
        <w:t xml:space="preserve"> Закон України «Про свободу пересування і вільний вибір місця проживання в Україні» від 11 грудня 2003 року № 1382-IV.</w:t>
      </w:r>
    </w:p>
  </w:footnote>
  <w:footnote w:id="3">
    <w:p w:rsidR="005A2A1C" w:rsidRDefault="005A2A1C" w:rsidP="005A2A1C">
      <w:pPr>
        <w:pBdr>
          <w:top w:val="nil"/>
          <w:left w:val="nil"/>
          <w:bottom w:val="nil"/>
          <w:right w:val="nil"/>
          <w:between w:val="nil"/>
        </w:pBdr>
        <w:spacing w:after="0" w:line="276" w:lineRule="auto"/>
        <w:ind w:firstLine="709"/>
        <w:jc w:val="both"/>
        <w:rPr>
          <w:rFonts w:ascii="Times New Roman" w:hAnsi="Times New Roman" w:cs="Times New Roman"/>
          <w:color w:val="000000"/>
          <w:sz w:val="24"/>
          <w:szCs w:val="24"/>
        </w:rPr>
      </w:pPr>
      <w:r>
        <w:rPr>
          <w:vertAlign w:val="superscript"/>
        </w:rPr>
        <w:footnoteRef/>
      </w:r>
      <w:r>
        <w:rPr>
          <w:rFonts w:ascii="Times New Roman" w:hAnsi="Times New Roman" w:cs="Times New Roman"/>
          <w:color w:val="000000"/>
          <w:sz w:val="24"/>
          <w:szCs w:val="24"/>
        </w:rPr>
        <w:t xml:space="preserve"> Урядовий портал. Режим доступу: https://www.kmu.gov.ua/news/dlya-minfinu-reforma-fiskalnoyi-decentralizaciyi-zalishayetsya-odnim-z-prioritetnih-napryamiv-roboti-pershij-zastupnik-ministra-finansiv-denis-ulyutin.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1935080776"/>
      <w:docPartObj>
        <w:docPartGallery w:val="Page Numbers (Top of Page)"/>
        <w:docPartUnique/>
      </w:docPartObj>
    </w:sdtPr>
    <w:sdtEndPr>
      <w:rPr>
        <w:rStyle w:val="a6"/>
      </w:rPr>
    </w:sdtEndPr>
    <w:sdtContent>
      <w:p w:rsidR="00843A4C" w:rsidRDefault="006628A9" w:rsidP="00E17363">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sdtContent>
  </w:sdt>
  <w:p w:rsidR="00843A4C" w:rsidRDefault="00F516E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404731794"/>
      <w:docPartObj>
        <w:docPartGallery w:val="Page Numbers (Top of Page)"/>
        <w:docPartUnique/>
      </w:docPartObj>
    </w:sdtPr>
    <w:sdtEndPr>
      <w:rPr>
        <w:rStyle w:val="a6"/>
      </w:rPr>
    </w:sdtEndPr>
    <w:sdtContent>
      <w:p w:rsidR="00843A4C" w:rsidRDefault="006628A9" w:rsidP="00E17363">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sidR="004C5031">
          <w:rPr>
            <w:rStyle w:val="a6"/>
            <w:noProof/>
          </w:rPr>
          <w:t>2</w:t>
        </w:r>
        <w:r>
          <w:rPr>
            <w:rStyle w:val="a6"/>
          </w:rPr>
          <w:fldChar w:fldCharType="end"/>
        </w:r>
      </w:p>
    </w:sdtContent>
  </w:sdt>
  <w:p w:rsidR="00214837" w:rsidRDefault="00F516E6">
    <w:pPr>
      <w:pBdr>
        <w:top w:val="nil"/>
        <w:left w:val="nil"/>
        <w:bottom w:val="nil"/>
        <w:right w:val="nil"/>
        <w:between w:val="nil"/>
      </w:pBdr>
      <w:tabs>
        <w:tab w:val="center" w:pos="4677"/>
        <w:tab w:val="right" w:pos="9355"/>
      </w:tabs>
      <w:rPr>
        <w:rFonts w:eastAsia="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00E4"/>
    <w:multiLevelType w:val="hybridMultilevel"/>
    <w:tmpl w:val="5B564A6E"/>
    <w:lvl w:ilvl="0" w:tplc="B0F6423C">
      <w:start w:val="3"/>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5567B2B"/>
    <w:multiLevelType w:val="multilevel"/>
    <w:tmpl w:val="083EB1B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A1C"/>
    <w:rsid w:val="00095365"/>
    <w:rsid w:val="000C4C4A"/>
    <w:rsid w:val="00342FBE"/>
    <w:rsid w:val="004C5031"/>
    <w:rsid w:val="00561713"/>
    <w:rsid w:val="005A2A1C"/>
    <w:rsid w:val="006628A9"/>
    <w:rsid w:val="008051DB"/>
    <w:rsid w:val="00913D7F"/>
    <w:rsid w:val="009E4CE5"/>
    <w:rsid w:val="00A36F32"/>
    <w:rsid w:val="00D20F54"/>
    <w:rsid w:val="00F516E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0CDD85-EAE0-2F41-8F45-151F67AB0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A1C"/>
    <w:pPr>
      <w:suppressAutoHyphens/>
      <w:spacing w:after="160" w:line="252" w:lineRule="auto"/>
    </w:pPr>
    <w:rPr>
      <w:rFonts w:ascii="Calibri" w:eastAsia="Times New Roman" w:hAnsi="Calibri" w:cstheme="minorHAnsi"/>
      <w:sz w:val="22"/>
      <w:szCs w:val="22"/>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rsid w:val="005A2A1C"/>
    <w:pPr>
      <w:ind w:left="720"/>
      <w:contextualSpacing/>
    </w:pPr>
  </w:style>
  <w:style w:type="paragraph" w:styleId="a4">
    <w:name w:val="header"/>
    <w:basedOn w:val="a"/>
    <w:link w:val="a5"/>
    <w:uiPriority w:val="99"/>
    <w:unhideWhenUsed/>
    <w:rsid w:val="005A2A1C"/>
    <w:pPr>
      <w:tabs>
        <w:tab w:val="center" w:pos="4513"/>
        <w:tab w:val="right" w:pos="9026"/>
      </w:tabs>
      <w:spacing w:after="0" w:line="240" w:lineRule="auto"/>
    </w:pPr>
  </w:style>
  <w:style w:type="character" w:customStyle="1" w:styleId="a5">
    <w:name w:val="Верхній колонтитул Знак"/>
    <w:basedOn w:val="a0"/>
    <w:link w:val="a4"/>
    <w:uiPriority w:val="99"/>
    <w:rsid w:val="005A2A1C"/>
    <w:rPr>
      <w:rFonts w:ascii="Calibri" w:eastAsia="Times New Roman" w:hAnsi="Calibri" w:cstheme="minorHAnsi"/>
      <w:sz w:val="22"/>
      <w:szCs w:val="22"/>
      <w:lang w:val="ru-RU" w:eastAsia="zh-CN"/>
    </w:rPr>
  </w:style>
  <w:style w:type="character" w:styleId="a6">
    <w:name w:val="page number"/>
    <w:basedOn w:val="a0"/>
    <w:uiPriority w:val="99"/>
    <w:semiHidden/>
    <w:unhideWhenUsed/>
    <w:rsid w:val="005A2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7E54EF-4E2D-4FD9-B701-A5602116EB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9E51AD-6154-4678-8191-7415831BF17A}">
  <ds:schemaRefs>
    <ds:schemaRef ds:uri="http://schemas.microsoft.com/sharepoint/v3/contenttype/forms"/>
  </ds:schemaRefs>
</ds:datastoreItem>
</file>

<file path=customXml/itemProps3.xml><?xml version="1.0" encoding="utf-8"?>
<ds:datastoreItem xmlns:ds="http://schemas.openxmlformats.org/officeDocument/2006/customXml" ds:itemID="{30D0EB68-EFB9-430F-95BF-64F771918F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4376</Words>
  <Characters>2495</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2020-11-13T10:13:00Z</dcterms:created>
  <dcterms:modified xsi:type="dcterms:W3CDTF">2020-11-13T10:13:00Z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