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BD6026" w14:textId="77777777" w:rsidR="008E5066" w:rsidRPr="00E330BC" w:rsidRDefault="008E5066" w:rsidP="00E936F1">
      <w:pPr>
        <w:widowControl w:val="0"/>
        <w:ind w:firstLine="720"/>
        <w:jc w:val="center"/>
        <w:rPr>
          <w:b/>
          <w:sz w:val="28"/>
          <w:szCs w:val="28"/>
        </w:rPr>
      </w:pPr>
    </w:p>
    <w:p w14:paraId="131E4DFA" w14:textId="77777777" w:rsidR="008E5066" w:rsidRPr="005C4E2E" w:rsidRDefault="008E5066" w:rsidP="00E936F1">
      <w:pPr>
        <w:widowControl w:val="0"/>
        <w:ind w:firstLine="720"/>
        <w:jc w:val="center"/>
        <w:rPr>
          <w:b/>
          <w:sz w:val="28"/>
          <w:szCs w:val="28"/>
        </w:rPr>
      </w:pPr>
    </w:p>
    <w:p w14:paraId="71ED2F35" w14:textId="77777777" w:rsidR="00103753" w:rsidRPr="005C4E2E" w:rsidRDefault="00103753" w:rsidP="00E936F1">
      <w:pPr>
        <w:widowControl w:val="0"/>
        <w:ind w:firstLine="720"/>
        <w:jc w:val="center"/>
        <w:rPr>
          <w:b/>
          <w:sz w:val="28"/>
          <w:szCs w:val="28"/>
        </w:rPr>
      </w:pPr>
    </w:p>
    <w:p w14:paraId="3338EAE8" w14:textId="77777777" w:rsidR="008E5066" w:rsidRPr="005C4E2E" w:rsidRDefault="008E5066" w:rsidP="00E936F1">
      <w:pPr>
        <w:pStyle w:val="Iauiue"/>
        <w:jc w:val="center"/>
        <w:rPr>
          <w:b/>
          <w:bCs/>
          <w:color w:val="000000"/>
          <w:sz w:val="28"/>
          <w:szCs w:val="28"/>
          <w:lang w:val="uk-UA"/>
        </w:rPr>
      </w:pPr>
      <w:r w:rsidRPr="005C4E2E">
        <w:rPr>
          <w:b/>
          <w:bCs/>
          <w:color w:val="000000"/>
          <w:sz w:val="28"/>
          <w:szCs w:val="28"/>
          <w:lang w:val="uk-UA"/>
        </w:rPr>
        <w:t>ВИСНОВОК</w:t>
      </w:r>
    </w:p>
    <w:p w14:paraId="24093CD2" w14:textId="77777777" w:rsidR="001D4D0F" w:rsidRDefault="008E5066" w:rsidP="00E936F1">
      <w:pPr>
        <w:widowControl w:val="0"/>
        <w:jc w:val="center"/>
        <w:rPr>
          <w:b/>
          <w:color w:val="000000"/>
          <w:sz w:val="28"/>
          <w:szCs w:val="28"/>
        </w:rPr>
      </w:pPr>
      <w:r w:rsidRPr="005C4E2E">
        <w:rPr>
          <w:b/>
          <w:color w:val="000000"/>
          <w:sz w:val="28"/>
          <w:szCs w:val="28"/>
        </w:rPr>
        <w:t>на проект Закону України «</w:t>
      </w:r>
      <w:r w:rsidR="005C4E2E" w:rsidRPr="005C4E2E">
        <w:rPr>
          <w:b/>
          <w:color w:val="000000"/>
          <w:sz w:val="28"/>
          <w:szCs w:val="28"/>
        </w:rPr>
        <w:t xml:space="preserve">Про внесення змін до деяких законодавчих актів України щодо </w:t>
      </w:r>
      <w:bookmarkStart w:id="0" w:name="_Hlk64889345"/>
      <w:r w:rsidR="005C4E2E" w:rsidRPr="005C4E2E">
        <w:rPr>
          <w:b/>
          <w:color w:val="000000"/>
          <w:sz w:val="28"/>
          <w:szCs w:val="28"/>
        </w:rPr>
        <w:t xml:space="preserve">реструктуризації зобов’язань за кредитами в </w:t>
      </w:r>
    </w:p>
    <w:p w14:paraId="6B2674B9" w14:textId="77777777" w:rsidR="001D4D0F" w:rsidRDefault="005C4E2E" w:rsidP="00E936F1">
      <w:pPr>
        <w:widowControl w:val="0"/>
        <w:jc w:val="center"/>
        <w:rPr>
          <w:b/>
          <w:color w:val="000000"/>
          <w:sz w:val="28"/>
          <w:szCs w:val="28"/>
        </w:rPr>
      </w:pPr>
      <w:r w:rsidRPr="005C4E2E">
        <w:rPr>
          <w:b/>
          <w:color w:val="000000"/>
          <w:sz w:val="28"/>
          <w:szCs w:val="28"/>
        </w:rPr>
        <w:t xml:space="preserve">іноземній валюті та адаптації процедур неплатоспроможності </w:t>
      </w:r>
    </w:p>
    <w:p w14:paraId="5E6920C3" w14:textId="116F052E" w:rsidR="008E5066" w:rsidRPr="005C4E2E" w:rsidRDefault="005C4E2E" w:rsidP="00E936F1">
      <w:pPr>
        <w:widowControl w:val="0"/>
        <w:jc w:val="center"/>
        <w:rPr>
          <w:b/>
          <w:color w:val="000000"/>
          <w:sz w:val="28"/>
          <w:szCs w:val="28"/>
        </w:rPr>
      </w:pPr>
      <w:r w:rsidRPr="005C4E2E">
        <w:rPr>
          <w:b/>
          <w:color w:val="000000"/>
          <w:sz w:val="28"/>
          <w:szCs w:val="28"/>
        </w:rPr>
        <w:t>фізичних осіб</w:t>
      </w:r>
      <w:bookmarkEnd w:id="0"/>
      <w:r w:rsidR="008E5066" w:rsidRPr="005C4E2E">
        <w:rPr>
          <w:b/>
          <w:color w:val="000000"/>
          <w:sz w:val="28"/>
          <w:szCs w:val="28"/>
        </w:rPr>
        <w:t>»</w:t>
      </w:r>
    </w:p>
    <w:p w14:paraId="021AB887" w14:textId="77777777" w:rsidR="008E5066" w:rsidRDefault="008E5066" w:rsidP="00DE5AA8">
      <w:pPr>
        <w:pStyle w:val="21"/>
        <w:widowControl w:val="0"/>
        <w:rPr>
          <w:color w:val="000000"/>
        </w:rPr>
      </w:pPr>
    </w:p>
    <w:p w14:paraId="5625C4CB" w14:textId="7D369DC7" w:rsidR="00E330BC" w:rsidRDefault="00E330BC" w:rsidP="00E330BC">
      <w:pPr>
        <w:pStyle w:val="21"/>
        <w:widowControl w:val="0"/>
      </w:pPr>
      <w:r>
        <w:rPr>
          <w:color w:val="000000"/>
        </w:rPr>
        <w:t xml:space="preserve">Як вбачається з пояснювальної записки до проекту (п. 2), </w:t>
      </w:r>
      <w:r>
        <w:rPr>
          <w:bCs/>
          <w:color w:val="000000"/>
        </w:rPr>
        <w:t>о</w:t>
      </w:r>
      <w:r w:rsidRPr="00E330BC">
        <w:rPr>
          <w:bCs/>
          <w:color w:val="000000"/>
        </w:rPr>
        <w:t xml:space="preserve">сновною метою </w:t>
      </w:r>
      <w:r w:rsidR="001D4D0F">
        <w:rPr>
          <w:bCs/>
          <w:color w:val="000000"/>
        </w:rPr>
        <w:t xml:space="preserve">його </w:t>
      </w:r>
      <w:r w:rsidRPr="00E330BC">
        <w:rPr>
          <w:bCs/>
          <w:color w:val="000000"/>
        </w:rPr>
        <w:t xml:space="preserve">прийняття </w:t>
      </w:r>
      <w:r w:rsidR="008F4B6B">
        <w:rPr>
          <w:bCs/>
          <w:color w:val="000000"/>
        </w:rPr>
        <w:t>«</w:t>
      </w:r>
      <w:r w:rsidR="001D4D0F">
        <w:rPr>
          <w:bCs/>
          <w:color w:val="000000"/>
        </w:rPr>
        <w:t xml:space="preserve">є </w:t>
      </w:r>
      <w:r w:rsidRPr="00E330BC">
        <w:rPr>
          <w:rFonts w:eastAsia="Calibri"/>
          <w:lang w:eastAsia="en-US"/>
        </w:rPr>
        <w:t>підтримка громадян України, які мають невиконані зобов’язання за кредитними договорами в іноземній валюті (валютними кредитами)</w:t>
      </w:r>
      <w:r w:rsidR="008F4B6B">
        <w:rPr>
          <w:rFonts w:eastAsia="Calibri"/>
          <w:lang w:eastAsia="en-US"/>
        </w:rPr>
        <w:t>»</w:t>
      </w:r>
      <w:r w:rsidRPr="00E330BC">
        <w:rPr>
          <w:rFonts w:eastAsia="Calibri"/>
          <w:lang w:eastAsia="en-US"/>
        </w:rPr>
        <w:t>.</w:t>
      </w:r>
      <w:r>
        <w:rPr>
          <w:rFonts w:eastAsia="Calibri"/>
          <w:lang w:eastAsia="en-US"/>
        </w:rPr>
        <w:t xml:space="preserve"> </w:t>
      </w:r>
      <w:r w:rsidR="008F4B6B">
        <w:rPr>
          <w:rFonts w:eastAsia="Calibri"/>
          <w:lang w:eastAsia="en-US"/>
        </w:rPr>
        <w:t xml:space="preserve">Для цього у проекті пропонується </w:t>
      </w:r>
      <w:r w:rsidRPr="003D13F6">
        <w:rPr>
          <w:color w:val="000000"/>
        </w:rPr>
        <w:t xml:space="preserve">внести </w:t>
      </w:r>
      <w:r w:rsidR="008F4B6B">
        <w:rPr>
          <w:color w:val="000000"/>
        </w:rPr>
        <w:t xml:space="preserve">ряд </w:t>
      </w:r>
      <w:r w:rsidRPr="003D13F6">
        <w:rPr>
          <w:color w:val="000000"/>
        </w:rPr>
        <w:t>змін</w:t>
      </w:r>
      <w:r w:rsidR="008F4B6B">
        <w:rPr>
          <w:color w:val="000000"/>
        </w:rPr>
        <w:t xml:space="preserve"> </w:t>
      </w:r>
      <w:r w:rsidRPr="003D13F6">
        <w:rPr>
          <w:color w:val="000000"/>
        </w:rPr>
        <w:t xml:space="preserve">до Кодексу України з процедур банкрутства </w:t>
      </w:r>
      <w:r w:rsidR="008F4B6B">
        <w:rPr>
          <w:color w:val="000000"/>
        </w:rPr>
        <w:t xml:space="preserve">(далі – КУПБ) </w:t>
      </w:r>
      <w:r w:rsidRPr="003D13F6">
        <w:rPr>
          <w:color w:val="000000"/>
        </w:rPr>
        <w:t>та Закону України «Про систему гарантування вкладів фізичних осіб»</w:t>
      </w:r>
      <w:r w:rsidR="009E08DB">
        <w:rPr>
          <w:color w:val="000000"/>
        </w:rPr>
        <w:t xml:space="preserve"> (далі – Закон)</w:t>
      </w:r>
      <w:r>
        <w:rPr>
          <w:color w:val="000000"/>
        </w:rPr>
        <w:t xml:space="preserve">. </w:t>
      </w:r>
      <w:r>
        <w:rPr>
          <w:rFonts w:eastAsia="Calibri"/>
          <w:lang w:eastAsia="en-US"/>
        </w:rPr>
        <w:t>Прийняття проекту, на погляд суб’єкт</w:t>
      </w:r>
      <w:r w:rsidR="008F4B6B">
        <w:rPr>
          <w:rFonts w:eastAsia="Calibri"/>
          <w:lang w:eastAsia="en-US"/>
        </w:rPr>
        <w:t>ів</w:t>
      </w:r>
      <w:r>
        <w:rPr>
          <w:rFonts w:eastAsia="Calibri"/>
          <w:lang w:eastAsia="en-US"/>
        </w:rPr>
        <w:t xml:space="preserve"> права законодавчої ініціативи (п. 6 пояснювальної записки до проекту),</w:t>
      </w:r>
      <w:r w:rsidR="008F4B6B">
        <w:rPr>
          <w:rFonts w:eastAsia="Calibri"/>
          <w:lang w:eastAsia="en-US"/>
        </w:rPr>
        <w:t xml:space="preserve"> «</w:t>
      </w:r>
      <w:r w:rsidRPr="00E330BC">
        <w:t>забезпечить захист прав людини, насамперед в контексті недопущення порушення права на житло, підвищення довіри громадян до держави та забезпечення практичної можливості реалізації прав людини на повагу до її житла та його недоторканість, а також значно знизить соціальну напруженість</w:t>
      </w:r>
      <w:r w:rsidR="008F4B6B">
        <w:t>»</w:t>
      </w:r>
      <w:r w:rsidRPr="00E330BC">
        <w:t>.</w:t>
      </w:r>
    </w:p>
    <w:p w14:paraId="3835B682" w14:textId="56BAF1FA" w:rsidR="002338BA" w:rsidRPr="002338BA" w:rsidRDefault="002338BA" w:rsidP="002338BA">
      <w:pPr>
        <w:ind w:firstLine="709"/>
        <w:jc w:val="both"/>
        <w:rPr>
          <w:rFonts w:eastAsia="Calibri"/>
          <w:color w:val="000000"/>
          <w:sz w:val="28"/>
          <w:szCs w:val="28"/>
        </w:rPr>
      </w:pPr>
      <w:r w:rsidRPr="002338BA">
        <w:rPr>
          <w:rFonts w:eastAsia="Calibri"/>
          <w:color w:val="000000"/>
          <w:sz w:val="28"/>
          <w:szCs w:val="28"/>
        </w:rPr>
        <w:t xml:space="preserve">Проект на </w:t>
      </w:r>
      <w:r w:rsidRPr="006E7480">
        <w:rPr>
          <w:rFonts w:eastAsia="Calibri"/>
          <w:color w:val="000000"/>
          <w:sz w:val="28"/>
          <w:szCs w:val="28"/>
        </w:rPr>
        <w:t xml:space="preserve">момент підготовки висновку не включений до Плану </w:t>
      </w:r>
      <w:r w:rsidR="007F4390" w:rsidRPr="006E7480">
        <w:rPr>
          <w:rFonts w:eastAsia="Calibri"/>
          <w:color w:val="000000"/>
          <w:sz w:val="28"/>
          <w:szCs w:val="28"/>
        </w:rPr>
        <w:t>законопроектної роботи</w:t>
      </w:r>
      <w:r w:rsidRPr="006E7480">
        <w:rPr>
          <w:rFonts w:eastAsia="Calibri"/>
          <w:color w:val="000000"/>
          <w:sz w:val="28"/>
          <w:szCs w:val="28"/>
        </w:rPr>
        <w:t xml:space="preserve"> Верховної Ради України на 2021 рік, затвердженого </w:t>
      </w:r>
      <w:r w:rsidR="0065180D" w:rsidRPr="006E7480">
        <w:rPr>
          <w:rFonts w:eastAsia="Calibri"/>
          <w:color w:val="000000"/>
          <w:sz w:val="28"/>
          <w:szCs w:val="28"/>
        </w:rPr>
        <w:t>п</w:t>
      </w:r>
      <w:r w:rsidRPr="006E7480">
        <w:rPr>
          <w:rFonts w:eastAsia="Calibri"/>
          <w:color w:val="000000"/>
          <w:sz w:val="28"/>
          <w:szCs w:val="28"/>
        </w:rPr>
        <w:t>остановою Верховної Ради України від 02.02.2021 № 1165-ІХ.</w:t>
      </w:r>
    </w:p>
    <w:p w14:paraId="01FB90F8" w14:textId="77777777" w:rsidR="008E5066" w:rsidRDefault="008E5066" w:rsidP="00E936F1">
      <w:pPr>
        <w:pStyle w:val="21"/>
        <w:widowControl w:val="0"/>
        <w:rPr>
          <w:color w:val="000000"/>
        </w:rPr>
      </w:pPr>
      <w:r w:rsidRPr="00143C69">
        <w:rPr>
          <w:color w:val="000000"/>
        </w:rPr>
        <w:t>Головне управління, проаналізувавши проект</w:t>
      </w:r>
      <w:r w:rsidR="003D13F6">
        <w:rPr>
          <w:color w:val="000000"/>
        </w:rPr>
        <w:t>,</w:t>
      </w:r>
      <w:r w:rsidRPr="00143C69">
        <w:rPr>
          <w:color w:val="000000"/>
        </w:rPr>
        <w:t xml:space="preserve"> вважає за доцільне </w:t>
      </w:r>
      <w:r w:rsidR="00892284" w:rsidRPr="00143C69">
        <w:rPr>
          <w:color w:val="000000"/>
        </w:rPr>
        <w:t xml:space="preserve">висловити щодо нього </w:t>
      </w:r>
      <w:r w:rsidR="00E330BC">
        <w:rPr>
          <w:color w:val="000000"/>
        </w:rPr>
        <w:t>такі зауваження та пропозиції</w:t>
      </w:r>
      <w:r w:rsidRPr="00143C69">
        <w:rPr>
          <w:color w:val="000000"/>
        </w:rPr>
        <w:t>.</w:t>
      </w:r>
    </w:p>
    <w:p w14:paraId="52FC043F" w14:textId="7ACAA13D" w:rsidR="002570AF" w:rsidRPr="006E7480" w:rsidRDefault="008F4B6B" w:rsidP="005A1676">
      <w:pPr>
        <w:pStyle w:val="21"/>
        <w:widowControl w:val="0"/>
        <w:rPr>
          <w:color w:val="000000"/>
        </w:rPr>
      </w:pPr>
      <w:r w:rsidRPr="002570AF">
        <w:rPr>
          <w:b/>
          <w:bCs/>
          <w:color w:val="000000"/>
        </w:rPr>
        <w:t>1.</w:t>
      </w:r>
      <w:r w:rsidR="001C3F56">
        <w:rPr>
          <w:color w:val="000000"/>
        </w:rPr>
        <w:t xml:space="preserve"> </w:t>
      </w:r>
      <w:r w:rsidR="002570AF">
        <w:rPr>
          <w:color w:val="000000"/>
        </w:rPr>
        <w:t xml:space="preserve">Звертаємо увагу, що частина положень проекту </w:t>
      </w:r>
      <w:r w:rsidR="00170C2F">
        <w:rPr>
          <w:color w:val="000000"/>
        </w:rPr>
        <w:t>(зокрема, йдеться про зміни до ст. 132 КУПБ та про зміни до ст. 51 Закону), виходить за межі його предмету, яким згідно з його назвою визначен</w:t>
      </w:r>
      <w:r w:rsidR="001D4D0F">
        <w:rPr>
          <w:color w:val="000000"/>
        </w:rPr>
        <w:t>а</w:t>
      </w:r>
      <w:r w:rsidR="00170C2F">
        <w:rPr>
          <w:color w:val="000000"/>
        </w:rPr>
        <w:t xml:space="preserve"> </w:t>
      </w:r>
      <w:r w:rsidR="00170C2F" w:rsidRPr="00170C2F">
        <w:rPr>
          <w:color w:val="000000"/>
        </w:rPr>
        <w:t>реструктуризаці</w:t>
      </w:r>
      <w:r w:rsidR="001D4D0F">
        <w:rPr>
          <w:color w:val="000000"/>
        </w:rPr>
        <w:t>я</w:t>
      </w:r>
      <w:r w:rsidR="00170C2F" w:rsidRPr="00170C2F">
        <w:rPr>
          <w:color w:val="000000"/>
        </w:rPr>
        <w:t xml:space="preserve"> зобов’язань за кредитами в іноземній валюті та адаптаці</w:t>
      </w:r>
      <w:r w:rsidR="001D4D0F">
        <w:rPr>
          <w:color w:val="000000"/>
        </w:rPr>
        <w:t>я</w:t>
      </w:r>
      <w:r w:rsidR="00170C2F" w:rsidRPr="00170C2F">
        <w:rPr>
          <w:color w:val="000000"/>
        </w:rPr>
        <w:t xml:space="preserve"> процедур неплатоспроможності фізичних осіб</w:t>
      </w:r>
      <w:r w:rsidR="00170C2F">
        <w:rPr>
          <w:color w:val="000000"/>
        </w:rPr>
        <w:t xml:space="preserve">. </w:t>
      </w:r>
      <w:r w:rsidR="001D4D0F">
        <w:rPr>
          <w:color w:val="000000"/>
        </w:rPr>
        <w:t xml:space="preserve">Це пояснюється тим, </w:t>
      </w:r>
      <w:r w:rsidR="00170C2F">
        <w:rPr>
          <w:color w:val="000000"/>
        </w:rPr>
        <w:t xml:space="preserve">що </w:t>
      </w:r>
      <w:r w:rsidR="001D4D0F">
        <w:rPr>
          <w:color w:val="000000"/>
        </w:rPr>
        <w:t>вка</w:t>
      </w:r>
      <w:r w:rsidR="00170C2F">
        <w:rPr>
          <w:color w:val="000000"/>
        </w:rPr>
        <w:t>за</w:t>
      </w:r>
      <w:r w:rsidR="001D4D0F">
        <w:rPr>
          <w:color w:val="000000"/>
        </w:rPr>
        <w:t>ні</w:t>
      </w:r>
      <w:r w:rsidR="00170C2F">
        <w:rPr>
          <w:color w:val="000000"/>
        </w:rPr>
        <w:t xml:space="preserve"> зміни за своїм змістом стосуються всіх учасників відповідних суспільних відносин, а не лише тих фізичних осіб, які мають заборгованість </w:t>
      </w:r>
      <w:r w:rsidR="00170C2F" w:rsidRPr="00170C2F">
        <w:rPr>
          <w:color w:val="000000"/>
        </w:rPr>
        <w:t>за кредитом в іноземній валюті, який забезпечений іпотекою квартири або житлового будинку, що є єдиним місцем проживання сім’ї боржника.</w:t>
      </w:r>
      <w:r w:rsidR="00170C2F">
        <w:rPr>
          <w:color w:val="000000"/>
        </w:rPr>
        <w:t xml:space="preserve"> Наприклад, зміни, які вн</w:t>
      </w:r>
      <w:r w:rsidR="00FD570D">
        <w:rPr>
          <w:color w:val="000000"/>
        </w:rPr>
        <w:t>о</w:t>
      </w:r>
      <w:r w:rsidR="00170C2F">
        <w:rPr>
          <w:color w:val="000000"/>
        </w:rPr>
        <w:t>с</w:t>
      </w:r>
      <w:r w:rsidR="00FD570D">
        <w:rPr>
          <w:color w:val="000000"/>
        </w:rPr>
        <w:t>я</w:t>
      </w:r>
      <w:r w:rsidR="00170C2F">
        <w:rPr>
          <w:color w:val="000000"/>
        </w:rPr>
        <w:t>т</w:t>
      </w:r>
      <w:r w:rsidR="00FD570D">
        <w:rPr>
          <w:color w:val="000000"/>
        </w:rPr>
        <w:t>ься</w:t>
      </w:r>
      <w:r w:rsidR="00170C2F">
        <w:rPr>
          <w:color w:val="000000"/>
        </w:rPr>
        <w:t xml:space="preserve"> до ст. 51 Закону</w:t>
      </w:r>
      <w:r w:rsidR="001D4D0F">
        <w:rPr>
          <w:color w:val="000000"/>
        </w:rPr>
        <w:t>,</w:t>
      </w:r>
      <w:r w:rsidR="00170C2F">
        <w:rPr>
          <w:color w:val="000000"/>
        </w:rPr>
        <w:t xml:space="preserve"> </w:t>
      </w:r>
      <w:r w:rsidR="00FD570D">
        <w:rPr>
          <w:color w:val="000000"/>
        </w:rPr>
        <w:t>стосуються всіх позичальників</w:t>
      </w:r>
      <w:r w:rsidR="001D4D0F">
        <w:rPr>
          <w:color w:val="000000"/>
        </w:rPr>
        <w:t xml:space="preserve"> банку (банків)</w:t>
      </w:r>
      <w:r w:rsidR="00FD570D">
        <w:rPr>
          <w:color w:val="000000"/>
        </w:rPr>
        <w:t xml:space="preserve">, </w:t>
      </w:r>
      <w:r w:rsidR="001D4D0F">
        <w:rPr>
          <w:color w:val="000000"/>
        </w:rPr>
        <w:t>що ліквіду</w:t>
      </w:r>
      <w:r w:rsidR="00127B26" w:rsidRPr="002338BA">
        <w:rPr>
          <w:color w:val="000000"/>
        </w:rPr>
        <w:t>є</w:t>
      </w:r>
      <w:r w:rsidR="001D4D0F" w:rsidRPr="00127B26">
        <w:rPr>
          <w:color w:val="000000"/>
        </w:rPr>
        <w:t>т</w:t>
      </w:r>
      <w:r w:rsidR="001D4D0F">
        <w:rPr>
          <w:color w:val="000000"/>
        </w:rPr>
        <w:t xml:space="preserve">ься, </w:t>
      </w:r>
      <w:r w:rsidR="00FD570D">
        <w:rPr>
          <w:color w:val="000000"/>
        </w:rPr>
        <w:t xml:space="preserve">а не лише тих з них, </w:t>
      </w:r>
      <w:r w:rsidR="00FD570D" w:rsidRPr="00FD570D">
        <w:rPr>
          <w:color w:val="000000"/>
        </w:rPr>
        <w:t xml:space="preserve">які мають заборгованість </w:t>
      </w:r>
      <w:r w:rsidR="001D4D0F">
        <w:rPr>
          <w:color w:val="000000"/>
        </w:rPr>
        <w:t xml:space="preserve">перед таким банком (банками) </w:t>
      </w:r>
      <w:r w:rsidR="00FD570D" w:rsidRPr="00FD570D">
        <w:rPr>
          <w:color w:val="000000"/>
        </w:rPr>
        <w:t>за кредит</w:t>
      </w:r>
      <w:r w:rsidR="001D4D0F">
        <w:rPr>
          <w:color w:val="000000"/>
        </w:rPr>
        <w:t>а</w:t>
      </w:r>
      <w:r w:rsidR="00FD570D" w:rsidRPr="00FD570D">
        <w:rPr>
          <w:color w:val="000000"/>
        </w:rPr>
        <w:t>м</w:t>
      </w:r>
      <w:r w:rsidR="001D4D0F">
        <w:rPr>
          <w:color w:val="000000"/>
        </w:rPr>
        <w:t>и</w:t>
      </w:r>
      <w:r w:rsidR="00FD570D" w:rsidRPr="00FD570D">
        <w:rPr>
          <w:color w:val="000000"/>
        </w:rPr>
        <w:t xml:space="preserve"> в іноземній валюті, як</w:t>
      </w:r>
      <w:r w:rsidR="001D4D0F">
        <w:rPr>
          <w:color w:val="000000"/>
        </w:rPr>
        <w:t xml:space="preserve">і </w:t>
      </w:r>
      <w:r w:rsidR="00FD570D" w:rsidRPr="00FD570D">
        <w:rPr>
          <w:color w:val="000000"/>
        </w:rPr>
        <w:t>забезпечен</w:t>
      </w:r>
      <w:r w:rsidR="001D4D0F">
        <w:rPr>
          <w:color w:val="000000"/>
        </w:rPr>
        <w:t>і</w:t>
      </w:r>
      <w:r w:rsidR="00FD570D" w:rsidRPr="00FD570D">
        <w:rPr>
          <w:color w:val="000000"/>
        </w:rPr>
        <w:t xml:space="preserve"> іпотекою квартири або житлового будинку, що є єдиним місцем проживання сім’ї боржника</w:t>
      </w:r>
      <w:r w:rsidR="0065180D">
        <w:rPr>
          <w:color w:val="000000"/>
        </w:rPr>
        <w:t xml:space="preserve">. </w:t>
      </w:r>
      <w:r w:rsidR="00170C2F">
        <w:rPr>
          <w:color w:val="000000"/>
        </w:rPr>
        <w:t xml:space="preserve">За цих умов питання, яких стосуються вказані пропозиції, на наш погляд, доцільніше вирішувати в окремому </w:t>
      </w:r>
      <w:r w:rsidR="00170C2F" w:rsidRPr="006E7480">
        <w:rPr>
          <w:color w:val="000000"/>
        </w:rPr>
        <w:t>законопроекті</w:t>
      </w:r>
      <w:r w:rsidR="00FD570D" w:rsidRPr="006E7480">
        <w:rPr>
          <w:color w:val="000000"/>
        </w:rPr>
        <w:t xml:space="preserve"> або внести зміни до вказаних положень проекту, уточнивши, що вони діють лише </w:t>
      </w:r>
      <w:r w:rsidR="001D4D0F" w:rsidRPr="006E7480">
        <w:rPr>
          <w:color w:val="000000"/>
        </w:rPr>
        <w:t>щодо вказаних фізичних осіб.</w:t>
      </w:r>
    </w:p>
    <w:p w14:paraId="76F5E66A" w14:textId="62D5CD79" w:rsidR="00542265" w:rsidRPr="006E7480" w:rsidRDefault="00FD570D" w:rsidP="00542265">
      <w:pPr>
        <w:pStyle w:val="21"/>
        <w:widowControl w:val="0"/>
        <w:rPr>
          <w:color w:val="000000"/>
        </w:rPr>
      </w:pPr>
      <w:r w:rsidRPr="006E7480">
        <w:rPr>
          <w:b/>
          <w:bCs/>
          <w:color w:val="000000"/>
        </w:rPr>
        <w:t>2.</w:t>
      </w:r>
      <w:r w:rsidRPr="006E7480">
        <w:rPr>
          <w:color w:val="000000"/>
        </w:rPr>
        <w:t xml:space="preserve"> У змінах до ст. 123</w:t>
      </w:r>
      <w:r w:rsidR="006E7480" w:rsidRPr="006E7480">
        <w:rPr>
          <w:color w:val="000000"/>
        </w:rPr>
        <w:t xml:space="preserve"> </w:t>
      </w:r>
      <w:r w:rsidRPr="006E7480">
        <w:rPr>
          <w:color w:val="000000"/>
        </w:rPr>
        <w:t xml:space="preserve">КУПБ пропонується вилучити з її ч. 7 п. 4, згідно з яким суд приймає рішення про закриття провадження у справі про банкрутство, «якщо боржник не </w:t>
      </w:r>
      <w:r w:rsidR="00542265" w:rsidRPr="006E7480">
        <w:rPr>
          <w:color w:val="000000"/>
        </w:rPr>
        <w:t xml:space="preserve">має фінансових можливостей виплачувати заборгованість за </w:t>
      </w:r>
      <w:r w:rsidR="00542265" w:rsidRPr="006E7480">
        <w:rPr>
          <w:color w:val="000000"/>
        </w:rPr>
        <w:lastRenderedPageBreak/>
        <w:t>кредитом в іноземній валюті, забезпеченим квартирою або житловим будинком, що є єдиним місцем проживання сім’ї боржника, на умовах, передбачених цим Кодексом</w:t>
      </w:r>
      <w:r w:rsidR="001D189C" w:rsidRPr="006E7480">
        <w:rPr>
          <w:color w:val="000000"/>
        </w:rPr>
        <w:t>»</w:t>
      </w:r>
      <w:r w:rsidR="00542265" w:rsidRPr="006E7480">
        <w:rPr>
          <w:color w:val="000000"/>
        </w:rPr>
        <w:t>.</w:t>
      </w:r>
      <w:r w:rsidR="001D189C" w:rsidRPr="006E7480">
        <w:rPr>
          <w:color w:val="000000"/>
        </w:rPr>
        <w:t xml:space="preserve">  </w:t>
      </w:r>
    </w:p>
    <w:p w14:paraId="20C66346" w14:textId="3F38048B" w:rsidR="00CA1EA3" w:rsidRDefault="0065180D" w:rsidP="009E08DB">
      <w:pPr>
        <w:pStyle w:val="21"/>
        <w:widowControl w:val="0"/>
        <w:rPr>
          <w:color w:val="000000"/>
        </w:rPr>
      </w:pPr>
      <w:r w:rsidRPr="006E7480">
        <w:rPr>
          <w:color w:val="000000"/>
        </w:rPr>
        <w:t xml:space="preserve">При цьому, </w:t>
      </w:r>
      <w:r w:rsidR="005D5BB6" w:rsidRPr="006E7480">
        <w:rPr>
          <w:color w:val="000000"/>
        </w:rPr>
        <w:t xml:space="preserve">замість </w:t>
      </w:r>
      <w:r w:rsidR="00BC55B0" w:rsidRPr="006E7480">
        <w:rPr>
          <w:color w:val="000000"/>
        </w:rPr>
        <w:t xml:space="preserve">такого </w:t>
      </w:r>
      <w:r w:rsidR="005D5BB6" w:rsidRPr="006E7480">
        <w:rPr>
          <w:color w:val="000000"/>
        </w:rPr>
        <w:t>закриття провадження по справі у проект</w:t>
      </w:r>
      <w:r w:rsidRPr="006E7480">
        <w:rPr>
          <w:color w:val="000000"/>
        </w:rPr>
        <w:t>і</w:t>
      </w:r>
      <w:r w:rsidR="005D5BB6" w:rsidRPr="006E7480">
        <w:rPr>
          <w:color w:val="000000"/>
        </w:rPr>
        <w:t xml:space="preserve"> </w:t>
      </w:r>
      <w:r w:rsidR="00ED5325" w:rsidRPr="006E7480">
        <w:rPr>
          <w:color w:val="000000"/>
        </w:rPr>
        <w:t xml:space="preserve">у разі </w:t>
      </w:r>
      <w:bookmarkStart w:id="1" w:name="_Hlk64902413"/>
      <w:r w:rsidR="00ED5325" w:rsidRPr="006E7480">
        <w:rPr>
          <w:color w:val="000000"/>
        </w:rPr>
        <w:t>недостатності доходів</w:t>
      </w:r>
      <w:r w:rsidR="00ED5325">
        <w:rPr>
          <w:color w:val="000000"/>
        </w:rPr>
        <w:t xml:space="preserve"> </w:t>
      </w:r>
      <w:r w:rsidR="00ED5325" w:rsidRPr="006E7480">
        <w:rPr>
          <w:color w:val="000000"/>
        </w:rPr>
        <w:t xml:space="preserve">боржника для виконання умов реструктуризації </w:t>
      </w:r>
      <w:bookmarkEnd w:id="1"/>
      <w:r w:rsidR="005D5BB6" w:rsidRPr="006E7480">
        <w:rPr>
          <w:color w:val="000000"/>
        </w:rPr>
        <w:t>пропонується</w:t>
      </w:r>
      <w:r w:rsidR="001D4D0F" w:rsidRPr="006E7480">
        <w:rPr>
          <w:color w:val="000000"/>
        </w:rPr>
        <w:t>,</w:t>
      </w:r>
      <w:r w:rsidR="005D5BB6" w:rsidRPr="006E7480">
        <w:rPr>
          <w:color w:val="000000"/>
        </w:rPr>
        <w:t xml:space="preserve"> </w:t>
      </w:r>
      <w:r w:rsidR="001D4D0F" w:rsidRPr="006E7480">
        <w:rPr>
          <w:color w:val="000000"/>
        </w:rPr>
        <w:t xml:space="preserve">зокрема, </w:t>
      </w:r>
      <w:r w:rsidR="005D5BB6" w:rsidRPr="006E7480">
        <w:rPr>
          <w:color w:val="000000"/>
        </w:rPr>
        <w:t>визначення господарським судом за клопотанням боржника мінімальної суми щомісячного виконання плану реструктуризації до моменту повного погашення реструктур</w:t>
      </w:r>
      <w:r w:rsidRPr="006E7480">
        <w:rPr>
          <w:color w:val="000000"/>
        </w:rPr>
        <w:t xml:space="preserve">изованого зобов’язання </w:t>
      </w:r>
      <w:r w:rsidR="005D5BB6" w:rsidRPr="006E7480">
        <w:rPr>
          <w:color w:val="000000"/>
        </w:rPr>
        <w:t>(</w:t>
      </w:r>
      <w:r w:rsidR="00C1425D" w:rsidRPr="006E7480">
        <w:rPr>
          <w:color w:val="000000"/>
        </w:rPr>
        <w:t xml:space="preserve">зміни до </w:t>
      </w:r>
      <w:r w:rsidR="00127B26" w:rsidRPr="006E7480">
        <w:rPr>
          <w:color w:val="000000"/>
        </w:rPr>
        <w:br/>
      </w:r>
      <w:r w:rsidR="00C1425D" w:rsidRPr="006E7480">
        <w:rPr>
          <w:color w:val="000000"/>
        </w:rPr>
        <w:t>абз</w:t>
      </w:r>
      <w:r w:rsidR="001D4D0F" w:rsidRPr="006E7480">
        <w:rPr>
          <w:color w:val="000000"/>
        </w:rPr>
        <w:t>.</w:t>
      </w:r>
      <w:r w:rsidR="00C1425D" w:rsidRPr="006E7480">
        <w:rPr>
          <w:color w:val="000000"/>
        </w:rPr>
        <w:t xml:space="preserve"> 14 п. 5 </w:t>
      </w:r>
      <w:r w:rsidR="00EC5765" w:rsidRPr="006E7480">
        <w:rPr>
          <w:color w:val="000000"/>
        </w:rPr>
        <w:t xml:space="preserve">розділу «Прикінцеві </w:t>
      </w:r>
      <w:r w:rsidRPr="006E7480">
        <w:rPr>
          <w:color w:val="000000"/>
        </w:rPr>
        <w:t>та</w:t>
      </w:r>
      <w:r w:rsidR="00EC5765" w:rsidRPr="006E7480">
        <w:rPr>
          <w:color w:val="000000"/>
        </w:rPr>
        <w:t xml:space="preserve"> перехідні положення»</w:t>
      </w:r>
      <w:r w:rsidR="001D4D0F" w:rsidRPr="006E7480">
        <w:rPr>
          <w:color w:val="000000"/>
        </w:rPr>
        <w:t xml:space="preserve"> КУПБ</w:t>
      </w:r>
      <w:r w:rsidR="00BC55B0" w:rsidRPr="006E7480">
        <w:rPr>
          <w:color w:val="000000"/>
        </w:rPr>
        <w:t xml:space="preserve">). Проте </w:t>
      </w:r>
      <w:r w:rsidR="00CA1EA3" w:rsidRPr="006E7480">
        <w:rPr>
          <w:color w:val="000000"/>
        </w:rPr>
        <w:t>залишається незрозумілим, як це має бути</w:t>
      </w:r>
      <w:r w:rsidR="00CA1EA3">
        <w:rPr>
          <w:color w:val="000000"/>
        </w:rPr>
        <w:t xml:space="preserve"> оформлено, адже боржник не може виконувати свої зобов’язання за умовами реструктуризації, оскільки для цього його доходів недостатньо. Крім цього, залишається незрозумілим, яким чином у цих умовах має розраховуватися</w:t>
      </w:r>
      <w:r w:rsidR="002338BA">
        <w:rPr>
          <w:color w:val="000000"/>
        </w:rPr>
        <w:t xml:space="preserve"> вказана </w:t>
      </w:r>
      <w:r w:rsidR="00715219" w:rsidRPr="002338BA">
        <w:rPr>
          <w:color w:val="000000"/>
        </w:rPr>
        <w:t>мінімальна</w:t>
      </w:r>
      <w:r w:rsidR="00715219">
        <w:rPr>
          <w:color w:val="000000"/>
        </w:rPr>
        <w:t xml:space="preserve"> </w:t>
      </w:r>
      <w:r w:rsidR="00CA1EA3">
        <w:rPr>
          <w:color w:val="000000"/>
        </w:rPr>
        <w:t>сума</w:t>
      </w:r>
      <w:r w:rsidR="002338BA">
        <w:rPr>
          <w:color w:val="000000"/>
        </w:rPr>
        <w:t xml:space="preserve"> щомісячного виконання плану реструктуризації</w:t>
      </w:r>
      <w:r w:rsidR="00CA1EA3">
        <w:rPr>
          <w:color w:val="000000"/>
        </w:rPr>
        <w:t>.</w:t>
      </w:r>
    </w:p>
    <w:p w14:paraId="173B7A7E" w14:textId="7CDAA829" w:rsidR="00542265" w:rsidRPr="00542265" w:rsidRDefault="00595F8B" w:rsidP="00542265">
      <w:pPr>
        <w:pStyle w:val="21"/>
        <w:widowControl w:val="0"/>
        <w:rPr>
          <w:color w:val="000000"/>
        </w:rPr>
      </w:pPr>
      <w:r w:rsidRPr="007F096E">
        <w:rPr>
          <w:b/>
          <w:bCs/>
          <w:color w:val="000000"/>
        </w:rPr>
        <w:t>3.</w:t>
      </w:r>
      <w:r>
        <w:rPr>
          <w:color w:val="000000"/>
        </w:rPr>
        <w:t xml:space="preserve"> </w:t>
      </w:r>
      <w:r w:rsidR="007F096E">
        <w:rPr>
          <w:color w:val="000000"/>
        </w:rPr>
        <w:t>У п</w:t>
      </w:r>
      <w:r w:rsidR="00542265" w:rsidRPr="00542265">
        <w:rPr>
          <w:color w:val="000000"/>
        </w:rPr>
        <w:t>роект</w:t>
      </w:r>
      <w:r w:rsidR="007F096E">
        <w:rPr>
          <w:color w:val="000000"/>
        </w:rPr>
        <w:t>і</w:t>
      </w:r>
      <w:r w:rsidR="00542265" w:rsidRPr="00542265">
        <w:rPr>
          <w:color w:val="000000"/>
        </w:rPr>
        <w:t xml:space="preserve"> пропонується доповнити п. 5 </w:t>
      </w:r>
      <w:r w:rsidR="007F096E">
        <w:rPr>
          <w:color w:val="000000"/>
        </w:rPr>
        <w:t>розділу «</w:t>
      </w:r>
      <w:r w:rsidR="00542265" w:rsidRPr="00542265">
        <w:rPr>
          <w:color w:val="000000"/>
        </w:rPr>
        <w:t>Прикінцев</w:t>
      </w:r>
      <w:r w:rsidR="007F096E">
        <w:rPr>
          <w:color w:val="000000"/>
        </w:rPr>
        <w:t>і</w:t>
      </w:r>
      <w:r w:rsidR="00542265" w:rsidRPr="00542265">
        <w:rPr>
          <w:color w:val="000000"/>
        </w:rPr>
        <w:t xml:space="preserve"> та перехідн</w:t>
      </w:r>
      <w:r w:rsidR="007F096E">
        <w:rPr>
          <w:color w:val="000000"/>
        </w:rPr>
        <w:t>і</w:t>
      </w:r>
      <w:r w:rsidR="00542265" w:rsidRPr="00542265">
        <w:rPr>
          <w:color w:val="000000"/>
        </w:rPr>
        <w:t xml:space="preserve"> положен</w:t>
      </w:r>
      <w:r w:rsidR="007F096E">
        <w:rPr>
          <w:color w:val="000000"/>
        </w:rPr>
        <w:t>ня»</w:t>
      </w:r>
      <w:r w:rsidR="00542265" w:rsidRPr="00542265">
        <w:rPr>
          <w:color w:val="000000"/>
        </w:rPr>
        <w:t xml:space="preserve"> КУПБ </w:t>
      </w:r>
      <w:r w:rsidR="007F096E">
        <w:rPr>
          <w:color w:val="000000"/>
        </w:rPr>
        <w:t xml:space="preserve">новим </w:t>
      </w:r>
      <w:r w:rsidR="00542265" w:rsidRPr="00542265">
        <w:rPr>
          <w:color w:val="000000"/>
        </w:rPr>
        <w:t xml:space="preserve">абзацом </w:t>
      </w:r>
      <w:r w:rsidR="007F096E">
        <w:rPr>
          <w:color w:val="000000"/>
        </w:rPr>
        <w:t xml:space="preserve">2 </w:t>
      </w:r>
      <w:r w:rsidR="00542265" w:rsidRPr="00542265">
        <w:rPr>
          <w:color w:val="000000"/>
        </w:rPr>
        <w:t>такого змісту: «У разі якщо єдиним кредитором в процедурі неплатоспроможності фізичної особи є забезпечений кредитор, а боржник не має інших активів</w:t>
      </w:r>
      <w:r w:rsidR="001D4D0F">
        <w:rPr>
          <w:color w:val="000000"/>
        </w:rPr>
        <w:t>,</w:t>
      </w:r>
      <w:r w:rsidR="00542265" w:rsidRPr="00542265">
        <w:rPr>
          <w:color w:val="000000"/>
        </w:rPr>
        <w:t xml:space="preserve"> окрім квартири або житлового будинку, що є єдиним місцем проживання сім’ї боржника, що перебувають в іпотеці забезпеченого кредитора, такий боржник має право подати заяву про відкриття провадження у справі про неплатоспроможність, в порядку ст.</w:t>
      </w:r>
      <w:r w:rsidR="007F096E">
        <w:rPr>
          <w:color w:val="000000"/>
        </w:rPr>
        <w:t xml:space="preserve"> </w:t>
      </w:r>
      <w:r w:rsidR="00542265" w:rsidRPr="00542265">
        <w:rPr>
          <w:color w:val="000000"/>
        </w:rPr>
        <w:t>116 цього Кодексу, без визначення особи арбітражного керуючого, зазначивши, що проект плану реструктуризації має бути погоджений єдиним забезпеченим кредитором в порядку передбаченим цим пунктом Прикінцеви</w:t>
      </w:r>
      <w:r w:rsidR="00D646B6">
        <w:rPr>
          <w:color w:val="000000"/>
        </w:rPr>
        <w:t>х та перехідних положень цього К</w:t>
      </w:r>
      <w:r w:rsidR="00542265" w:rsidRPr="00542265">
        <w:rPr>
          <w:color w:val="000000"/>
        </w:rPr>
        <w:t>одексу і в такому випадку Господарський суд затверджує план реструктуризації без застосування ст.</w:t>
      </w:r>
      <w:r w:rsidR="007F096E">
        <w:rPr>
          <w:color w:val="000000"/>
        </w:rPr>
        <w:t xml:space="preserve"> </w:t>
      </w:r>
      <w:r w:rsidR="00542265" w:rsidRPr="00542265">
        <w:rPr>
          <w:color w:val="000000"/>
        </w:rPr>
        <w:t>126 цього Кодексу, за умови відповідності плану реструктуризації вимогам цього пункту».</w:t>
      </w:r>
    </w:p>
    <w:p w14:paraId="5FD6FDBA" w14:textId="18CCF0AA" w:rsidR="00542265" w:rsidRPr="00542265" w:rsidRDefault="00542265" w:rsidP="00542265">
      <w:pPr>
        <w:pStyle w:val="21"/>
        <w:widowControl w:val="0"/>
        <w:rPr>
          <w:color w:val="000000"/>
        </w:rPr>
      </w:pPr>
      <w:r w:rsidRPr="00542265">
        <w:rPr>
          <w:color w:val="000000"/>
        </w:rPr>
        <w:t>З ць</w:t>
      </w:r>
      <w:r w:rsidR="00D646B6">
        <w:rPr>
          <w:color w:val="000000"/>
        </w:rPr>
        <w:t xml:space="preserve">ого приводу варто зауважити, що </w:t>
      </w:r>
      <w:r w:rsidR="00F922D0" w:rsidRPr="006E7480">
        <w:rPr>
          <w:color w:val="000000"/>
        </w:rPr>
        <w:t xml:space="preserve">внесення запропонованих змін може призвести до </w:t>
      </w:r>
      <w:r w:rsidR="007F096E" w:rsidRPr="006E7480">
        <w:rPr>
          <w:color w:val="000000"/>
        </w:rPr>
        <w:t xml:space="preserve">виникнення в КУПБ внутрішньої </w:t>
      </w:r>
      <w:r w:rsidR="00F922D0" w:rsidRPr="006E7480">
        <w:rPr>
          <w:color w:val="000000"/>
        </w:rPr>
        <w:t xml:space="preserve">неузгодженості </w:t>
      </w:r>
      <w:r w:rsidR="007F096E" w:rsidRPr="006E7480">
        <w:rPr>
          <w:color w:val="000000"/>
        </w:rPr>
        <w:t xml:space="preserve">щодо </w:t>
      </w:r>
      <w:r w:rsidR="00F922D0" w:rsidRPr="006E7480">
        <w:rPr>
          <w:color w:val="000000"/>
        </w:rPr>
        <w:t>п</w:t>
      </w:r>
      <w:r w:rsidR="001D4D0F" w:rsidRPr="006E7480">
        <w:rPr>
          <w:color w:val="000000"/>
        </w:rPr>
        <w:t xml:space="preserve">орядку </w:t>
      </w:r>
      <w:r w:rsidR="00F922D0" w:rsidRPr="006E7480">
        <w:rPr>
          <w:color w:val="000000"/>
        </w:rPr>
        <w:t xml:space="preserve"> призначення арбітражного керуючого. Адже</w:t>
      </w:r>
      <w:r w:rsidR="006E45E1" w:rsidRPr="006E7480">
        <w:rPr>
          <w:color w:val="000000"/>
        </w:rPr>
        <w:t xml:space="preserve"> </w:t>
      </w:r>
      <w:r w:rsidR="007F096E" w:rsidRPr="006E7480">
        <w:rPr>
          <w:color w:val="000000"/>
        </w:rPr>
        <w:t>п</w:t>
      </w:r>
      <w:r w:rsidR="006E45E1" w:rsidRPr="006E7480">
        <w:rPr>
          <w:color w:val="000000"/>
        </w:rPr>
        <w:t>одач</w:t>
      </w:r>
      <w:r w:rsidR="007F096E" w:rsidRPr="006E7480">
        <w:rPr>
          <w:color w:val="000000"/>
        </w:rPr>
        <w:t>а</w:t>
      </w:r>
      <w:r w:rsidRPr="006E7480">
        <w:rPr>
          <w:color w:val="000000"/>
        </w:rPr>
        <w:t xml:space="preserve"> </w:t>
      </w:r>
      <w:r w:rsidR="007F096E" w:rsidRPr="006E7480">
        <w:rPr>
          <w:color w:val="000000"/>
        </w:rPr>
        <w:t xml:space="preserve">боржником </w:t>
      </w:r>
      <w:r w:rsidRPr="006E7480">
        <w:rPr>
          <w:color w:val="000000"/>
        </w:rPr>
        <w:t>заяви із визначенням особи арбітр</w:t>
      </w:r>
      <w:r w:rsidR="00F922D0" w:rsidRPr="006E7480">
        <w:rPr>
          <w:color w:val="000000"/>
        </w:rPr>
        <w:t>ажного керуючого</w:t>
      </w:r>
      <w:r w:rsidR="006E45E1" w:rsidRPr="006E7480">
        <w:rPr>
          <w:color w:val="000000"/>
        </w:rPr>
        <w:t xml:space="preserve"> передбачен</w:t>
      </w:r>
      <w:r w:rsidR="007F096E" w:rsidRPr="006E7480">
        <w:rPr>
          <w:color w:val="000000"/>
        </w:rPr>
        <w:t>а</w:t>
      </w:r>
      <w:r w:rsidRPr="006E7480">
        <w:rPr>
          <w:color w:val="000000"/>
        </w:rPr>
        <w:t xml:space="preserve"> </w:t>
      </w:r>
      <w:r w:rsidR="00F922D0" w:rsidRPr="006E7480">
        <w:rPr>
          <w:color w:val="000000"/>
        </w:rPr>
        <w:t>лише до початку функціонування Єдиної судової інформаційно-телекомунікаційної системи, тобто</w:t>
      </w:r>
      <w:r w:rsidR="0065180D" w:rsidRPr="006E7480">
        <w:rPr>
          <w:color w:val="000000"/>
        </w:rPr>
        <w:t>,</w:t>
      </w:r>
      <w:r w:rsidR="00F922D0" w:rsidRPr="006E7480">
        <w:rPr>
          <w:color w:val="000000"/>
        </w:rPr>
        <w:t xml:space="preserve"> має тимчасовий характер</w:t>
      </w:r>
      <w:r w:rsidR="006E45E1" w:rsidRPr="006E7480">
        <w:rPr>
          <w:color w:val="000000"/>
        </w:rPr>
        <w:t xml:space="preserve"> (</w:t>
      </w:r>
      <w:r w:rsidRPr="006E7480">
        <w:rPr>
          <w:color w:val="000000"/>
        </w:rPr>
        <w:t>абз. 2 п. 2</w:t>
      </w:r>
      <w:r w:rsidR="0059460A" w:rsidRPr="006E7480">
        <w:rPr>
          <w:color w:val="000000"/>
          <w:vertAlign w:val="superscript"/>
        </w:rPr>
        <w:t>1</w:t>
      </w:r>
      <w:r w:rsidRPr="006E7480">
        <w:rPr>
          <w:color w:val="000000"/>
        </w:rPr>
        <w:t xml:space="preserve"> </w:t>
      </w:r>
      <w:r w:rsidR="007F096E" w:rsidRPr="006E7480">
        <w:rPr>
          <w:color w:val="000000"/>
        </w:rPr>
        <w:t>розділу «</w:t>
      </w:r>
      <w:r w:rsidRPr="006E7480">
        <w:rPr>
          <w:color w:val="000000"/>
        </w:rPr>
        <w:t>Прикінцев</w:t>
      </w:r>
      <w:r w:rsidR="007F096E" w:rsidRPr="006E7480">
        <w:rPr>
          <w:color w:val="000000"/>
        </w:rPr>
        <w:t>і</w:t>
      </w:r>
      <w:r w:rsidRPr="006E7480">
        <w:rPr>
          <w:color w:val="000000"/>
        </w:rPr>
        <w:t xml:space="preserve"> та перехідн</w:t>
      </w:r>
      <w:r w:rsidR="007F096E" w:rsidRPr="006E7480">
        <w:rPr>
          <w:color w:val="000000"/>
        </w:rPr>
        <w:t>і</w:t>
      </w:r>
      <w:r w:rsidRPr="006E7480">
        <w:rPr>
          <w:color w:val="000000"/>
        </w:rPr>
        <w:t xml:space="preserve"> положен</w:t>
      </w:r>
      <w:r w:rsidR="007F096E" w:rsidRPr="006E7480">
        <w:rPr>
          <w:color w:val="000000"/>
        </w:rPr>
        <w:t>ня»</w:t>
      </w:r>
      <w:r w:rsidRPr="006E7480">
        <w:rPr>
          <w:color w:val="000000"/>
        </w:rPr>
        <w:t xml:space="preserve"> КУПБ</w:t>
      </w:r>
      <w:r w:rsidR="006E45E1" w:rsidRPr="006E7480">
        <w:rPr>
          <w:color w:val="000000"/>
        </w:rPr>
        <w:t>). Водночас</w:t>
      </w:r>
      <w:r w:rsidR="0065180D" w:rsidRPr="006E7480">
        <w:rPr>
          <w:color w:val="000000"/>
        </w:rPr>
        <w:t>,</w:t>
      </w:r>
      <w:r w:rsidRPr="006E7480">
        <w:rPr>
          <w:color w:val="000000"/>
        </w:rPr>
        <w:t xml:space="preserve"> у ст.</w:t>
      </w:r>
      <w:r w:rsidR="007F096E" w:rsidRPr="006E7480">
        <w:rPr>
          <w:color w:val="000000"/>
        </w:rPr>
        <w:t xml:space="preserve"> </w:t>
      </w:r>
      <w:r w:rsidRPr="006E7480">
        <w:rPr>
          <w:color w:val="000000"/>
        </w:rPr>
        <w:t>ст. 28, 35 і п. 2 ч. 1 ст. 117 КУПБ передбачено визначення судом кандидатури арбітражного керуючого для виконання повноважень розпорядника майна або керуючого реструктуризацією шляхом автоматизованого відбору із застосуванням Єдиної судової інформаційно-телекомунікаційної системи з числа арбітражних керуючих, внесених до Єдиного реєстру арбітражних керуючих України</w:t>
      </w:r>
      <w:r w:rsidRPr="00542265">
        <w:rPr>
          <w:color w:val="000000"/>
        </w:rPr>
        <w:t xml:space="preserve">, за принципом випадкового вибору. </w:t>
      </w:r>
    </w:p>
    <w:p w14:paraId="55D0AD20" w14:textId="29BB821C" w:rsidR="00542265" w:rsidRDefault="006E45E1" w:rsidP="00542265">
      <w:pPr>
        <w:pStyle w:val="21"/>
        <w:widowControl w:val="0"/>
        <w:rPr>
          <w:color w:val="000000"/>
        </w:rPr>
      </w:pPr>
      <w:r>
        <w:rPr>
          <w:color w:val="000000"/>
        </w:rPr>
        <w:t xml:space="preserve">Крім того, </w:t>
      </w:r>
      <w:r w:rsidR="005553FA">
        <w:rPr>
          <w:color w:val="000000"/>
        </w:rPr>
        <w:t>проведення р</w:t>
      </w:r>
      <w:r w:rsidR="00F922D0">
        <w:rPr>
          <w:color w:val="000000"/>
        </w:rPr>
        <w:t>еструктуризації</w:t>
      </w:r>
      <w:r w:rsidR="00542265" w:rsidRPr="00542265">
        <w:rPr>
          <w:color w:val="000000"/>
        </w:rPr>
        <w:t xml:space="preserve"> без застосування положень ст. 126 КУПБ призведе до</w:t>
      </w:r>
      <w:r>
        <w:rPr>
          <w:color w:val="000000"/>
        </w:rPr>
        <w:t xml:space="preserve"> </w:t>
      </w:r>
      <w:r w:rsidR="0059460A">
        <w:rPr>
          <w:color w:val="000000"/>
        </w:rPr>
        <w:t xml:space="preserve">ускладнень при </w:t>
      </w:r>
      <w:r w:rsidR="005553FA">
        <w:rPr>
          <w:color w:val="000000"/>
        </w:rPr>
        <w:t>її проведенні</w:t>
      </w:r>
      <w:r>
        <w:rPr>
          <w:color w:val="000000"/>
        </w:rPr>
        <w:t xml:space="preserve">, </w:t>
      </w:r>
      <w:r w:rsidR="00542265" w:rsidRPr="00542265">
        <w:rPr>
          <w:color w:val="000000"/>
        </w:rPr>
        <w:t xml:space="preserve">оскільки </w:t>
      </w:r>
      <w:r w:rsidR="0059460A">
        <w:rPr>
          <w:color w:val="000000"/>
        </w:rPr>
        <w:t xml:space="preserve">у </w:t>
      </w:r>
      <w:r w:rsidR="005553FA">
        <w:rPr>
          <w:color w:val="000000"/>
        </w:rPr>
        <w:t>цьому разі залишиться невизначеним</w:t>
      </w:r>
      <w:r w:rsidR="0059460A">
        <w:rPr>
          <w:color w:val="000000"/>
        </w:rPr>
        <w:t xml:space="preserve">, зокрема, строк, протягом якого </w:t>
      </w:r>
      <w:r w:rsidR="005553FA">
        <w:rPr>
          <w:color w:val="000000"/>
        </w:rPr>
        <w:t xml:space="preserve">господарський </w:t>
      </w:r>
      <w:r w:rsidR="0059460A">
        <w:rPr>
          <w:color w:val="000000"/>
        </w:rPr>
        <w:t xml:space="preserve">суд </w:t>
      </w:r>
      <w:r w:rsidR="005553FA">
        <w:rPr>
          <w:color w:val="000000"/>
        </w:rPr>
        <w:t xml:space="preserve">має затвердити </w:t>
      </w:r>
      <w:r w:rsidR="00542265" w:rsidRPr="00542265">
        <w:rPr>
          <w:color w:val="000000"/>
        </w:rPr>
        <w:t>план реструктуризації</w:t>
      </w:r>
      <w:r w:rsidR="005553FA">
        <w:rPr>
          <w:color w:val="000000"/>
        </w:rPr>
        <w:t xml:space="preserve">. </w:t>
      </w:r>
    </w:p>
    <w:p w14:paraId="197B47F6" w14:textId="77777777" w:rsidR="00B76B51" w:rsidRPr="00542265" w:rsidRDefault="00B76B51" w:rsidP="00542265">
      <w:pPr>
        <w:pStyle w:val="21"/>
        <w:widowControl w:val="0"/>
        <w:rPr>
          <w:color w:val="000000"/>
        </w:rPr>
      </w:pPr>
      <w:bookmarkStart w:id="2" w:name="_GoBack"/>
      <w:bookmarkEnd w:id="2"/>
    </w:p>
    <w:p w14:paraId="1137BCAF" w14:textId="05BCB49C" w:rsidR="00542265" w:rsidRPr="00542265" w:rsidRDefault="009E08DB" w:rsidP="00542265">
      <w:pPr>
        <w:pStyle w:val="21"/>
        <w:widowControl w:val="0"/>
        <w:rPr>
          <w:color w:val="000000"/>
        </w:rPr>
      </w:pPr>
      <w:r w:rsidRPr="009E08DB">
        <w:rPr>
          <w:b/>
          <w:bCs/>
          <w:color w:val="000000"/>
        </w:rPr>
        <w:lastRenderedPageBreak/>
        <w:t>4.</w:t>
      </w:r>
      <w:r>
        <w:rPr>
          <w:color w:val="000000"/>
        </w:rPr>
        <w:t xml:space="preserve"> </w:t>
      </w:r>
      <w:r w:rsidR="00EC5765">
        <w:rPr>
          <w:color w:val="000000"/>
        </w:rPr>
        <w:t xml:space="preserve">У </w:t>
      </w:r>
      <w:bookmarkStart w:id="3" w:name="_Hlk64897356"/>
      <w:r w:rsidR="00542265" w:rsidRPr="00542265">
        <w:rPr>
          <w:color w:val="000000"/>
        </w:rPr>
        <w:t>абз</w:t>
      </w:r>
      <w:r w:rsidR="00EC5765">
        <w:rPr>
          <w:color w:val="000000"/>
        </w:rPr>
        <w:t>аці</w:t>
      </w:r>
      <w:r w:rsidR="00542265" w:rsidRPr="00542265">
        <w:rPr>
          <w:color w:val="000000"/>
        </w:rPr>
        <w:t xml:space="preserve"> 13 п. 5 </w:t>
      </w:r>
      <w:r w:rsidR="00EC5765">
        <w:rPr>
          <w:color w:val="000000"/>
        </w:rPr>
        <w:t>розділу «</w:t>
      </w:r>
      <w:r w:rsidR="00542265" w:rsidRPr="00542265">
        <w:rPr>
          <w:color w:val="000000"/>
        </w:rPr>
        <w:t>Прикінцев</w:t>
      </w:r>
      <w:r w:rsidR="00EC5765">
        <w:rPr>
          <w:color w:val="000000"/>
        </w:rPr>
        <w:t xml:space="preserve">і </w:t>
      </w:r>
      <w:r w:rsidR="00542265" w:rsidRPr="00542265">
        <w:rPr>
          <w:color w:val="000000"/>
        </w:rPr>
        <w:t>та перехідн</w:t>
      </w:r>
      <w:r w:rsidR="00EC5765">
        <w:rPr>
          <w:color w:val="000000"/>
        </w:rPr>
        <w:t>і</w:t>
      </w:r>
      <w:r w:rsidR="00542265" w:rsidRPr="00542265">
        <w:rPr>
          <w:color w:val="000000"/>
        </w:rPr>
        <w:t xml:space="preserve"> положен</w:t>
      </w:r>
      <w:r w:rsidR="00EC5765">
        <w:rPr>
          <w:color w:val="000000"/>
        </w:rPr>
        <w:t>ня»</w:t>
      </w:r>
      <w:r w:rsidR="00542265" w:rsidRPr="00542265">
        <w:rPr>
          <w:color w:val="000000"/>
        </w:rPr>
        <w:t xml:space="preserve"> КУПБ </w:t>
      </w:r>
      <w:bookmarkEnd w:id="3"/>
      <w:r w:rsidR="00EC5765">
        <w:rPr>
          <w:color w:val="000000"/>
        </w:rPr>
        <w:t>у редакції проекту встановлюється, що «</w:t>
      </w:r>
      <w:r w:rsidR="00542265" w:rsidRPr="00542265">
        <w:rPr>
          <w:color w:val="000000"/>
        </w:rPr>
        <w:t xml:space="preserve">прощення (списання) залишку заборгованості за кредитним договором в іноземній валюті, забезпеченим іпотекою, </w:t>
      </w:r>
      <w:r w:rsidR="00EC5765">
        <w:rPr>
          <w:color w:val="000000"/>
        </w:rPr>
        <w:t>…</w:t>
      </w:r>
      <w:r w:rsidR="00542265" w:rsidRPr="00542265">
        <w:rPr>
          <w:color w:val="000000"/>
        </w:rPr>
        <w:t xml:space="preserve"> здійснюється після повного виконання зобов’язань боржником за реструктуризованим зобов’язанням на підставі рішення господарського суду, визначеного частиною третьою статті 129 цього Кодексу</w:t>
      </w:r>
      <w:r w:rsidR="00EC5765">
        <w:rPr>
          <w:color w:val="000000"/>
        </w:rPr>
        <w:t>»</w:t>
      </w:r>
      <w:r w:rsidR="00542265" w:rsidRPr="00542265">
        <w:rPr>
          <w:color w:val="000000"/>
        </w:rPr>
        <w:t>.</w:t>
      </w:r>
    </w:p>
    <w:p w14:paraId="4D0B8D8F" w14:textId="0D73ED9A" w:rsidR="00EC5765" w:rsidRDefault="00EC5765" w:rsidP="00542265">
      <w:pPr>
        <w:pStyle w:val="21"/>
        <w:widowControl w:val="0"/>
        <w:rPr>
          <w:color w:val="000000"/>
        </w:rPr>
      </w:pPr>
      <w:r>
        <w:rPr>
          <w:color w:val="000000"/>
        </w:rPr>
        <w:t xml:space="preserve">Проте слід звернути увагу, що </w:t>
      </w:r>
      <w:r w:rsidR="00542265" w:rsidRPr="00542265">
        <w:rPr>
          <w:color w:val="000000"/>
        </w:rPr>
        <w:t xml:space="preserve">відповідно до ч. 3 ст. 129 КУПБ господарський суд за результатами розгляду звіту про виконання плану реструктуризації боргів боржника, а також скарг кредиторів постановляє або рішення про закриття провадження у справі про неплатоспроможність у зв’язку з виконанням боржником плану реструктуризації боргів, або рішення про невиконання боржником плану реструктуризації боргів, визнання боржника банкрутом і введення процедури погашення боргів боржника. </w:t>
      </w:r>
      <w:r>
        <w:rPr>
          <w:color w:val="000000"/>
        </w:rPr>
        <w:t>У зв’язку з цим із запропонован</w:t>
      </w:r>
      <w:r w:rsidR="00F12088" w:rsidRPr="002338BA">
        <w:rPr>
          <w:color w:val="000000"/>
        </w:rPr>
        <w:t>ої</w:t>
      </w:r>
      <w:r>
        <w:rPr>
          <w:color w:val="000000"/>
        </w:rPr>
        <w:t xml:space="preserve"> у проекті редакції </w:t>
      </w:r>
      <w:r w:rsidR="009E08DB" w:rsidRPr="009E08DB">
        <w:rPr>
          <w:color w:val="000000"/>
        </w:rPr>
        <w:t>абз</w:t>
      </w:r>
      <w:r w:rsidR="009E08DB">
        <w:rPr>
          <w:color w:val="000000"/>
        </w:rPr>
        <w:t xml:space="preserve">. </w:t>
      </w:r>
      <w:r w:rsidR="009E08DB" w:rsidRPr="009E08DB">
        <w:rPr>
          <w:color w:val="000000"/>
        </w:rPr>
        <w:t xml:space="preserve">13 п. 5 розділу «Прикінцеві та перехідні положення» КУПБ </w:t>
      </w:r>
      <w:r>
        <w:rPr>
          <w:color w:val="000000"/>
        </w:rPr>
        <w:t>залишається незрозумілим</w:t>
      </w:r>
      <w:r w:rsidR="001D4D0F">
        <w:rPr>
          <w:color w:val="000000"/>
        </w:rPr>
        <w:t>,</w:t>
      </w:r>
      <w:r>
        <w:rPr>
          <w:color w:val="000000"/>
        </w:rPr>
        <w:t xml:space="preserve"> </w:t>
      </w:r>
      <w:r w:rsidR="00BC55B0">
        <w:rPr>
          <w:color w:val="000000"/>
        </w:rPr>
        <w:t xml:space="preserve">хто саме приймає рішення </w:t>
      </w:r>
      <w:r>
        <w:rPr>
          <w:color w:val="000000"/>
        </w:rPr>
        <w:t>про</w:t>
      </w:r>
      <w:r w:rsidR="00BC55B0">
        <w:rPr>
          <w:color w:val="000000"/>
        </w:rPr>
        <w:t xml:space="preserve"> прощення: господарський суд</w:t>
      </w:r>
      <w:r>
        <w:rPr>
          <w:color w:val="000000"/>
        </w:rPr>
        <w:t xml:space="preserve"> </w:t>
      </w:r>
      <w:r w:rsidR="00BC55B0">
        <w:rPr>
          <w:color w:val="000000"/>
        </w:rPr>
        <w:t xml:space="preserve">(але ст. 129 КУПБ не передбачає прийняття ним такого рішення) або </w:t>
      </w:r>
      <w:r w:rsidR="009E08DB">
        <w:rPr>
          <w:color w:val="000000"/>
        </w:rPr>
        <w:t xml:space="preserve">сам </w:t>
      </w:r>
      <w:r w:rsidR="00BC55B0">
        <w:rPr>
          <w:color w:val="000000"/>
        </w:rPr>
        <w:t xml:space="preserve">кредитор на підставі рішення господарського суду про виконання плану реструктуризації боргів боржника. </w:t>
      </w:r>
    </w:p>
    <w:p w14:paraId="38AEDD8D" w14:textId="7B2BA9C1" w:rsidR="007731F5" w:rsidRPr="007731F5" w:rsidRDefault="009E08DB" w:rsidP="007731F5">
      <w:pPr>
        <w:pStyle w:val="21"/>
        <w:widowControl w:val="0"/>
        <w:rPr>
          <w:color w:val="000000"/>
        </w:rPr>
      </w:pPr>
      <w:r w:rsidRPr="009E08DB">
        <w:rPr>
          <w:b/>
          <w:bCs/>
          <w:color w:val="000000"/>
        </w:rPr>
        <w:t>5.</w:t>
      </w:r>
      <w:r>
        <w:rPr>
          <w:color w:val="000000"/>
        </w:rPr>
        <w:t xml:space="preserve"> </w:t>
      </w:r>
      <w:r w:rsidR="007731F5" w:rsidRPr="007731F5">
        <w:rPr>
          <w:color w:val="000000"/>
        </w:rPr>
        <w:t>Припис нової ч. 19 ст. 51 Закону, з</w:t>
      </w:r>
      <w:r w:rsidR="00BC01EB">
        <w:rPr>
          <w:color w:val="000000"/>
        </w:rPr>
        <w:t xml:space="preserve">гідно з </w:t>
      </w:r>
      <w:r w:rsidR="007731F5" w:rsidRPr="007731F5">
        <w:rPr>
          <w:color w:val="000000"/>
        </w:rPr>
        <w:t>як</w:t>
      </w:r>
      <w:r w:rsidR="00BC01EB">
        <w:rPr>
          <w:color w:val="000000"/>
        </w:rPr>
        <w:t>им</w:t>
      </w:r>
      <w:r w:rsidR="007731F5" w:rsidRPr="007731F5">
        <w:rPr>
          <w:color w:val="000000"/>
        </w:rPr>
        <w:t xml:space="preserve"> Фонд гарантування вкладів фізичних осіб (далі – Фонд) зобов’язаний «запропонувати позичальнику погасити заборгованість за сумою не меншою від оціночної вартості активу», не відповідає назві проекту</w:t>
      </w:r>
      <w:r w:rsidR="00BC01EB">
        <w:rPr>
          <w:color w:val="000000"/>
        </w:rPr>
        <w:t xml:space="preserve">, оскільки </w:t>
      </w:r>
      <w:r w:rsidR="007731F5" w:rsidRPr="007731F5">
        <w:rPr>
          <w:color w:val="000000"/>
        </w:rPr>
        <w:t xml:space="preserve">вказана зміна стосується виконання зобов’язання, а не його реструктуризації, як це зазначено у назві проекту. </w:t>
      </w:r>
    </w:p>
    <w:p w14:paraId="7C664AC7" w14:textId="7D2FC51F" w:rsidR="007731F5" w:rsidRPr="007731F5" w:rsidRDefault="007731F5" w:rsidP="007731F5">
      <w:pPr>
        <w:pStyle w:val="21"/>
        <w:widowControl w:val="0"/>
        <w:rPr>
          <w:color w:val="000000"/>
        </w:rPr>
      </w:pPr>
      <w:r w:rsidRPr="007731F5">
        <w:rPr>
          <w:color w:val="000000"/>
        </w:rPr>
        <w:t xml:space="preserve">Також викликає </w:t>
      </w:r>
      <w:r w:rsidRPr="006E7480">
        <w:rPr>
          <w:color w:val="000000"/>
        </w:rPr>
        <w:t xml:space="preserve">застереження і дієвість пропонованого у проекті способу підтримки </w:t>
      </w:r>
      <w:r w:rsidR="00BC01EB" w:rsidRPr="006E7480">
        <w:rPr>
          <w:color w:val="000000"/>
        </w:rPr>
        <w:t>позичальників</w:t>
      </w:r>
      <w:r w:rsidRPr="006E7480">
        <w:rPr>
          <w:color w:val="000000"/>
        </w:rPr>
        <w:t>, адже</w:t>
      </w:r>
      <w:r w:rsidR="0065180D" w:rsidRPr="006E7480">
        <w:rPr>
          <w:color w:val="000000"/>
        </w:rPr>
        <w:t>,</w:t>
      </w:r>
      <w:r w:rsidRPr="006E7480">
        <w:rPr>
          <w:color w:val="000000"/>
        </w:rPr>
        <w:t xml:space="preserve"> по суті</w:t>
      </w:r>
      <w:r w:rsidR="0065180D" w:rsidRPr="006E7480">
        <w:rPr>
          <w:color w:val="000000"/>
        </w:rPr>
        <w:t>,</w:t>
      </w:r>
      <w:r w:rsidRPr="006E7480">
        <w:rPr>
          <w:color w:val="000000"/>
        </w:rPr>
        <w:t xml:space="preserve"> йдеться про дострокове погашення кредиту, що вимагатиме, зокрема, або наявності у позичальників достатніх власних коштів, або ж отримання ними нового кредиту, що, зазвичай, є проблематичним саме для позичальників, у тому числі й зважаючи на пропонований строк формулювання Фондом</w:t>
      </w:r>
      <w:r w:rsidRPr="007731F5">
        <w:rPr>
          <w:color w:val="000000"/>
        </w:rPr>
        <w:t xml:space="preserve"> відповідної пропозиції – «не пізніше ніж за 30 (тридцять) календарних днів до публікації оголошення про відкриті торги».</w:t>
      </w:r>
    </w:p>
    <w:p w14:paraId="7B4FB3E4" w14:textId="7DFB3089" w:rsidR="007731F5" w:rsidRPr="006E7480" w:rsidRDefault="007731F5" w:rsidP="007731F5">
      <w:pPr>
        <w:pStyle w:val="21"/>
        <w:widowControl w:val="0"/>
        <w:rPr>
          <w:color w:val="000000"/>
        </w:rPr>
      </w:pPr>
      <w:r w:rsidRPr="007731F5">
        <w:rPr>
          <w:color w:val="000000"/>
        </w:rPr>
        <w:t>Крім того, потребує належного обґрунтування пропозиція щодо погашення заборгованості саме за «сумою не меншою від оціночної вартості активу». Насамперед звертаємо увагу, що відсутність чітко визначеної величини, за якою здійснюється погашення заборгованості, не відповідає принципу юридичної визначеності правової норми і допускає довільне її встановлення Фондом, у тому числі й на рівні, який суттєво перевищує реальну (ринкову) ціну активу, що може стати перешкодою для його викупу позичальником, а також призвести до корупційних р</w:t>
      </w:r>
      <w:r w:rsidR="0065180D">
        <w:rPr>
          <w:color w:val="000000"/>
        </w:rPr>
        <w:t xml:space="preserve">изиків. До того ж, дискусійним у </w:t>
      </w:r>
      <w:r w:rsidRPr="007731F5">
        <w:rPr>
          <w:color w:val="000000"/>
        </w:rPr>
        <w:t xml:space="preserve">цілому виглядає встановлення такої суми на неконкурентних засадах, що, на наш </w:t>
      </w:r>
      <w:r w:rsidRPr="006E7480">
        <w:rPr>
          <w:color w:val="000000"/>
        </w:rPr>
        <w:t xml:space="preserve">погляд, має здійснюватися із обов’язковим дотриманням балансу між принципом найменших витрат для Фонду (про який йдеться, зокрема, у ч. 1 </w:t>
      </w:r>
      <w:r w:rsidR="0065180D" w:rsidRPr="006E7480">
        <w:rPr>
          <w:color w:val="000000"/>
        </w:rPr>
        <w:br/>
      </w:r>
      <w:r w:rsidRPr="006E7480">
        <w:rPr>
          <w:color w:val="000000"/>
        </w:rPr>
        <w:t>ст. 39 Закону) та прав</w:t>
      </w:r>
      <w:r w:rsidR="00C711B7" w:rsidRPr="006E7480">
        <w:rPr>
          <w:color w:val="000000"/>
        </w:rPr>
        <w:t>ами</w:t>
      </w:r>
      <w:r w:rsidRPr="006E7480">
        <w:rPr>
          <w:color w:val="000000"/>
        </w:rPr>
        <w:t xml:space="preserve"> позичальників. Зауважимо, що реалізація майна може проводитись за методами підвищення та/або зниження ціни і без обмеження мінімальної ціни продажу майна (п. 4 ч. 7 ст. 51 Закону). Принагідно за</w:t>
      </w:r>
      <w:r w:rsidR="00A3206F" w:rsidRPr="006E7480">
        <w:rPr>
          <w:color w:val="000000"/>
        </w:rPr>
        <w:t>значимо</w:t>
      </w:r>
      <w:r w:rsidRPr="006E7480">
        <w:rPr>
          <w:color w:val="000000"/>
        </w:rPr>
        <w:t xml:space="preserve">, </w:t>
      </w:r>
      <w:r w:rsidRPr="006E7480">
        <w:rPr>
          <w:color w:val="000000"/>
        </w:rPr>
        <w:lastRenderedPageBreak/>
        <w:t xml:space="preserve">що на практиці відступлення права вимоги за такими договорами нерідко відбувається за істотно нижчою від оціночної ціною, що </w:t>
      </w:r>
      <w:r w:rsidR="00A3206F" w:rsidRPr="006E7480">
        <w:rPr>
          <w:color w:val="000000"/>
        </w:rPr>
        <w:t xml:space="preserve">є </w:t>
      </w:r>
      <w:r w:rsidRPr="006E7480">
        <w:rPr>
          <w:color w:val="000000"/>
        </w:rPr>
        <w:t>особливо характерним у випадку реалізації майна, яке об’єднане у пули активів, але при цьому</w:t>
      </w:r>
      <w:r w:rsidR="0065180D" w:rsidRPr="006E7480">
        <w:rPr>
          <w:color w:val="000000"/>
        </w:rPr>
        <w:t>,</w:t>
      </w:r>
      <w:r w:rsidRPr="006E7480">
        <w:rPr>
          <w:color w:val="000000"/>
        </w:rPr>
        <w:t xml:space="preserve"> позичальники мають виконувати зобов’язання у повному обсязі.</w:t>
      </w:r>
    </w:p>
    <w:p w14:paraId="3BB53EEB" w14:textId="2E1E2FB6" w:rsidR="00143C69" w:rsidRPr="006E7480" w:rsidRDefault="007731F5" w:rsidP="007731F5">
      <w:pPr>
        <w:pStyle w:val="21"/>
        <w:widowControl w:val="0"/>
        <w:rPr>
          <w:color w:val="000000"/>
        </w:rPr>
      </w:pPr>
      <w:r w:rsidRPr="006E7480">
        <w:rPr>
          <w:color w:val="000000"/>
        </w:rPr>
        <w:t xml:space="preserve">Згідно із </w:t>
      </w:r>
      <w:r w:rsidR="00BC01EB" w:rsidRPr="006E7480">
        <w:rPr>
          <w:color w:val="000000"/>
        </w:rPr>
        <w:t xml:space="preserve">запропонованими змінами </w:t>
      </w:r>
      <w:r w:rsidRPr="006E7480">
        <w:rPr>
          <w:color w:val="000000"/>
        </w:rPr>
        <w:t>Фонд повідомляє позичальника «шляхом направлення повідомлення</w:t>
      </w:r>
      <w:r w:rsidRPr="007731F5">
        <w:rPr>
          <w:color w:val="000000"/>
        </w:rPr>
        <w:t xml:space="preserve"> на адресу позичальника зазначену у кредитному договорі або шляхом оприлюднення інформації про майно (активи), що продаються, у друкованих засобах масової інформації, визначених виконавчою дирекцією Фонду, на веб-сайті банку та офіційному веб-сайті Фонду». Викликає застереження встановлення двох альтернативних шляхів повідомлення позичальника, враховуючи, що за змістом норми йдеться про необхідність забезпечення обов’язкового </w:t>
      </w:r>
      <w:r w:rsidRPr="006E7480">
        <w:rPr>
          <w:color w:val="000000"/>
        </w:rPr>
        <w:t>повідомлення конкретного позичальника із відомою адресою. Такий підхід на практиці може призвести до неотримання позичальником відповідної інформації.</w:t>
      </w:r>
    </w:p>
    <w:p w14:paraId="333B9869" w14:textId="631325C8" w:rsidR="00AE7109" w:rsidRPr="00AE7109" w:rsidRDefault="00BC01EB" w:rsidP="007731F5">
      <w:pPr>
        <w:pStyle w:val="21"/>
        <w:widowControl w:val="0"/>
        <w:rPr>
          <w:color w:val="000000"/>
        </w:rPr>
      </w:pPr>
      <w:r w:rsidRPr="006E7480">
        <w:rPr>
          <w:b/>
          <w:bCs/>
          <w:color w:val="000000"/>
        </w:rPr>
        <w:t>6.</w:t>
      </w:r>
      <w:r w:rsidRPr="006E7480">
        <w:rPr>
          <w:color w:val="000000"/>
        </w:rPr>
        <w:t xml:space="preserve"> Проект вимагає техніко-юридичного доопрацювання. Зокрема, </w:t>
      </w:r>
      <w:r w:rsidR="0065180D" w:rsidRPr="006E7480">
        <w:rPr>
          <w:color w:val="000000"/>
        </w:rPr>
        <w:t>в</w:t>
      </w:r>
      <w:r w:rsidRPr="006E7480">
        <w:rPr>
          <w:color w:val="000000"/>
        </w:rPr>
        <w:t xml:space="preserve"> абз. 12 </w:t>
      </w:r>
      <w:r w:rsidR="00A3206F" w:rsidRPr="006E7480">
        <w:rPr>
          <w:color w:val="000000"/>
        </w:rPr>
        <w:br/>
      </w:r>
      <w:r w:rsidR="0065180D" w:rsidRPr="006E7480">
        <w:rPr>
          <w:color w:val="000000"/>
        </w:rPr>
        <w:t xml:space="preserve">п. 5 </w:t>
      </w:r>
      <w:r w:rsidRPr="006E7480">
        <w:rPr>
          <w:color w:val="000000"/>
        </w:rPr>
        <w:t>розділу «Прикін</w:t>
      </w:r>
      <w:r w:rsidR="00F12088" w:rsidRPr="006E7480">
        <w:rPr>
          <w:color w:val="000000"/>
        </w:rPr>
        <w:t>цеві та перехідні положення» КУПБ</w:t>
      </w:r>
      <w:r w:rsidRPr="006E7480">
        <w:rPr>
          <w:color w:val="000000"/>
        </w:rPr>
        <w:t xml:space="preserve"> у редакції проекту слова «для цілей цієї статті» слід замінити «для цілей цього пункту», оскільки вказаний розділ складається не із статей, а із пунктів. Крім цього, у </w:t>
      </w:r>
      <w:r w:rsidR="00C54C0F" w:rsidRPr="006E7480">
        <w:rPr>
          <w:color w:val="000000"/>
        </w:rPr>
        <w:t xml:space="preserve">пропонованій проектом </w:t>
      </w:r>
      <w:r w:rsidR="007731F5" w:rsidRPr="006E7480">
        <w:rPr>
          <w:color w:val="000000"/>
        </w:rPr>
        <w:t>новій ч. 19 ст. 51</w:t>
      </w:r>
      <w:r w:rsidR="0065180D" w:rsidRPr="006E7480">
        <w:rPr>
          <w:color w:val="000000"/>
        </w:rPr>
        <w:t xml:space="preserve"> Закону</w:t>
      </w:r>
      <w:r w:rsidR="007731F5" w:rsidRPr="006E7480">
        <w:rPr>
          <w:color w:val="000000"/>
        </w:rPr>
        <w:t xml:space="preserve"> </w:t>
      </w:r>
      <w:r w:rsidR="00C54C0F" w:rsidRPr="006E7480">
        <w:rPr>
          <w:color w:val="000000"/>
        </w:rPr>
        <w:t>застосовується</w:t>
      </w:r>
      <w:r w:rsidR="00C54C0F">
        <w:rPr>
          <w:color w:val="000000"/>
        </w:rPr>
        <w:t xml:space="preserve"> термін «</w:t>
      </w:r>
      <w:r w:rsidR="00C54C0F" w:rsidRPr="00C54C0F">
        <w:rPr>
          <w:color w:val="000000"/>
        </w:rPr>
        <w:t>попередня угода</w:t>
      </w:r>
      <w:r w:rsidR="00C54C0F">
        <w:rPr>
          <w:color w:val="000000"/>
        </w:rPr>
        <w:t>»</w:t>
      </w:r>
      <w:r>
        <w:rPr>
          <w:color w:val="000000"/>
        </w:rPr>
        <w:t>, який не узгоджується з ЦК Ук</w:t>
      </w:r>
      <w:r w:rsidR="0065180D">
        <w:rPr>
          <w:color w:val="000000"/>
        </w:rPr>
        <w:t>раїни, в якому використовується</w:t>
      </w:r>
      <w:r>
        <w:rPr>
          <w:color w:val="000000"/>
        </w:rPr>
        <w:t xml:space="preserve"> інший термін «</w:t>
      </w:r>
      <w:r w:rsidR="007731F5" w:rsidRPr="007731F5">
        <w:rPr>
          <w:color w:val="000000"/>
        </w:rPr>
        <w:t>попередній договір</w:t>
      </w:r>
      <w:r>
        <w:rPr>
          <w:color w:val="000000"/>
        </w:rPr>
        <w:t>».</w:t>
      </w:r>
      <w:r w:rsidR="007731F5" w:rsidRPr="007731F5">
        <w:rPr>
          <w:color w:val="000000"/>
        </w:rPr>
        <w:t xml:space="preserve"> </w:t>
      </w:r>
      <w:r w:rsidR="00B406DB">
        <w:rPr>
          <w:color w:val="000000"/>
        </w:rPr>
        <w:t xml:space="preserve"> </w:t>
      </w:r>
    </w:p>
    <w:p w14:paraId="1052C239" w14:textId="77777777" w:rsidR="00143C69" w:rsidRDefault="00143C69" w:rsidP="00E936F1">
      <w:pPr>
        <w:pStyle w:val="21"/>
        <w:widowControl w:val="0"/>
        <w:rPr>
          <w:color w:val="000000"/>
        </w:rPr>
      </w:pPr>
    </w:p>
    <w:p w14:paraId="51F1C286" w14:textId="77777777" w:rsidR="0076150C" w:rsidRPr="00AE7109" w:rsidRDefault="0076150C" w:rsidP="00E936F1">
      <w:pPr>
        <w:pStyle w:val="21"/>
        <w:widowControl w:val="0"/>
        <w:rPr>
          <w:color w:val="000000"/>
        </w:rPr>
      </w:pPr>
    </w:p>
    <w:p w14:paraId="42C062E6" w14:textId="603FAF8D" w:rsidR="008E5066" w:rsidRPr="00D923E7" w:rsidRDefault="0083633B" w:rsidP="00A02BCE">
      <w:pPr>
        <w:widowControl w:val="0"/>
        <w:ind w:firstLine="720"/>
        <w:jc w:val="both"/>
        <w:rPr>
          <w:sz w:val="28"/>
          <w:szCs w:val="28"/>
        </w:rPr>
      </w:pPr>
      <w:r w:rsidRPr="00D923E7">
        <w:rPr>
          <w:sz w:val="28"/>
          <w:szCs w:val="28"/>
        </w:rPr>
        <w:t>К</w:t>
      </w:r>
      <w:r w:rsidR="008E5066" w:rsidRPr="00D923E7">
        <w:rPr>
          <w:sz w:val="28"/>
          <w:szCs w:val="28"/>
        </w:rPr>
        <w:t xml:space="preserve">ерівник Головного управління                </w:t>
      </w:r>
      <w:r w:rsidR="009A595C" w:rsidRPr="00D923E7">
        <w:rPr>
          <w:sz w:val="28"/>
          <w:szCs w:val="28"/>
        </w:rPr>
        <w:t xml:space="preserve">          </w:t>
      </w:r>
      <w:r w:rsidR="008E5066" w:rsidRPr="00D923E7">
        <w:rPr>
          <w:sz w:val="28"/>
          <w:szCs w:val="28"/>
        </w:rPr>
        <w:t xml:space="preserve">           </w:t>
      </w:r>
      <w:r w:rsidR="00C85878">
        <w:rPr>
          <w:sz w:val="28"/>
          <w:szCs w:val="28"/>
        </w:rPr>
        <w:t xml:space="preserve">         </w:t>
      </w:r>
      <w:r w:rsidR="008E5066" w:rsidRPr="00D923E7">
        <w:rPr>
          <w:sz w:val="28"/>
          <w:szCs w:val="28"/>
        </w:rPr>
        <w:t xml:space="preserve"> </w:t>
      </w:r>
      <w:r w:rsidR="00C54C0F">
        <w:rPr>
          <w:sz w:val="28"/>
          <w:szCs w:val="28"/>
        </w:rPr>
        <w:t xml:space="preserve"> </w:t>
      </w:r>
      <w:r w:rsidR="008E5066" w:rsidRPr="00D923E7">
        <w:rPr>
          <w:sz w:val="28"/>
          <w:szCs w:val="28"/>
        </w:rPr>
        <w:t xml:space="preserve">  </w:t>
      </w:r>
      <w:r w:rsidR="009A595C" w:rsidRPr="00D923E7">
        <w:rPr>
          <w:sz w:val="28"/>
          <w:szCs w:val="28"/>
        </w:rPr>
        <w:t>С.</w:t>
      </w:r>
      <w:r w:rsidR="005E6EE8" w:rsidRPr="00D923E7">
        <w:rPr>
          <w:sz w:val="28"/>
          <w:szCs w:val="28"/>
        </w:rPr>
        <w:t xml:space="preserve"> Тихонюк</w:t>
      </w:r>
    </w:p>
    <w:p w14:paraId="699EF1AF" w14:textId="77777777" w:rsidR="008E5066" w:rsidRPr="00D923E7" w:rsidRDefault="008E5066" w:rsidP="000572E7">
      <w:pPr>
        <w:widowControl w:val="0"/>
        <w:ind w:firstLine="709"/>
        <w:jc w:val="both"/>
        <w:rPr>
          <w:sz w:val="28"/>
          <w:szCs w:val="28"/>
        </w:rPr>
      </w:pPr>
    </w:p>
    <w:p w14:paraId="11AAC881" w14:textId="77777777" w:rsidR="008E5066" w:rsidRPr="006E7480" w:rsidRDefault="008E5066" w:rsidP="000572E7">
      <w:pPr>
        <w:widowControl w:val="0"/>
        <w:ind w:firstLine="709"/>
        <w:jc w:val="both"/>
      </w:pPr>
    </w:p>
    <w:p w14:paraId="5FDAAEFD" w14:textId="48E56032" w:rsidR="006E5A59" w:rsidRPr="006E7480" w:rsidRDefault="007B14B4" w:rsidP="002C3C51">
      <w:pPr>
        <w:widowControl w:val="0"/>
        <w:ind w:firstLine="709"/>
        <w:jc w:val="both"/>
        <w:rPr>
          <w:i/>
        </w:rPr>
      </w:pPr>
      <w:r w:rsidRPr="006E7480">
        <w:rPr>
          <w:color w:val="000000"/>
        </w:rPr>
        <w:t xml:space="preserve">Вик.: </w:t>
      </w:r>
      <w:r w:rsidR="00C85878" w:rsidRPr="006E7480">
        <w:rPr>
          <w:color w:val="000000"/>
        </w:rPr>
        <w:t>І</w:t>
      </w:r>
      <w:r w:rsidR="002C3C51" w:rsidRPr="006E7480">
        <w:rPr>
          <w:color w:val="000000"/>
        </w:rPr>
        <w:t>.</w:t>
      </w:r>
      <w:r w:rsidR="00C85878" w:rsidRPr="006E7480">
        <w:rPr>
          <w:color w:val="000000"/>
        </w:rPr>
        <w:t xml:space="preserve"> </w:t>
      </w:r>
      <w:r w:rsidR="002C3C51" w:rsidRPr="006E7480">
        <w:rPr>
          <w:color w:val="000000"/>
        </w:rPr>
        <w:t>Бондур, Е.</w:t>
      </w:r>
      <w:r w:rsidR="00C85878" w:rsidRPr="006E7480">
        <w:rPr>
          <w:color w:val="000000"/>
        </w:rPr>
        <w:t xml:space="preserve"> </w:t>
      </w:r>
      <w:r w:rsidR="002C3C51" w:rsidRPr="006E7480">
        <w:rPr>
          <w:color w:val="000000"/>
        </w:rPr>
        <w:t>Вальковський,</w:t>
      </w:r>
      <w:r w:rsidR="002C3C51" w:rsidRPr="006E7480">
        <w:t xml:space="preserve"> </w:t>
      </w:r>
      <w:r w:rsidR="00006450" w:rsidRPr="006E7480">
        <w:rPr>
          <w:color w:val="000000"/>
        </w:rPr>
        <w:t>І. Крегул</w:t>
      </w:r>
    </w:p>
    <w:sectPr w:rsidR="006E5A59" w:rsidRPr="006E7480" w:rsidSect="001D189C">
      <w:headerReference w:type="default" r:id="rId8"/>
      <w:headerReference w:type="first" r:id="rId9"/>
      <w:pgSz w:w="11906" w:h="16838"/>
      <w:pgMar w:top="1134" w:right="567"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D53CCC" w14:textId="77777777" w:rsidR="00B07ADD" w:rsidRDefault="00B07ADD" w:rsidP="008E5066">
      <w:r>
        <w:separator/>
      </w:r>
    </w:p>
  </w:endnote>
  <w:endnote w:type="continuationSeparator" w:id="0">
    <w:p w14:paraId="27D0741B" w14:textId="77777777" w:rsidR="00B07ADD" w:rsidRDefault="00B07ADD" w:rsidP="008E5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7531C" w14:textId="77777777" w:rsidR="00B07ADD" w:rsidRDefault="00B07ADD" w:rsidP="008E5066">
      <w:r>
        <w:separator/>
      </w:r>
    </w:p>
  </w:footnote>
  <w:footnote w:type="continuationSeparator" w:id="0">
    <w:p w14:paraId="174D854C" w14:textId="77777777" w:rsidR="00B07ADD" w:rsidRDefault="00B07ADD" w:rsidP="008E5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4723016"/>
      <w:docPartObj>
        <w:docPartGallery w:val="Page Numbers (Top of Page)"/>
        <w:docPartUnique/>
      </w:docPartObj>
    </w:sdtPr>
    <w:sdtEndPr/>
    <w:sdtContent>
      <w:p w14:paraId="63766C79" w14:textId="72BD1D9F" w:rsidR="008F4B6B" w:rsidRDefault="008F4B6B">
        <w:pPr>
          <w:pStyle w:val="a6"/>
          <w:jc w:val="center"/>
        </w:pPr>
        <w:r>
          <w:fldChar w:fldCharType="begin"/>
        </w:r>
        <w:r>
          <w:instrText>PAGE   \* MERGEFORMAT</w:instrText>
        </w:r>
        <w:r>
          <w:fldChar w:fldCharType="separate"/>
        </w:r>
        <w:r w:rsidR="00B76B51" w:rsidRPr="00B76B51">
          <w:rPr>
            <w:noProof/>
            <w:lang w:val="ru-RU"/>
          </w:rPr>
          <w:t>4</w:t>
        </w:r>
        <w:r>
          <w:fldChar w:fldCharType="end"/>
        </w:r>
      </w:p>
    </w:sdtContent>
  </w:sdt>
  <w:p w14:paraId="677D2D85" w14:textId="77777777" w:rsidR="008E5066" w:rsidRDefault="008E5066" w:rsidP="008E5066">
    <w:pPr>
      <w:pStyle w:val="a6"/>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3987724"/>
      <w:docPartObj>
        <w:docPartGallery w:val="Page Numbers (Top of Page)"/>
        <w:docPartUnique/>
      </w:docPartObj>
    </w:sdtPr>
    <w:sdtEndPr>
      <w:rPr>
        <w:sz w:val="20"/>
        <w:szCs w:val="20"/>
      </w:rPr>
    </w:sdtEndPr>
    <w:sdtContent>
      <w:p w14:paraId="13B9925D" w14:textId="77777777" w:rsidR="00CC064F" w:rsidRPr="006E7480" w:rsidRDefault="00CC064F" w:rsidP="00CC064F">
        <w:pPr>
          <w:pStyle w:val="Iauiue"/>
          <w:widowControl/>
          <w:ind w:firstLine="709"/>
          <w:jc w:val="right"/>
          <w:rPr>
            <w:color w:val="000000"/>
            <w:sz w:val="20"/>
            <w:szCs w:val="20"/>
          </w:rPr>
        </w:pPr>
        <w:r w:rsidRPr="006E7480">
          <w:rPr>
            <w:color w:val="000000"/>
            <w:sz w:val="20"/>
            <w:szCs w:val="20"/>
            <w:lang w:val="uk-UA"/>
          </w:rPr>
          <w:t xml:space="preserve">До </w:t>
        </w:r>
        <w:r w:rsidR="008D04D4" w:rsidRPr="006E7480">
          <w:rPr>
            <w:color w:val="000000"/>
            <w:sz w:val="20"/>
            <w:szCs w:val="20"/>
            <w:lang w:val="uk-UA"/>
          </w:rPr>
          <w:t xml:space="preserve">реєстр. </w:t>
        </w:r>
        <w:r w:rsidRPr="006E7480">
          <w:rPr>
            <w:color w:val="000000"/>
            <w:sz w:val="20"/>
            <w:szCs w:val="20"/>
            <w:lang w:val="uk-UA"/>
          </w:rPr>
          <w:t xml:space="preserve">№ </w:t>
        </w:r>
        <w:r w:rsidR="005C4E2E" w:rsidRPr="006E7480">
          <w:rPr>
            <w:color w:val="000000"/>
            <w:sz w:val="20"/>
            <w:szCs w:val="20"/>
          </w:rPr>
          <w:t>4398 від 18.11.2020</w:t>
        </w:r>
      </w:p>
      <w:p w14:paraId="5130AA7D" w14:textId="77777777" w:rsidR="005C4E2E" w:rsidRPr="006E7480" w:rsidRDefault="005C4E2E" w:rsidP="00CC064F">
        <w:pPr>
          <w:pStyle w:val="Iauiue"/>
          <w:widowControl/>
          <w:ind w:firstLine="709"/>
          <w:jc w:val="right"/>
          <w:rPr>
            <w:color w:val="000000"/>
            <w:sz w:val="20"/>
            <w:szCs w:val="20"/>
            <w:lang w:val="uk-UA"/>
          </w:rPr>
        </w:pPr>
        <w:r w:rsidRPr="006E7480">
          <w:rPr>
            <w:color w:val="000000"/>
            <w:sz w:val="20"/>
            <w:szCs w:val="20"/>
            <w:lang w:val="uk-UA"/>
          </w:rPr>
          <w:t>Народні депутати</w:t>
        </w:r>
        <w:r w:rsidR="00CC064F" w:rsidRPr="006E7480">
          <w:rPr>
            <w:color w:val="000000"/>
            <w:sz w:val="20"/>
            <w:szCs w:val="20"/>
            <w:lang w:val="uk-UA"/>
          </w:rPr>
          <w:t xml:space="preserve"> України</w:t>
        </w:r>
      </w:p>
      <w:p w14:paraId="530959CC" w14:textId="77777777" w:rsidR="00CC064F" w:rsidRPr="00CC064F" w:rsidRDefault="005C4E2E" w:rsidP="00CC064F">
        <w:pPr>
          <w:pStyle w:val="Iauiue"/>
          <w:widowControl/>
          <w:ind w:firstLine="709"/>
          <w:jc w:val="right"/>
          <w:rPr>
            <w:sz w:val="20"/>
            <w:szCs w:val="20"/>
          </w:rPr>
        </w:pPr>
        <w:r w:rsidRPr="006E7480">
          <w:rPr>
            <w:color w:val="000000"/>
            <w:sz w:val="20"/>
            <w:szCs w:val="20"/>
            <w:lang w:val="uk-UA"/>
          </w:rPr>
          <w:t>Т. Тарасенко та інші</w:t>
        </w:r>
      </w:p>
    </w:sdtContent>
  </w:sdt>
  <w:p w14:paraId="28C6BF87" w14:textId="77777777" w:rsidR="00C10681" w:rsidRDefault="00C10681">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E0FBC"/>
    <w:multiLevelType w:val="hybridMultilevel"/>
    <w:tmpl w:val="A93CCEE4"/>
    <w:lvl w:ilvl="0" w:tplc="AB9C157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2C771A75"/>
    <w:multiLevelType w:val="hybridMultilevel"/>
    <w:tmpl w:val="EFC4BC04"/>
    <w:lvl w:ilvl="0" w:tplc="E872176C">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2" w15:restartNumberingAfterBreak="0">
    <w:nsid w:val="32AE09A8"/>
    <w:multiLevelType w:val="multilevel"/>
    <w:tmpl w:val="5D26DD30"/>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3" w15:restartNumberingAfterBreak="0">
    <w:nsid w:val="3D8736D2"/>
    <w:multiLevelType w:val="hybridMultilevel"/>
    <w:tmpl w:val="26503994"/>
    <w:lvl w:ilvl="0" w:tplc="5D0292EE">
      <w:start w:val="2"/>
      <w:numFmt w:val="decimal"/>
      <w:lvlText w:val="%1."/>
      <w:lvlJc w:val="left"/>
      <w:pPr>
        <w:tabs>
          <w:tab w:val="num" w:pos="924"/>
        </w:tabs>
        <w:ind w:left="924" w:hanging="360"/>
      </w:pPr>
      <w:rPr>
        <w:rFonts w:hint="default"/>
      </w:rPr>
    </w:lvl>
    <w:lvl w:ilvl="1" w:tplc="04220019" w:tentative="1">
      <w:start w:val="1"/>
      <w:numFmt w:val="lowerLetter"/>
      <w:lvlText w:val="%2."/>
      <w:lvlJc w:val="left"/>
      <w:pPr>
        <w:tabs>
          <w:tab w:val="num" w:pos="1644"/>
        </w:tabs>
        <w:ind w:left="1644" w:hanging="360"/>
      </w:pPr>
    </w:lvl>
    <w:lvl w:ilvl="2" w:tplc="0422001B" w:tentative="1">
      <w:start w:val="1"/>
      <w:numFmt w:val="lowerRoman"/>
      <w:lvlText w:val="%3."/>
      <w:lvlJc w:val="right"/>
      <w:pPr>
        <w:tabs>
          <w:tab w:val="num" w:pos="2364"/>
        </w:tabs>
        <w:ind w:left="2364" w:hanging="180"/>
      </w:pPr>
    </w:lvl>
    <w:lvl w:ilvl="3" w:tplc="0422000F" w:tentative="1">
      <w:start w:val="1"/>
      <w:numFmt w:val="decimal"/>
      <w:lvlText w:val="%4."/>
      <w:lvlJc w:val="left"/>
      <w:pPr>
        <w:tabs>
          <w:tab w:val="num" w:pos="3084"/>
        </w:tabs>
        <w:ind w:left="3084" w:hanging="360"/>
      </w:pPr>
    </w:lvl>
    <w:lvl w:ilvl="4" w:tplc="04220019" w:tentative="1">
      <w:start w:val="1"/>
      <w:numFmt w:val="lowerLetter"/>
      <w:lvlText w:val="%5."/>
      <w:lvlJc w:val="left"/>
      <w:pPr>
        <w:tabs>
          <w:tab w:val="num" w:pos="3804"/>
        </w:tabs>
        <w:ind w:left="3804" w:hanging="360"/>
      </w:pPr>
    </w:lvl>
    <w:lvl w:ilvl="5" w:tplc="0422001B" w:tentative="1">
      <w:start w:val="1"/>
      <w:numFmt w:val="lowerRoman"/>
      <w:lvlText w:val="%6."/>
      <w:lvlJc w:val="right"/>
      <w:pPr>
        <w:tabs>
          <w:tab w:val="num" w:pos="4524"/>
        </w:tabs>
        <w:ind w:left="4524" w:hanging="180"/>
      </w:pPr>
    </w:lvl>
    <w:lvl w:ilvl="6" w:tplc="0422000F" w:tentative="1">
      <w:start w:val="1"/>
      <w:numFmt w:val="decimal"/>
      <w:lvlText w:val="%7."/>
      <w:lvlJc w:val="left"/>
      <w:pPr>
        <w:tabs>
          <w:tab w:val="num" w:pos="5244"/>
        </w:tabs>
        <w:ind w:left="5244" w:hanging="360"/>
      </w:pPr>
    </w:lvl>
    <w:lvl w:ilvl="7" w:tplc="04220019" w:tentative="1">
      <w:start w:val="1"/>
      <w:numFmt w:val="lowerLetter"/>
      <w:lvlText w:val="%8."/>
      <w:lvlJc w:val="left"/>
      <w:pPr>
        <w:tabs>
          <w:tab w:val="num" w:pos="5964"/>
        </w:tabs>
        <w:ind w:left="5964" w:hanging="360"/>
      </w:pPr>
    </w:lvl>
    <w:lvl w:ilvl="8" w:tplc="0422001B" w:tentative="1">
      <w:start w:val="1"/>
      <w:numFmt w:val="lowerRoman"/>
      <w:lvlText w:val="%9."/>
      <w:lvlJc w:val="right"/>
      <w:pPr>
        <w:tabs>
          <w:tab w:val="num" w:pos="6684"/>
        </w:tabs>
        <w:ind w:left="6684" w:hanging="180"/>
      </w:pPr>
    </w:lvl>
  </w:abstractNum>
  <w:abstractNum w:abstractNumId="4" w15:restartNumberingAfterBreak="0">
    <w:nsid w:val="44F074DE"/>
    <w:multiLevelType w:val="hybridMultilevel"/>
    <w:tmpl w:val="52864870"/>
    <w:lvl w:ilvl="0" w:tplc="7B3AFCF2">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5" w15:restartNumberingAfterBreak="0">
    <w:nsid w:val="545473BB"/>
    <w:multiLevelType w:val="hybridMultilevel"/>
    <w:tmpl w:val="5E9C196E"/>
    <w:lvl w:ilvl="0" w:tplc="3F562B8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55A57203"/>
    <w:multiLevelType w:val="multilevel"/>
    <w:tmpl w:val="59ACADF6"/>
    <w:lvl w:ilvl="0">
      <w:start w:val="1"/>
      <w:numFmt w:val="decimal"/>
      <w:lvlText w:val="%1."/>
      <w:lvlJc w:val="left"/>
      <w:pPr>
        <w:ind w:left="72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57A46DA1"/>
    <w:multiLevelType w:val="hybridMultilevel"/>
    <w:tmpl w:val="F1FCEF1C"/>
    <w:lvl w:ilvl="0" w:tplc="57A6FD1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69F06449"/>
    <w:multiLevelType w:val="multilevel"/>
    <w:tmpl w:val="D8EA3F1E"/>
    <w:lvl w:ilvl="0">
      <w:start w:val="3"/>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15:restartNumberingAfterBreak="0">
    <w:nsid w:val="6ADE1A23"/>
    <w:multiLevelType w:val="hybridMultilevel"/>
    <w:tmpl w:val="853E1A22"/>
    <w:lvl w:ilvl="0" w:tplc="2F6A68EC">
      <w:start w:val="1"/>
      <w:numFmt w:val="decimal"/>
      <w:lvlText w:val="%1."/>
      <w:lvlJc w:val="left"/>
      <w:pPr>
        <w:ind w:left="1141" w:hanging="432"/>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7DAF02E3"/>
    <w:multiLevelType w:val="hybridMultilevel"/>
    <w:tmpl w:val="5D921C6E"/>
    <w:lvl w:ilvl="0" w:tplc="28F0DB0E">
      <w:start w:val="1"/>
      <w:numFmt w:val="decimal"/>
      <w:lvlText w:val="%1."/>
      <w:lvlJc w:val="left"/>
      <w:pPr>
        <w:ind w:left="927" w:hanging="360"/>
      </w:pPr>
      <w:rPr>
        <w:rFonts w:hint="default"/>
        <w:color w:val="auto"/>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3"/>
  </w:num>
  <w:num w:numId="2">
    <w:abstractNumId w:val="10"/>
  </w:num>
  <w:num w:numId="3">
    <w:abstractNumId w:val="0"/>
  </w:num>
  <w:num w:numId="4">
    <w:abstractNumId w:val="5"/>
  </w:num>
  <w:num w:numId="5">
    <w:abstractNumId w:val="7"/>
  </w:num>
  <w:num w:numId="6">
    <w:abstractNumId w:val="9"/>
  </w:num>
  <w:num w:numId="7">
    <w:abstractNumId w:val="6"/>
  </w:num>
  <w:num w:numId="8">
    <w:abstractNumId w:val="8"/>
  </w:num>
  <w:num w:numId="9">
    <w:abstractNumId w:val="4"/>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AD4"/>
    <w:rsid w:val="00000540"/>
    <w:rsid w:val="00006450"/>
    <w:rsid w:val="00030F96"/>
    <w:rsid w:val="00037B34"/>
    <w:rsid w:val="000432EC"/>
    <w:rsid w:val="00055EA5"/>
    <w:rsid w:val="000572E7"/>
    <w:rsid w:val="00074272"/>
    <w:rsid w:val="00077721"/>
    <w:rsid w:val="00080BB5"/>
    <w:rsid w:val="00087DC6"/>
    <w:rsid w:val="000952BB"/>
    <w:rsid w:val="0009625B"/>
    <w:rsid w:val="00097AFA"/>
    <w:rsid w:val="000A1C82"/>
    <w:rsid w:val="000A6EA5"/>
    <w:rsid w:val="000C7076"/>
    <w:rsid w:val="000C7D20"/>
    <w:rsid w:val="000E12E3"/>
    <w:rsid w:val="00103753"/>
    <w:rsid w:val="00113D95"/>
    <w:rsid w:val="00127B26"/>
    <w:rsid w:val="00132B6C"/>
    <w:rsid w:val="00134CE8"/>
    <w:rsid w:val="00143C69"/>
    <w:rsid w:val="00146660"/>
    <w:rsid w:val="00153809"/>
    <w:rsid w:val="001543C5"/>
    <w:rsid w:val="001634D7"/>
    <w:rsid w:val="00167C66"/>
    <w:rsid w:val="00170C2F"/>
    <w:rsid w:val="00172ADB"/>
    <w:rsid w:val="001733C8"/>
    <w:rsid w:val="0017629D"/>
    <w:rsid w:val="00177213"/>
    <w:rsid w:val="00180B41"/>
    <w:rsid w:val="0018747E"/>
    <w:rsid w:val="001A6072"/>
    <w:rsid w:val="001A7C2E"/>
    <w:rsid w:val="001B7205"/>
    <w:rsid w:val="001C0898"/>
    <w:rsid w:val="001C3F56"/>
    <w:rsid w:val="001C531B"/>
    <w:rsid w:val="001D189C"/>
    <w:rsid w:val="001D4D0F"/>
    <w:rsid w:val="001D5905"/>
    <w:rsid w:val="001D5D58"/>
    <w:rsid w:val="001D7FC0"/>
    <w:rsid w:val="001E1688"/>
    <w:rsid w:val="00202CAF"/>
    <w:rsid w:val="00213E6C"/>
    <w:rsid w:val="0022601E"/>
    <w:rsid w:val="002338BA"/>
    <w:rsid w:val="00235002"/>
    <w:rsid w:val="00235D84"/>
    <w:rsid w:val="00236329"/>
    <w:rsid w:val="00241820"/>
    <w:rsid w:val="002447B3"/>
    <w:rsid w:val="002463E0"/>
    <w:rsid w:val="00247045"/>
    <w:rsid w:val="002570AF"/>
    <w:rsid w:val="00296EF7"/>
    <w:rsid w:val="002A1311"/>
    <w:rsid w:val="002C3C51"/>
    <w:rsid w:val="002D67DD"/>
    <w:rsid w:val="002E0CB0"/>
    <w:rsid w:val="002E27E5"/>
    <w:rsid w:val="002E3F56"/>
    <w:rsid w:val="002F53F8"/>
    <w:rsid w:val="00304772"/>
    <w:rsid w:val="00307079"/>
    <w:rsid w:val="0031433C"/>
    <w:rsid w:val="00314D4B"/>
    <w:rsid w:val="00321A9F"/>
    <w:rsid w:val="003244E9"/>
    <w:rsid w:val="00332946"/>
    <w:rsid w:val="00333654"/>
    <w:rsid w:val="0033437C"/>
    <w:rsid w:val="0033650F"/>
    <w:rsid w:val="003534F6"/>
    <w:rsid w:val="00354195"/>
    <w:rsid w:val="00356A95"/>
    <w:rsid w:val="00365215"/>
    <w:rsid w:val="00366B0E"/>
    <w:rsid w:val="00393179"/>
    <w:rsid w:val="0039536B"/>
    <w:rsid w:val="00396358"/>
    <w:rsid w:val="003A1058"/>
    <w:rsid w:val="003A74AC"/>
    <w:rsid w:val="003C0744"/>
    <w:rsid w:val="003D043F"/>
    <w:rsid w:val="003D0762"/>
    <w:rsid w:val="003D13F6"/>
    <w:rsid w:val="003D4E6A"/>
    <w:rsid w:val="003E4094"/>
    <w:rsid w:val="003F3C9E"/>
    <w:rsid w:val="003F5B61"/>
    <w:rsid w:val="00400860"/>
    <w:rsid w:val="00401770"/>
    <w:rsid w:val="004112CB"/>
    <w:rsid w:val="00424BD0"/>
    <w:rsid w:val="00426593"/>
    <w:rsid w:val="00427AE9"/>
    <w:rsid w:val="00432D93"/>
    <w:rsid w:val="004368A6"/>
    <w:rsid w:val="00443D08"/>
    <w:rsid w:val="00444203"/>
    <w:rsid w:val="00451E2B"/>
    <w:rsid w:val="0045530A"/>
    <w:rsid w:val="00461F8F"/>
    <w:rsid w:val="004624C0"/>
    <w:rsid w:val="00497958"/>
    <w:rsid w:val="004A1273"/>
    <w:rsid w:val="004B37E0"/>
    <w:rsid w:val="004B5B10"/>
    <w:rsid w:val="004C0D04"/>
    <w:rsid w:val="004C37BD"/>
    <w:rsid w:val="004D3DAE"/>
    <w:rsid w:val="004E7DE1"/>
    <w:rsid w:val="004F20E5"/>
    <w:rsid w:val="004F5069"/>
    <w:rsid w:val="004F67FB"/>
    <w:rsid w:val="00505984"/>
    <w:rsid w:val="0051458B"/>
    <w:rsid w:val="00514986"/>
    <w:rsid w:val="005204CF"/>
    <w:rsid w:val="005208DA"/>
    <w:rsid w:val="00521341"/>
    <w:rsid w:val="00524BEC"/>
    <w:rsid w:val="00527605"/>
    <w:rsid w:val="00530D8B"/>
    <w:rsid w:val="00535C7C"/>
    <w:rsid w:val="00542265"/>
    <w:rsid w:val="00543459"/>
    <w:rsid w:val="005470C0"/>
    <w:rsid w:val="00551D82"/>
    <w:rsid w:val="005553FA"/>
    <w:rsid w:val="00555C1F"/>
    <w:rsid w:val="00555F07"/>
    <w:rsid w:val="00586BD5"/>
    <w:rsid w:val="0059460A"/>
    <w:rsid w:val="0059546A"/>
    <w:rsid w:val="00595F8B"/>
    <w:rsid w:val="00596F3B"/>
    <w:rsid w:val="00597A25"/>
    <w:rsid w:val="005A1676"/>
    <w:rsid w:val="005A26EE"/>
    <w:rsid w:val="005B0D85"/>
    <w:rsid w:val="005B24BA"/>
    <w:rsid w:val="005C0950"/>
    <w:rsid w:val="005C4E2E"/>
    <w:rsid w:val="005D5BB6"/>
    <w:rsid w:val="005D7D8F"/>
    <w:rsid w:val="005E6EE8"/>
    <w:rsid w:val="005E7511"/>
    <w:rsid w:val="006131D7"/>
    <w:rsid w:val="00613773"/>
    <w:rsid w:val="00621474"/>
    <w:rsid w:val="00622CDD"/>
    <w:rsid w:val="0062688D"/>
    <w:rsid w:val="00633A9D"/>
    <w:rsid w:val="00637419"/>
    <w:rsid w:val="00651750"/>
    <w:rsid w:val="0065180D"/>
    <w:rsid w:val="00663602"/>
    <w:rsid w:val="00681F4A"/>
    <w:rsid w:val="00686C21"/>
    <w:rsid w:val="006A1B1D"/>
    <w:rsid w:val="006B59AA"/>
    <w:rsid w:val="006C0695"/>
    <w:rsid w:val="006D34E1"/>
    <w:rsid w:val="006E3906"/>
    <w:rsid w:val="006E45E1"/>
    <w:rsid w:val="006E5A59"/>
    <w:rsid w:val="006E7464"/>
    <w:rsid w:val="006E7480"/>
    <w:rsid w:val="00702FFA"/>
    <w:rsid w:val="00715219"/>
    <w:rsid w:val="007235D5"/>
    <w:rsid w:val="00723DAA"/>
    <w:rsid w:val="0072424C"/>
    <w:rsid w:val="007258AF"/>
    <w:rsid w:val="00727828"/>
    <w:rsid w:val="00743CFE"/>
    <w:rsid w:val="00752F0C"/>
    <w:rsid w:val="007540FE"/>
    <w:rsid w:val="0076150C"/>
    <w:rsid w:val="00762B52"/>
    <w:rsid w:val="007731F5"/>
    <w:rsid w:val="0078219B"/>
    <w:rsid w:val="00794542"/>
    <w:rsid w:val="007B14B4"/>
    <w:rsid w:val="007C2075"/>
    <w:rsid w:val="007C2274"/>
    <w:rsid w:val="007C7A6A"/>
    <w:rsid w:val="007D222F"/>
    <w:rsid w:val="007D4452"/>
    <w:rsid w:val="007D6BDE"/>
    <w:rsid w:val="007D7C73"/>
    <w:rsid w:val="007E4DED"/>
    <w:rsid w:val="007F096E"/>
    <w:rsid w:val="007F4390"/>
    <w:rsid w:val="0080263A"/>
    <w:rsid w:val="008266AA"/>
    <w:rsid w:val="0083633B"/>
    <w:rsid w:val="0084334A"/>
    <w:rsid w:val="008458BE"/>
    <w:rsid w:val="00865BE8"/>
    <w:rsid w:val="0087605A"/>
    <w:rsid w:val="008843A9"/>
    <w:rsid w:val="00892284"/>
    <w:rsid w:val="00892885"/>
    <w:rsid w:val="008C467D"/>
    <w:rsid w:val="008D04D4"/>
    <w:rsid w:val="008D3AA4"/>
    <w:rsid w:val="008E5066"/>
    <w:rsid w:val="008F0187"/>
    <w:rsid w:val="008F0AC4"/>
    <w:rsid w:val="008F4076"/>
    <w:rsid w:val="008F4B6B"/>
    <w:rsid w:val="008F7507"/>
    <w:rsid w:val="00900CE4"/>
    <w:rsid w:val="00907D6E"/>
    <w:rsid w:val="00911CAF"/>
    <w:rsid w:val="009156A0"/>
    <w:rsid w:val="0092278B"/>
    <w:rsid w:val="00933E0E"/>
    <w:rsid w:val="00945B9F"/>
    <w:rsid w:val="009467A0"/>
    <w:rsid w:val="009503DF"/>
    <w:rsid w:val="009506F4"/>
    <w:rsid w:val="00956437"/>
    <w:rsid w:val="00956772"/>
    <w:rsid w:val="0097365E"/>
    <w:rsid w:val="009A595C"/>
    <w:rsid w:val="009A687F"/>
    <w:rsid w:val="009B1F35"/>
    <w:rsid w:val="009C3477"/>
    <w:rsid w:val="009E08DB"/>
    <w:rsid w:val="00A02BCE"/>
    <w:rsid w:val="00A1302E"/>
    <w:rsid w:val="00A235AD"/>
    <w:rsid w:val="00A2502C"/>
    <w:rsid w:val="00A31AD4"/>
    <w:rsid w:val="00A3206F"/>
    <w:rsid w:val="00A374BD"/>
    <w:rsid w:val="00A37D92"/>
    <w:rsid w:val="00A435BD"/>
    <w:rsid w:val="00A458B4"/>
    <w:rsid w:val="00A5720C"/>
    <w:rsid w:val="00A62D13"/>
    <w:rsid w:val="00A645B2"/>
    <w:rsid w:val="00A7130B"/>
    <w:rsid w:val="00A740EA"/>
    <w:rsid w:val="00A96D86"/>
    <w:rsid w:val="00AC2594"/>
    <w:rsid w:val="00AC6B18"/>
    <w:rsid w:val="00AD3CAA"/>
    <w:rsid w:val="00AE58D6"/>
    <w:rsid w:val="00AE6558"/>
    <w:rsid w:val="00AE7109"/>
    <w:rsid w:val="00AF4B02"/>
    <w:rsid w:val="00B02E29"/>
    <w:rsid w:val="00B07ADD"/>
    <w:rsid w:val="00B10557"/>
    <w:rsid w:val="00B10B57"/>
    <w:rsid w:val="00B16144"/>
    <w:rsid w:val="00B209F0"/>
    <w:rsid w:val="00B2269B"/>
    <w:rsid w:val="00B24921"/>
    <w:rsid w:val="00B329D5"/>
    <w:rsid w:val="00B36CEE"/>
    <w:rsid w:val="00B406DB"/>
    <w:rsid w:val="00B47A33"/>
    <w:rsid w:val="00B67FE3"/>
    <w:rsid w:val="00B75608"/>
    <w:rsid w:val="00B76B51"/>
    <w:rsid w:val="00B804BF"/>
    <w:rsid w:val="00B8317D"/>
    <w:rsid w:val="00B8520F"/>
    <w:rsid w:val="00B92AAD"/>
    <w:rsid w:val="00BB0116"/>
    <w:rsid w:val="00BB1AE9"/>
    <w:rsid w:val="00BB4715"/>
    <w:rsid w:val="00BB5814"/>
    <w:rsid w:val="00BC0124"/>
    <w:rsid w:val="00BC01EB"/>
    <w:rsid w:val="00BC3041"/>
    <w:rsid w:val="00BC55B0"/>
    <w:rsid w:val="00BC6332"/>
    <w:rsid w:val="00BD7D5E"/>
    <w:rsid w:val="00BF42A2"/>
    <w:rsid w:val="00C00EA9"/>
    <w:rsid w:val="00C04F20"/>
    <w:rsid w:val="00C06217"/>
    <w:rsid w:val="00C068FF"/>
    <w:rsid w:val="00C10681"/>
    <w:rsid w:val="00C12B84"/>
    <w:rsid w:val="00C1425D"/>
    <w:rsid w:val="00C23100"/>
    <w:rsid w:val="00C233EF"/>
    <w:rsid w:val="00C24B3A"/>
    <w:rsid w:val="00C273A5"/>
    <w:rsid w:val="00C314B0"/>
    <w:rsid w:val="00C3648F"/>
    <w:rsid w:val="00C54C0F"/>
    <w:rsid w:val="00C56707"/>
    <w:rsid w:val="00C57FE1"/>
    <w:rsid w:val="00C61299"/>
    <w:rsid w:val="00C711B7"/>
    <w:rsid w:val="00C75B79"/>
    <w:rsid w:val="00C85878"/>
    <w:rsid w:val="00C879C0"/>
    <w:rsid w:val="00CA1EA3"/>
    <w:rsid w:val="00CA5139"/>
    <w:rsid w:val="00CB4385"/>
    <w:rsid w:val="00CC064F"/>
    <w:rsid w:val="00CC6B68"/>
    <w:rsid w:val="00CD52BD"/>
    <w:rsid w:val="00CF39CA"/>
    <w:rsid w:val="00CF5277"/>
    <w:rsid w:val="00D0255C"/>
    <w:rsid w:val="00D07020"/>
    <w:rsid w:val="00D10700"/>
    <w:rsid w:val="00D114FE"/>
    <w:rsid w:val="00D15199"/>
    <w:rsid w:val="00D23B77"/>
    <w:rsid w:val="00D30230"/>
    <w:rsid w:val="00D42BA0"/>
    <w:rsid w:val="00D45841"/>
    <w:rsid w:val="00D537D2"/>
    <w:rsid w:val="00D574EA"/>
    <w:rsid w:val="00D57F37"/>
    <w:rsid w:val="00D62F00"/>
    <w:rsid w:val="00D646B6"/>
    <w:rsid w:val="00D6586B"/>
    <w:rsid w:val="00D71915"/>
    <w:rsid w:val="00D909F0"/>
    <w:rsid w:val="00D923E7"/>
    <w:rsid w:val="00D92EDE"/>
    <w:rsid w:val="00DB0EF4"/>
    <w:rsid w:val="00DB5CA8"/>
    <w:rsid w:val="00DC7677"/>
    <w:rsid w:val="00DD33C0"/>
    <w:rsid w:val="00DE3F6C"/>
    <w:rsid w:val="00DE50BD"/>
    <w:rsid w:val="00DE5AA8"/>
    <w:rsid w:val="00DF2BB8"/>
    <w:rsid w:val="00E0706F"/>
    <w:rsid w:val="00E27076"/>
    <w:rsid w:val="00E30E4E"/>
    <w:rsid w:val="00E330BC"/>
    <w:rsid w:val="00E50232"/>
    <w:rsid w:val="00E5178F"/>
    <w:rsid w:val="00E63D1E"/>
    <w:rsid w:val="00E6542E"/>
    <w:rsid w:val="00E84775"/>
    <w:rsid w:val="00E87C14"/>
    <w:rsid w:val="00E9315C"/>
    <w:rsid w:val="00E936F1"/>
    <w:rsid w:val="00EB1EEC"/>
    <w:rsid w:val="00EB3215"/>
    <w:rsid w:val="00EC5765"/>
    <w:rsid w:val="00ED120E"/>
    <w:rsid w:val="00ED5325"/>
    <w:rsid w:val="00EE7C7F"/>
    <w:rsid w:val="00F1067D"/>
    <w:rsid w:val="00F12088"/>
    <w:rsid w:val="00F36AFE"/>
    <w:rsid w:val="00F6464F"/>
    <w:rsid w:val="00F7151B"/>
    <w:rsid w:val="00F80663"/>
    <w:rsid w:val="00F83E66"/>
    <w:rsid w:val="00F922D0"/>
    <w:rsid w:val="00F93B1A"/>
    <w:rsid w:val="00F967A1"/>
    <w:rsid w:val="00F9681A"/>
    <w:rsid w:val="00FA5985"/>
    <w:rsid w:val="00FA6A5C"/>
    <w:rsid w:val="00FB315B"/>
    <w:rsid w:val="00FC589F"/>
    <w:rsid w:val="00FD08B0"/>
    <w:rsid w:val="00FD4111"/>
    <w:rsid w:val="00FD570D"/>
    <w:rsid w:val="00FE72F6"/>
    <w:rsid w:val="00FE7463"/>
    <w:rsid w:val="00FF029F"/>
    <w:rsid w:val="00FF06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2F5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1AD4"/>
    <w:rPr>
      <w:rFonts w:eastAsia="Times New Roman"/>
      <w:lang w:eastAsia="ru-RU"/>
    </w:rPr>
  </w:style>
  <w:style w:type="paragraph" w:styleId="2">
    <w:name w:val="heading 2"/>
    <w:basedOn w:val="a"/>
    <w:next w:val="a"/>
    <w:link w:val="20"/>
    <w:qFormat/>
    <w:rsid w:val="008E5066"/>
    <w:pPr>
      <w:keepNext/>
      <w:jc w:val="both"/>
      <w:outlineLvl w:val="1"/>
    </w:pPr>
    <w:rPr>
      <w:sz w:val="28"/>
      <w:szCs w:val="28"/>
    </w:rPr>
  </w:style>
  <w:style w:type="paragraph" w:styleId="5">
    <w:name w:val="heading 5"/>
    <w:basedOn w:val="a"/>
    <w:next w:val="a"/>
    <w:link w:val="50"/>
    <w:qFormat/>
    <w:rsid w:val="008E5066"/>
    <w:pPr>
      <w:keepNext/>
      <w:ind w:firstLine="540"/>
      <w:jc w:val="center"/>
      <w:outlineLvl w:val="4"/>
    </w:pPr>
    <w:rPr>
      <w:b/>
      <w:bCs/>
      <w:i/>
      <w:iCs/>
      <w:sz w:val="28"/>
      <w:szCs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Шрифт абзацу за замовчуванням"/>
    <w:uiPriority w:val="1"/>
    <w:semiHidden/>
    <w:unhideWhenUsed/>
  </w:style>
  <w:style w:type="paragraph" w:styleId="a4">
    <w:name w:val="List Paragraph"/>
    <w:basedOn w:val="a"/>
    <w:uiPriority w:val="99"/>
    <w:qFormat/>
    <w:rsid w:val="00A31AD4"/>
    <w:pPr>
      <w:ind w:left="720"/>
      <w:contextualSpacing/>
    </w:pPr>
    <w:rPr>
      <w:sz w:val="24"/>
      <w:szCs w:val="24"/>
    </w:rPr>
  </w:style>
  <w:style w:type="paragraph" w:customStyle="1" w:styleId="a5">
    <w:name w:val="Нормальний текст"/>
    <w:basedOn w:val="a"/>
    <w:rsid w:val="00A62D13"/>
    <w:pPr>
      <w:spacing w:before="120"/>
      <w:ind w:firstLine="567"/>
    </w:pPr>
    <w:rPr>
      <w:rFonts w:ascii="Antiqua" w:hAnsi="Antiqua"/>
      <w:sz w:val="26"/>
    </w:rPr>
  </w:style>
  <w:style w:type="paragraph" w:customStyle="1" w:styleId="Iauiue">
    <w:name w:val="Iau?iue"/>
    <w:rsid w:val="008E5066"/>
    <w:pPr>
      <w:widowControl w:val="0"/>
    </w:pPr>
    <w:rPr>
      <w:rFonts w:eastAsia="Times New Roman"/>
      <w:sz w:val="24"/>
      <w:szCs w:val="24"/>
      <w:lang w:val="ru-RU" w:eastAsia="ru-RU"/>
    </w:rPr>
  </w:style>
  <w:style w:type="paragraph" w:styleId="21">
    <w:name w:val="Body Text Indent 2"/>
    <w:basedOn w:val="a"/>
    <w:link w:val="22"/>
    <w:rsid w:val="008E5066"/>
    <w:pPr>
      <w:ind w:firstLine="540"/>
      <w:jc w:val="both"/>
    </w:pPr>
    <w:rPr>
      <w:sz w:val="28"/>
      <w:szCs w:val="28"/>
    </w:rPr>
  </w:style>
  <w:style w:type="character" w:customStyle="1" w:styleId="22">
    <w:name w:val="Основний текст з відступом 2 Знак"/>
    <w:link w:val="21"/>
    <w:rsid w:val="008E5066"/>
    <w:rPr>
      <w:rFonts w:eastAsia="Times New Roman" w:cs="Times New Roman"/>
      <w:szCs w:val="28"/>
      <w:lang w:eastAsia="ru-RU"/>
    </w:rPr>
  </w:style>
  <w:style w:type="paragraph" w:styleId="3">
    <w:name w:val="Body Text Indent 3"/>
    <w:basedOn w:val="a"/>
    <w:link w:val="30"/>
    <w:rsid w:val="008E5066"/>
    <w:pPr>
      <w:ind w:firstLine="709"/>
      <w:jc w:val="both"/>
    </w:pPr>
    <w:rPr>
      <w:sz w:val="28"/>
      <w:szCs w:val="28"/>
    </w:rPr>
  </w:style>
  <w:style w:type="character" w:customStyle="1" w:styleId="30">
    <w:name w:val="Основний текст з відступом 3 Знак"/>
    <w:link w:val="3"/>
    <w:rsid w:val="008E5066"/>
    <w:rPr>
      <w:rFonts w:eastAsia="Times New Roman" w:cs="Times New Roman"/>
      <w:szCs w:val="28"/>
      <w:lang w:eastAsia="ru-RU"/>
    </w:rPr>
  </w:style>
  <w:style w:type="character" w:customStyle="1" w:styleId="rvts0">
    <w:name w:val="rvts0"/>
    <w:rsid w:val="008E5066"/>
  </w:style>
  <w:style w:type="paragraph" w:styleId="a6">
    <w:name w:val="header"/>
    <w:basedOn w:val="a"/>
    <w:link w:val="a7"/>
    <w:uiPriority w:val="99"/>
    <w:unhideWhenUsed/>
    <w:rsid w:val="008E5066"/>
    <w:pPr>
      <w:tabs>
        <w:tab w:val="center" w:pos="4819"/>
        <w:tab w:val="right" w:pos="9639"/>
      </w:tabs>
    </w:pPr>
  </w:style>
  <w:style w:type="character" w:customStyle="1" w:styleId="a7">
    <w:name w:val="Верхній колонтитул Знак"/>
    <w:link w:val="a6"/>
    <w:uiPriority w:val="99"/>
    <w:rsid w:val="008E5066"/>
    <w:rPr>
      <w:rFonts w:eastAsia="Times New Roman" w:cs="Times New Roman"/>
      <w:sz w:val="20"/>
      <w:szCs w:val="20"/>
      <w:lang w:eastAsia="ru-RU"/>
    </w:rPr>
  </w:style>
  <w:style w:type="paragraph" w:styleId="a8">
    <w:name w:val="footer"/>
    <w:basedOn w:val="a"/>
    <w:link w:val="a9"/>
    <w:uiPriority w:val="99"/>
    <w:unhideWhenUsed/>
    <w:rsid w:val="008E5066"/>
    <w:pPr>
      <w:tabs>
        <w:tab w:val="center" w:pos="4819"/>
        <w:tab w:val="right" w:pos="9639"/>
      </w:tabs>
    </w:pPr>
  </w:style>
  <w:style w:type="character" w:customStyle="1" w:styleId="a9">
    <w:name w:val="Нижній колонтитул Знак"/>
    <w:link w:val="a8"/>
    <w:uiPriority w:val="99"/>
    <w:rsid w:val="008E5066"/>
    <w:rPr>
      <w:rFonts w:eastAsia="Times New Roman" w:cs="Times New Roman"/>
      <w:sz w:val="20"/>
      <w:szCs w:val="20"/>
      <w:lang w:eastAsia="ru-RU"/>
    </w:rPr>
  </w:style>
  <w:style w:type="character" w:customStyle="1" w:styleId="20">
    <w:name w:val="Заголовок 2 Знак"/>
    <w:link w:val="2"/>
    <w:rsid w:val="008E5066"/>
    <w:rPr>
      <w:rFonts w:eastAsia="Times New Roman" w:cs="Times New Roman"/>
      <w:szCs w:val="28"/>
      <w:lang w:eastAsia="ru-RU"/>
    </w:rPr>
  </w:style>
  <w:style w:type="character" w:customStyle="1" w:styleId="50">
    <w:name w:val="Заголовок 5 Знак"/>
    <w:link w:val="5"/>
    <w:rsid w:val="008E5066"/>
    <w:rPr>
      <w:rFonts w:eastAsia="Times New Roman" w:cs="Times New Roman"/>
      <w:b/>
      <w:bCs/>
      <w:i/>
      <w:iCs/>
      <w:szCs w:val="28"/>
      <w:u w:val="single"/>
      <w:lang w:eastAsia="ru-RU"/>
    </w:rPr>
  </w:style>
  <w:style w:type="character" w:customStyle="1" w:styleId="FontStyle">
    <w:name w:val="Font Style"/>
    <w:rsid w:val="008E5066"/>
    <w:rPr>
      <w:color w:val="000000"/>
      <w:sz w:val="20"/>
    </w:rPr>
  </w:style>
  <w:style w:type="paragraph" w:styleId="HTML">
    <w:name w:val="HTML Preformatted"/>
    <w:basedOn w:val="a"/>
    <w:link w:val="HTML0"/>
    <w:rsid w:val="008E50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3"/>
      <w:szCs w:val="23"/>
      <w:lang w:val="ru-RU"/>
    </w:rPr>
  </w:style>
  <w:style w:type="character" w:customStyle="1" w:styleId="HTML0">
    <w:name w:val="Стандартний HTML Знак"/>
    <w:link w:val="HTML"/>
    <w:rsid w:val="008E5066"/>
    <w:rPr>
      <w:rFonts w:ascii="Courier New" w:eastAsia="Arial Unicode MS" w:hAnsi="Courier New" w:cs="Courier New"/>
      <w:color w:val="000000"/>
      <w:sz w:val="23"/>
      <w:szCs w:val="23"/>
      <w:lang w:val="ru-RU" w:eastAsia="ru-RU"/>
    </w:rPr>
  </w:style>
  <w:style w:type="character" w:customStyle="1" w:styleId="st42">
    <w:name w:val="st42"/>
    <w:rsid w:val="008E5066"/>
    <w:rPr>
      <w:rFonts w:ascii="Times New Roman" w:hAnsi="Times New Roman"/>
      <w:color w:val="000000"/>
    </w:rPr>
  </w:style>
  <w:style w:type="paragraph" w:styleId="aa">
    <w:name w:val="footnote text"/>
    <w:basedOn w:val="a"/>
    <w:link w:val="ab"/>
    <w:rsid w:val="008E5066"/>
    <w:rPr>
      <w:lang w:val="ru-RU"/>
    </w:rPr>
  </w:style>
  <w:style w:type="character" w:customStyle="1" w:styleId="ab">
    <w:name w:val="Текст виноски Знак"/>
    <w:link w:val="aa"/>
    <w:rsid w:val="008E5066"/>
    <w:rPr>
      <w:rFonts w:eastAsia="Times New Roman" w:cs="Times New Roman"/>
      <w:sz w:val="20"/>
      <w:szCs w:val="20"/>
      <w:lang w:val="ru-RU" w:eastAsia="ru-RU"/>
    </w:rPr>
  </w:style>
  <w:style w:type="character" w:styleId="ac">
    <w:name w:val="footnote reference"/>
    <w:rsid w:val="008E5066"/>
    <w:rPr>
      <w:vertAlign w:val="superscript"/>
    </w:rPr>
  </w:style>
  <w:style w:type="paragraph" w:customStyle="1" w:styleId="Igor">
    <w:name w:val="Igor"/>
    <w:basedOn w:val="a"/>
    <w:autoRedefine/>
    <w:rsid w:val="008E5066"/>
    <w:pPr>
      <w:ind w:firstLine="567"/>
      <w:jc w:val="both"/>
    </w:pPr>
    <w:rPr>
      <w:sz w:val="28"/>
      <w:szCs w:val="28"/>
    </w:rPr>
  </w:style>
  <w:style w:type="character" w:customStyle="1" w:styleId="rvts46">
    <w:name w:val="rvts46"/>
    <w:basedOn w:val="a3"/>
    <w:rsid w:val="0051458B"/>
  </w:style>
  <w:style w:type="character" w:styleId="ad">
    <w:name w:val="Hyperlink"/>
    <w:uiPriority w:val="99"/>
    <w:unhideWhenUsed/>
    <w:rsid w:val="00B92AAD"/>
    <w:rPr>
      <w:color w:val="0000FF"/>
      <w:u w:val="single"/>
    </w:rPr>
  </w:style>
  <w:style w:type="paragraph" w:styleId="ae">
    <w:name w:val="Balloon Text"/>
    <w:basedOn w:val="a"/>
    <w:link w:val="af"/>
    <w:uiPriority w:val="99"/>
    <w:semiHidden/>
    <w:unhideWhenUsed/>
    <w:rsid w:val="00743CFE"/>
    <w:rPr>
      <w:rFonts w:ascii="Segoe UI" w:hAnsi="Segoe UI" w:cs="Segoe UI"/>
      <w:sz w:val="18"/>
      <w:szCs w:val="18"/>
    </w:rPr>
  </w:style>
  <w:style w:type="character" w:customStyle="1" w:styleId="af">
    <w:name w:val="Текст у виносці Знак"/>
    <w:link w:val="ae"/>
    <w:uiPriority w:val="99"/>
    <w:semiHidden/>
    <w:rsid w:val="00743CFE"/>
    <w:rPr>
      <w:rFonts w:ascii="Segoe UI" w:eastAsia="Times New Roman" w:hAnsi="Segoe UI" w:cs="Segoe UI"/>
      <w:sz w:val="18"/>
      <w:szCs w:val="18"/>
      <w:lang w:eastAsia="ru-RU"/>
    </w:rPr>
  </w:style>
  <w:style w:type="character" w:customStyle="1" w:styleId="rvts11">
    <w:name w:val="rvts11"/>
    <w:rsid w:val="004368A6"/>
  </w:style>
  <w:style w:type="paragraph" w:customStyle="1" w:styleId="af0">
    <w:name w:val="Îáû÷íûé"/>
    <w:rsid w:val="004368A6"/>
    <w:pPr>
      <w:widowControl w:val="0"/>
    </w:pPr>
    <w:rPr>
      <w:rFonts w:eastAsia="Times New Roman"/>
      <w:lang w:val="ru-RU" w:eastAsia="ru-RU"/>
    </w:rPr>
  </w:style>
  <w:style w:type="paragraph" w:customStyle="1" w:styleId="af1">
    <w:name w:val="Ігор"/>
    <w:basedOn w:val="a"/>
    <w:link w:val="af2"/>
    <w:rsid w:val="004368A6"/>
    <w:pPr>
      <w:autoSpaceDE w:val="0"/>
      <w:autoSpaceDN w:val="0"/>
      <w:spacing w:before="120"/>
      <w:ind w:firstLine="567"/>
      <w:jc w:val="both"/>
    </w:pPr>
    <w:rPr>
      <w:szCs w:val="26"/>
      <w:lang w:val="ru-RU"/>
    </w:rPr>
  </w:style>
  <w:style w:type="character" w:customStyle="1" w:styleId="af2">
    <w:name w:val="Ігор Знак"/>
    <w:link w:val="af1"/>
    <w:rsid w:val="004368A6"/>
    <w:rPr>
      <w:rFonts w:eastAsia="Times New Roman"/>
      <w:szCs w:val="26"/>
      <w:lang w:val="ru-RU" w:eastAsia="ru-RU"/>
    </w:rPr>
  </w:style>
  <w:style w:type="character" w:styleId="af3">
    <w:name w:val="Emphasis"/>
    <w:uiPriority w:val="20"/>
    <w:qFormat/>
    <w:rsid w:val="000742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684106">
      <w:bodyDiv w:val="1"/>
      <w:marLeft w:val="0"/>
      <w:marRight w:val="0"/>
      <w:marTop w:val="0"/>
      <w:marBottom w:val="0"/>
      <w:divBdr>
        <w:top w:val="none" w:sz="0" w:space="0" w:color="auto"/>
        <w:left w:val="none" w:sz="0" w:space="0" w:color="auto"/>
        <w:bottom w:val="none" w:sz="0" w:space="0" w:color="auto"/>
        <w:right w:val="none" w:sz="0" w:space="0" w:color="auto"/>
      </w:divBdr>
    </w:div>
    <w:div w:id="191354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D6FC7-3EEA-4F58-9535-4F6063F70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6631</Words>
  <Characters>3780</Characters>
  <Application>Microsoft Office Word</Application>
  <DocSecurity>0</DocSecurity>
  <Lines>31</Lines>
  <Paragraphs>20</Paragraphs>
  <ScaleCrop>false</ScaleCrop>
  <HeadingPairs>
    <vt:vector size="6" baseType="variant">
      <vt:variant>
        <vt:lpstr>Title</vt:lpstr>
      </vt:variant>
      <vt:variant>
        <vt:i4>1</vt:i4>
      </vt:variant>
      <vt:variant>
        <vt:lpstr>Название</vt:lpstr>
      </vt:variant>
      <vt:variant>
        <vt:i4>1</vt:i4>
      </vt:variant>
      <vt:variant>
        <vt:lpstr>Назва</vt:lpstr>
      </vt:variant>
      <vt:variant>
        <vt:i4>1</vt:i4>
      </vt:variant>
    </vt:vector>
  </HeadingPairs>
  <TitlesOfParts>
    <vt:vector size="3" baseType="lpstr">
      <vt:lpstr/>
      <vt:lpstr/>
      <vt:lpstr/>
    </vt:vector>
  </TitlesOfParts>
  <LinksUpToDate>false</LinksUpToDate>
  <CharactersWithSpaces>10391</CharactersWithSpaces>
  <SharedDoc>false</SharedDoc>
  <HLinks>
    <vt:vector size="6" baseType="variant">
      <vt:variant>
        <vt:i4>7274620</vt:i4>
      </vt:variant>
      <vt:variant>
        <vt:i4>0</vt:i4>
      </vt:variant>
      <vt:variant>
        <vt:i4>0</vt:i4>
      </vt:variant>
      <vt:variant>
        <vt:i4>5</vt:i4>
      </vt:variant>
      <vt:variant>
        <vt:lpwstr>http://zakon4.rada.gov.ua/laws/show/719-18/paran135</vt:lpwstr>
      </vt:variant>
      <vt:variant>
        <vt:lpwstr>n135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2021-02-23T07:39:00Z</dcterms:created>
  <dcterms:modified xsi:type="dcterms:W3CDTF">2021-02-23T07:39:00Z</dcterms:modified>
</cp:coreProperties>
</file>