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303" w:rsidRPr="00373303" w:rsidRDefault="00373303" w:rsidP="003733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73303" w:rsidRPr="00373303" w:rsidTr="00C8268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73303" w:rsidRPr="00373303" w:rsidRDefault="00373303" w:rsidP="0037330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373303" w:rsidRPr="00373303" w:rsidRDefault="00373303" w:rsidP="0037330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373303" w:rsidRPr="00373303" w:rsidRDefault="00373303" w:rsidP="0037330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373303" w:rsidRPr="00373303" w:rsidRDefault="00373303" w:rsidP="00373303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373303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0D51FA59" wp14:editId="1CFDDD3C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73303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73303" w:rsidRPr="00373303" w:rsidRDefault="00373303" w:rsidP="00373303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373303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інтеграції України до Європейського Союзу</w:t>
            </w:r>
          </w:p>
          <w:p w:rsidR="00373303" w:rsidRPr="00373303" w:rsidRDefault="00373303" w:rsidP="00373303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37330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37330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37330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факс: 255-33-13, e-</w:t>
            </w:r>
            <w:proofErr w:type="spellStart"/>
            <w:r w:rsidRPr="0037330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 w:rsidRPr="0037330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: comeuroint@v.rada.gov.ua</w:t>
            </w:r>
          </w:p>
        </w:tc>
      </w:tr>
    </w:tbl>
    <w:p w:rsidR="00373303" w:rsidRDefault="00373303" w:rsidP="00E223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373" w:rsidRPr="00C23A8E" w:rsidRDefault="00E22373" w:rsidP="00E223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E22373" w:rsidRPr="00C23A8E" w:rsidRDefault="00E22373" w:rsidP="00E223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E22373" w:rsidRDefault="00E22373" w:rsidP="00E223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r w:rsidRPr="00E22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внесення змін до деяких законодавчих актів України щодо вдосконалення регулювання відносин </w:t>
      </w:r>
    </w:p>
    <w:p w:rsidR="00E22373" w:rsidRPr="00C23A8E" w:rsidRDefault="00E22373" w:rsidP="00E223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сфері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забезпечення безпеки дорожнього </w:t>
      </w:r>
      <w:r w:rsidRPr="00E2237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руху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22373" w:rsidRPr="00C23A8E" w:rsidRDefault="00E22373" w:rsidP="00E223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</w:t>
      </w:r>
      <w:r w:rsidRPr="00E22373">
        <w:rPr>
          <w:rFonts w:ascii="Times New Roman" w:eastAsia="Times New Roman" w:hAnsi="Times New Roman" w:cs="Times New Roman"/>
          <w:sz w:val="28"/>
          <w:szCs w:val="28"/>
          <w:lang w:eastAsia="ru-RU"/>
        </w:rPr>
        <w:t>4348-1 від 18.11.2020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І. Василів та ін.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73303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E22373" w:rsidRPr="0070477A" w:rsidRDefault="00E22373" w:rsidP="00E223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303" w:rsidRPr="00373303" w:rsidRDefault="00373303" w:rsidP="0037330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Загальна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характеристика законопроекту.</w:t>
      </w:r>
    </w:p>
    <w:p w:rsidR="00373303" w:rsidRPr="00373303" w:rsidRDefault="00373303" w:rsidP="003733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3303" w:rsidRPr="00373303" w:rsidRDefault="00373303" w:rsidP="00373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Метою законопроекту є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врегулювання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проблем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межами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населених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пунктів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смузі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відведення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державного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значення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правових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передумов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утвердження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прозорих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суспільних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відносин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зазначеній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сприятливих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умов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ведення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господарської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діяльності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збалансування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інтересів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суб’єктів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господарювання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громадян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інформацією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ініціаторів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законопроекту,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офіційних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обласних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адміністрацій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період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2012 року по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теперішній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 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деяких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областях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видано 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середньому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150-200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вздовж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межами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населених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пунктів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деякі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взагалі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8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видали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жодного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цифри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реаліям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так як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вздовж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численні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засоби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проходження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процедури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отримання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без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Укравтодору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органу,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уповноваженого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здійснювати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управління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автомобільними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дорогами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державного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значення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управління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самовільне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відбувається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«ручному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режимі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корупційною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складовою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без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дослідження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предмет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вимогам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заборонам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чинним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Незаконні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закривають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знаки,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знаходяться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над дорогою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нижче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передбачено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законодавчими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нормами,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розміщуються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порушенням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відстаней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розмітки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перехресть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можуть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створювати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небезпеку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водіїв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транспортних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засобів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Законопроектом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передбачається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рекламу», «Про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дороги» та «Про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джерела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дорожнього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господарства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».</w:t>
      </w:r>
    </w:p>
    <w:p w:rsidR="00373303" w:rsidRPr="00373303" w:rsidRDefault="00373303" w:rsidP="00373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3303" w:rsidRPr="00373303" w:rsidRDefault="00373303" w:rsidP="00373303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Належність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законопроекту за предметом правового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регулювання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сфери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дії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законодавства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ЄС,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зобов’язань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України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в рамках </w:t>
      </w:r>
      <w:proofErr w:type="gram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Ради</w:t>
      </w:r>
      <w:proofErr w:type="gram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Європи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, норм та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принципів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системи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ГАТТ/СОТ.</w:t>
      </w:r>
    </w:p>
    <w:p w:rsidR="00373303" w:rsidRPr="00373303" w:rsidRDefault="00373303" w:rsidP="00373303">
      <w:pPr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Проект акта за предметом правового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регулювання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охоплюється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зобов'язаннями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інтеграції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зокрема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положеннями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368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Глави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7 «Транспорт»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V «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Економічне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галузеве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співробітництво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Угоди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асоціацію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Україною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однієї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сторони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Союзом,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Співтовариством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атомної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енергії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їхніми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державами-членами,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сторони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далі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Угода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асоціацію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згідно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співробітництво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Україною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ЄС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спрямовується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покращення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пасажирів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вантажів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зростання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плинності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транспортних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потоків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Україною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ЄС і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третіми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країнами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регіону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рахунок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усунення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адміністративних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технічних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прикордонних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перешкод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підвищення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3303" w:rsidRPr="00373303" w:rsidRDefault="00373303" w:rsidP="00373303">
      <w:pPr>
        <w:numPr>
          <w:ilvl w:val="0"/>
          <w:numId w:val="2"/>
        </w:num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Відповідність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законопроекту праву ЄС,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зобов’язанням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України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в рамках </w:t>
      </w:r>
      <w:proofErr w:type="gram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Ради</w:t>
      </w:r>
      <w:proofErr w:type="gram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Європи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, нормам та принципам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системи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ГАТТ/СОТ.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Варто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ЄС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правовідносини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заснування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ведення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підприємницької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діяльності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зокрема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регулюються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Директивою № 2006/123/ЄС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Парламенту та </w:t>
      </w:r>
      <w:proofErr w:type="gram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Ради</w:t>
      </w:r>
      <w:proofErr w:type="gram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12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грудня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2006 року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послуги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внутрішньому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ринку (пункт 33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Преамбули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далі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Директива №2006/123/ЄС).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Проект Закону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врегулювання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видачі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межах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смуги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відведення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proofErr w:type="gram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метою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суперечить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частинам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1-3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глави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6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IV Угоди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асоціацію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принципам,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закладеним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статтях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6 (принцип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єдиного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вікна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), 8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процедури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застосуванням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електронних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засобів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13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процедури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видачі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Директиви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№ 2006/123/ЄС. 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Однак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проекті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врегульоване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ситуації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коли заявку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одному і тому ж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кандидатів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одночасно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повній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мірі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принципу</w:t>
      </w:r>
      <w:proofErr w:type="gram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правової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враховує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12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Директиви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№2006/123/ЄС, яка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передбачає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проведення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відбору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потенційних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кандидатів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Придорожня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реклама та,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зокрема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цифрові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білборди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дедалі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поширеними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можуть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бути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важливим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джерелом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доходу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дорожніх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Однак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придорожня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реклама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представляти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ризик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через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відволікання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проїжджаючих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автомобілістів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оскільки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лише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короткий момент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неуважності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дорожньому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русі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серйозні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наслідки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науково-дослідницьких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інституціях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ЄС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відшукати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напрацювання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неоднозначності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висновків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пов’язаних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питаннями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те,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призводять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нещасних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випадків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footnoteReference w:id="2"/>
      </w: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виявлено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лише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п’ять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досліджень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спеціально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зосереджувались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впливі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білбордів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аварії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два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науково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надійними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дослідження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виявило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збільшення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аварій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footnoteReference w:id="3"/>
      </w: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footnoteReference w:id="4"/>
      </w: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Обидва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дослідження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розглядали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статичні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цифрові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білборди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важко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науково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надійно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оцінити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вплив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білбордів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аварії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Аварії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рідкісні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потрібен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довготривалий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період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спостереження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перш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буде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достатньо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надійного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статистичного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аналізу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Протягом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тривалого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періоду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бути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впливають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кількість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аварій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наприклад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обсягу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швидкості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надійна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конструкція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досліджень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включаючи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декілька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локацій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ряд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застосування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методів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аналізу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виключити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можливість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того,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фактори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відігравали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роль у будь-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змінах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аварій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помічених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період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Водночас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непереконливий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характер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доказової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впливу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білбордів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аварійність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сприймати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як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ознаку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державах-членах ЄС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правило,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передбачає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структуру, яка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визначає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межі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юрисдикції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тобто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 яку</w:t>
      </w:r>
      <w:proofErr w:type="gram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землю),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хто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обробку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управління видами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дороги, як правило,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визначає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конкретні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обов'язки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агентств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дорожнього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наприклад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дотримання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правил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дорожнього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).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деяких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випадках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дозволяє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автотранспортному агентству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прибирати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знаки,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вимогам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Зазвичай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регіональні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дозвіл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межами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проїзду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транспортних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коридорів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але вони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зобов’язані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проконсультуватися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агенцією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дорожнього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переконатися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запропонований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знак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загрожує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безпеці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консультації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різняться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Наприклад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відстані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коливається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фіксованої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відстані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шосе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будь-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відстані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знак видно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шосе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випадків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розсуд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знак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потенційною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загрозою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дорожнього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перед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проконсультуватися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агенцією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шосе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словами,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консультування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агенцією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автомобільних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необов’язковим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думку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представників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агентств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вважають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слабким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опрацьовувати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кількість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заявок 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розгляду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межах,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підлягають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контролю,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деякі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агенції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шосейних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розглядають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лише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певні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типи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заявок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отримання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наприклад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анімовані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електронні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знаки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певній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відстані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дороги,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підтримується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державою).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Хоча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дорожні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агенції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правило,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наділені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правом вето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тобто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остаточне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схвалити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відхилити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пропозицію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приймається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місцевому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часто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дослуховуються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їхніх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рекомендацій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цілей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регулятивного контролю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вивіски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можуть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бути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вилучені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компенсації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дозвіл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трактується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як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привілей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не як право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).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деяких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але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державах-членах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існує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механізм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відшкодування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власникам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білбордів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фактичних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витрат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вивезення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невідповідність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вимогам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власників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автошляхах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карається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штрафами</w:t>
      </w:r>
      <w:r w:rsidRPr="00373303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footnoteReference w:id="5"/>
      </w: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Згідно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пунктом 1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168 Договору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функціонування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Союзу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заходів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Союзу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високий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рівень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захисту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здоров’я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людини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Діяльність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Союзу,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доповнює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національні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спрямована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поліпшення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охорони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громадського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здоров’я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запобігання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фізичним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психічним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розладам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захворюванням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усунення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джерел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фізичному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психічному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здоров’ю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Також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VII.4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VII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Додатку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ІІ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угоди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автомагістралі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 листопада 1975 року (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Україна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приєдналась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цієї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Угоди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постанови Ради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Міністрів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УРСР № 537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9 листопада 1982 року “Про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приєднання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Української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РСР до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угоди про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автомагістралі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 листопада 1975 року”) з метою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з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естетичних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міркувань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узбіччях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доріг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забороняється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щитів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Перелік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автомагістралей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наводиться у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Додатку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до Угоди.</w:t>
      </w:r>
    </w:p>
    <w:p w:rsidR="00896702" w:rsidRPr="00896702" w:rsidRDefault="00896702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Крім того, на засіданні Робочої групи по безпеці дорожнього руху Економічної і Соціальної Ради Організації об’єднаних націй, що відбулось 19-22 жовтня 2007 року прийнято «Правила, обумовлені типом дороги» де вказано у пункті i) Автомагістралі і швидкісні дороги – «за межами населених пунктів розміщення </w:t>
      </w:r>
      <w:proofErr w:type="spellStart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рекламоносіїв</w:t>
      </w:r>
      <w:proofErr w:type="spellEnd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рекламних вивісок повинно бути заборонено з обох сторін автомагістралі або швидкісної дороги на відстані менше [200] метрів від краю проїзної частини». Підпунктом А) пункту 15.2.2.3 «Розміщення </w:t>
      </w:r>
      <w:proofErr w:type="spellStart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рекламоносіїв</w:t>
      </w:r>
      <w:proofErr w:type="spellEnd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перегляду зведеної резолюції про дорожній рух (СР.1), прийнятій на засіданні Робочої групи по безпеці дорожнього руху Комітету по внутрішньому транспорту Економічної і Соціальної Ради Організації об’єднаних націй, що відбулось 22 серпня 2006 року зазначено, що «розміщення </w:t>
      </w:r>
      <w:proofErr w:type="spellStart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рекламоносіїв</w:t>
      </w:r>
      <w:proofErr w:type="spellEnd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смузі відведення доріг загального користування повинно бути заборонено». У підпункті </w:t>
      </w:r>
      <w:proofErr w:type="spellStart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>іі</w:t>
      </w:r>
      <w:proofErr w:type="spellEnd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b) пункту 15.3.2.3 «Розміщення </w:t>
      </w:r>
      <w:proofErr w:type="spellStart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рекламоносіїв</w:t>
      </w:r>
      <w:proofErr w:type="spellEnd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зведеної резолюції про дорожній рух, прийнятій на засіданні Робочої групи по безпеці дорожнього руху Комітету по внутрішньому транспорту Економічної і Соціальної Ради Організації об’єднаних націй, що відбулось 14 серпня 2009 року зазначено, що за «межами міської смуги </w:t>
      </w:r>
      <w:proofErr w:type="spellStart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разміщення</w:t>
      </w:r>
      <w:proofErr w:type="spellEnd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рекламоносіїв</w:t>
      </w:r>
      <w:proofErr w:type="spellEnd"/>
      <w:r w:rsidRPr="0089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рекламних вивісок слід забороняти з обох сторін дороги на мінімальній відстані від краю проїзної частини, яку необхідно визначати в національному законодавстві».</w:t>
      </w:r>
      <w:bookmarkStart w:id="0" w:name="_GoBack"/>
      <w:bookmarkEnd w:id="0"/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Однак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проект Закону не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враховує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зазначене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в</w:t>
      </w:r>
      <w:proofErr w:type="gram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рамках заборони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зовнішньої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реклами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міжнародних</w:t>
      </w:r>
      <w:proofErr w:type="spellEnd"/>
      <w:r w:rsidRPr="003733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дорогах.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3303" w:rsidRPr="00373303" w:rsidRDefault="00373303" w:rsidP="00373303">
      <w:pPr>
        <w:numPr>
          <w:ilvl w:val="0"/>
          <w:numId w:val="3"/>
        </w:num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Висновок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Комітету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з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питань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інтеграції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України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до </w:t>
      </w:r>
      <w:proofErr w:type="spellStart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Європейського</w:t>
      </w:r>
      <w:proofErr w:type="spellEnd"/>
      <w:r w:rsidRPr="0037330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Союзу.</w:t>
      </w:r>
    </w:p>
    <w:p w:rsidR="00373303" w:rsidRPr="00373303" w:rsidRDefault="00373303" w:rsidP="00373303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ab/>
      </w:r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ab/>
        <w:t xml:space="preserve">Таким чином, проект Закону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потребує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val="ru-RU" w:eastAsia="ar-SA"/>
        </w:rPr>
        <w:t>суттєвого</w:t>
      </w:r>
      <w:proofErr w:type="spellEnd"/>
      <w:r w:rsidRPr="00373303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val="ru-RU" w:eastAsia="ar-SA"/>
        </w:rPr>
        <w:t>доопрацювання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із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врахуванням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вимог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Європейської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угоди про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міжнародні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автомагістралі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, а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також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положення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статті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12 </w:t>
      </w:r>
      <w:proofErr w:type="spellStart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>Директиви</w:t>
      </w:r>
      <w:proofErr w:type="spellEnd"/>
      <w:r w:rsidRPr="00373303">
        <w:rPr>
          <w:rFonts w:ascii="Times New Roman" w:eastAsia="Calibri" w:hAnsi="Times New Roman" w:cs="Times New Roman"/>
          <w:kern w:val="1"/>
          <w:sz w:val="28"/>
          <w:szCs w:val="28"/>
          <w:lang w:val="ru-RU" w:eastAsia="ar-SA"/>
        </w:rPr>
        <w:t xml:space="preserve"> №2006/123/ЄС.  </w:t>
      </w:r>
    </w:p>
    <w:p w:rsidR="00527D5E" w:rsidRPr="00373303" w:rsidRDefault="00527D5E">
      <w:pPr>
        <w:rPr>
          <w:lang w:val="ru-RU"/>
        </w:rPr>
      </w:pPr>
    </w:p>
    <w:sectPr w:rsidR="00527D5E" w:rsidRPr="00373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745" w:rsidRDefault="00536745" w:rsidP="00E22373">
      <w:pPr>
        <w:spacing w:after="0" w:line="240" w:lineRule="auto"/>
      </w:pPr>
      <w:r>
        <w:separator/>
      </w:r>
    </w:p>
  </w:endnote>
  <w:endnote w:type="continuationSeparator" w:id="0">
    <w:p w:rsidR="00536745" w:rsidRDefault="00536745" w:rsidP="00E22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745" w:rsidRDefault="00536745" w:rsidP="00E22373">
      <w:pPr>
        <w:spacing w:after="0" w:line="240" w:lineRule="auto"/>
      </w:pPr>
      <w:r>
        <w:separator/>
      </w:r>
    </w:p>
  </w:footnote>
  <w:footnote w:type="continuationSeparator" w:id="0">
    <w:p w:rsidR="00536745" w:rsidRDefault="00536745" w:rsidP="00E22373">
      <w:pPr>
        <w:spacing w:after="0" w:line="240" w:lineRule="auto"/>
      </w:pPr>
      <w:r>
        <w:continuationSeparator/>
      </w:r>
    </w:p>
  </w:footnote>
  <w:footnote w:id="1">
    <w:p w:rsidR="00373303" w:rsidRDefault="00373303">
      <w:pPr>
        <w:pStyle w:val="a3"/>
      </w:pPr>
      <w:r>
        <w:rPr>
          <w:rStyle w:val="a5"/>
        </w:rPr>
        <w:footnoteRef/>
      </w:r>
      <w:r>
        <w:t xml:space="preserve"> </w:t>
      </w:r>
      <w:r w:rsidRPr="006F7B7B">
        <w:rPr>
          <w:rFonts w:ascii="Times New Roman" w:hAnsi="Times New Roman"/>
          <w:sz w:val="24"/>
          <w:szCs w:val="24"/>
        </w:rPr>
        <w:t>К</w:t>
      </w:r>
      <w:r w:rsidRPr="006F7B7B">
        <w:rPr>
          <w:rFonts w:ascii="Times New Roman" w:eastAsia="MS Mincho" w:hAnsi="Times New Roman"/>
          <w:sz w:val="24"/>
          <w:szCs w:val="24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</w:rPr>
        <w:t>засіданні 31 березня 2021 року (протокол № 78)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Pr="001660AE">
        <w:rPr>
          <w:rFonts w:ascii="Times New Roman" w:eastAsia="MS Mincho" w:hAnsi="Times New Roman"/>
          <w:sz w:val="24"/>
          <w:szCs w:val="24"/>
        </w:rPr>
        <w:t>в</w:t>
      </w:r>
      <w:r w:rsidRPr="001660AE">
        <w:rPr>
          <w:rFonts w:ascii="Times New Roman" w:hAnsi="Times New Roman"/>
          <w:sz w:val="24"/>
          <w:szCs w:val="24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</w:rPr>
        <w:t>.</w:t>
      </w:r>
    </w:p>
  </w:footnote>
  <w:footnote w:id="2">
    <w:p w:rsidR="00373303" w:rsidRPr="005507DD" w:rsidRDefault="00373303" w:rsidP="00373303">
      <w:pPr>
        <w:pStyle w:val="a3"/>
        <w:rPr>
          <w:rFonts w:ascii="Times New Roman" w:hAnsi="Times New Roman"/>
          <w:lang w:val="en-US"/>
        </w:rPr>
      </w:pPr>
      <w:r w:rsidRPr="005507DD">
        <w:rPr>
          <w:rStyle w:val="a5"/>
          <w:rFonts w:ascii="Times New Roman" w:hAnsi="Times New Roman"/>
        </w:rPr>
        <w:footnoteRef/>
      </w:r>
      <w:r w:rsidRPr="005507DD">
        <w:rPr>
          <w:rFonts w:ascii="Times New Roman" w:hAnsi="Times New Roman"/>
          <w:lang w:val="en-US"/>
        </w:rPr>
        <w:t xml:space="preserve"> CEDR Transnational Road Research </w:t>
      </w:r>
      <w:proofErr w:type="spellStart"/>
      <w:r w:rsidRPr="005507DD">
        <w:rPr>
          <w:rFonts w:ascii="Times New Roman" w:hAnsi="Times New Roman"/>
          <w:lang w:val="en-US"/>
        </w:rPr>
        <w:t>Programme</w:t>
      </w:r>
      <w:proofErr w:type="spellEnd"/>
      <w:r w:rsidRPr="005507DD">
        <w:rPr>
          <w:rFonts w:ascii="Times New Roman" w:hAnsi="Times New Roman"/>
          <w:lang w:val="en-US"/>
        </w:rPr>
        <w:t xml:space="preserve"> 2016 Safety Funded by Belgium-Flanders, Ireland, Netherlands, Slovenia, Sweden, United Kingdom</w:t>
      </w:r>
    </w:p>
  </w:footnote>
  <w:footnote w:id="3">
    <w:p w:rsidR="00373303" w:rsidRPr="005507DD" w:rsidRDefault="00373303" w:rsidP="00373303">
      <w:pPr>
        <w:pStyle w:val="a3"/>
        <w:rPr>
          <w:rFonts w:ascii="Times New Roman" w:hAnsi="Times New Roman"/>
          <w:lang w:val="en-US"/>
        </w:rPr>
      </w:pPr>
      <w:r w:rsidRPr="005507DD">
        <w:rPr>
          <w:rStyle w:val="a5"/>
          <w:rFonts w:ascii="Times New Roman" w:hAnsi="Times New Roman"/>
        </w:rPr>
        <w:footnoteRef/>
      </w:r>
      <w:r w:rsidRPr="00A36CD4">
        <w:rPr>
          <w:rFonts w:ascii="Times New Roman" w:hAnsi="Times New Roman"/>
          <w:lang w:val="de-DE"/>
        </w:rPr>
        <w:t xml:space="preserve"> </w:t>
      </w:r>
      <w:proofErr w:type="spellStart"/>
      <w:r w:rsidRPr="00A36CD4">
        <w:rPr>
          <w:rFonts w:ascii="Times New Roman" w:hAnsi="Times New Roman"/>
          <w:lang w:val="de-DE"/>
        </w:rPr>
        <w:t>Gitelman</w:t>
      </w:r>
      <w:proofErr w:type="spellEnd"/>
      <w:r w:rsidRPr="00A36CD4">
        <w:rPr>
          <w:rFonts w:ascii="Times New Roman" w:hAnsi="Times New Roman"/>
          <w:lang w:val="de-DE"/>
        </w:rPr>
        <w:t xml:space="preserve">, v., </w:t>
      </w:r>
      <w:proofErr w:type="spellStart"/>
      <w:r w:rsidRPr="00A36CD4">
        <w:rPr>
          <w:rFonts w:ascii="Times New Roman" w:hAnsi="Times New Roman"/>
          <w:lang w:val="de-DE"/>
        </w:rPr>
        <w:t>Zaidel</w:t>
      </w:r>
      <w:proofErr w:type="spellEnd"/>
      <w:r w:rsidRPr="00A36CD4">
        <w:rPr>
          <w:rFonts w:ascii="Times New Roman" w:hAnsi="Times New Roman"/>
          <w:lang w:val="de-DE"/>
        </w:rPr>
        <w:t xml:space="preserve">, D. &amp; </w:t>
      </w:r>
      <w:proofErr w:type="spellStart"/>
      <w:r w:rsidRPr="00A36CD4">
        <w:rPr>
          <w:rFonts w:ascii="Times New Roman" w:hAnsi="Times New Roman"/>
          <w:lang w:val="de-DE"/>
        </w:rPr>
        <w:t>Doveh</w:t>
      </w:r>
      <w:proofErr w:type="spellEnd"/>
      <w:r w:rsidRPr="00A36CD4">
        <w:rPr>
          <w:rFonts w:ascii="Times New Roman" w:hAnsi="Times New Roman"/>
          <w:lang w:val="de-DE"/>
        </w:rPr>
        <w:t xml:space="preserve">, E. (2012, 29-31 </w:t>
      </w:r>
      <w:proofErr w:type="gramStart"/>
      <w:r w:rsidRPr="00A36CD4">
        <w:rPr>
          <w:rFonts w:ascii="Times New Roman" w:hAnsi="Times New Roman"/>
          <w:lang w:val="de-DE"/>
        </w:rPr>
        <w:t>August )</w:t>
      </w:r>
      <w:proofErr w:type="gramEnd"/>
      <w:r w:rsidRPr="00A36CD4">
        <w:rPr>
          <w:rFonts w:ascii="Times New Roman" w:hAnsi="Times New Roman"/>
          <w:lang w:val="de-DE"/>
        </w:rPr>
        <w:t xml:space="preserve">. </w:t>
      </w:r>
      <w:r w:rsidRPr="005507DD">
        <w:rPr>
          <w:rFonts w:ascii="Times New Roman" w:hAnsi="Times New Roman"/>
          <w:lang w:val="en-US"/>
        </w:rPr>
        <w:t>Influence of billboards on driving behavior and road</w:t>
      </w:r>
    </w:p>
    <w:p w:rsidR="00373303" w:rsidRPr="005507DD" w:rsidRDefault="00373303" w:rsidP="00373303">
      <w:pPr>
        <w:pStyle w:val="a3"/>
        <w:rPr>
          <w:rFonts w:ascii="Times New Roman" w:hAnsi="Times New Roman"/>
          <w:lang w:val="en-US"/>
        </w:rPr>
      </w:pPr>
      <w:proofErr w:type="gramStart"/>
      <w:r w:rsidRPr="005507DD">
        <w:rPr>
          <w:rFonts w:ascii="Times New Roman" w:hAnsi="Times New Roman"/>
          <w:lang w:val="en-US"/>
        </w:rPr>
        <w:t>safety</w:t>
      </w:r>
      <w:proofErr w:type="gramEnd"/>
      <w:r w:rsidRPr="005507DD">
        <w:rPr>
          <w:rFonts w:ascii="Times New Roman" w:hAnsi="Times New Roman"/>
          <w:lang w:val="en-US"/>
        </w:rPr>
        <w:t>. Paper presented at the 18th International Conference on Traffic and Transport Psychology ICTTP,</w:t>
      </w:r>
    </w:p>
    <w:p w:rsidR="00373303" w:rsidRPr="005507DD" w:rsidRDefault="00373303" w:rsidP="00373303">
      <w:pPr>
        <w:pStyle w:val="a3"/>
        <w:rPr>
          <w:rFonts w:ascii="Times New Roman" w:hAnsi="Times New Roman"/>
          <w:lang w:val="en-US"/>
        </w:rPr>
      </w:pPr>
      <w:r w:rsidRPr="005507DD">
        <w:rPr>
          <w:rFonts w:ascii="Times New Roman" w:hAnsi="Times New Roman"/>
          <w:lang w:val="en-US"/>
        </w:rPr>
        <w:t xml:space="preserve">Groningen, </w:t>
      </w:r>
      <w:proofErr w:type="gramStart"/>
      <w:r w:rsidRPr="005507DD">
        <w:rPr>
          <w:rFonts w:ascii="Times New Roman" w:hAnsi="Times New Roman"/>
          <w:lang w:val="en-US"/>
        </w:rPr>
        <w:t>The</w:t>
      </w:r>
      <w:proofErr w:type="gramEnd"/>
      <w:r w:rsidRPr="005507DD">
        <w:rPr>
          <w:rFonts w:ascii="Times New Roman" w:hAnsi="Times New Roman"/>
          <w:lang w:val="en-US"/>
        </w:rPr>
        <w:t xml:space="preserve"> Netherlands.</w:t>
      </w:r>
    </w:p>
  </w:footnote>
  <w:footnote w:id="4">
    <w:p w:rsidR="00373303" w:rsidRPr="00BF6175" w:rsidRDefault="00373303" w:rsidP="00373303">
      <w:pPr>
        <w:pStyle w:val="a3"/>
        <w:rPr>
          <w:lang w:val="en-US"/>
        </w:rPr>
      </w:pPr>
      <w:r w:rsidRPr="005507DD">
        <w:rPr>
          <w:rStyle w:val="a5"/>
          <w:rFonts w:ascii="Times New Roman" w:hAnsi="Times New Roman"/>
        </w:rPr>
        <w:footnoteRef/>
      </w:r>
      <w:r w:rsidRPr="005507DD">
        <w:rPr>
          <w:rFonts w:ascii="Times New Roman" w:hAnsi="Times New Roman"/>
          <w:lang w:val="en-US"/>
        </w:rPr>
        <w:t xml:space="preserve"> </w:t>
      </w:r>
      <w:proofErr w:type="spellStart"/>
      <w:r w:rsidRPr="005507DD">
        <w:rPr>
          <w:rFonts w:ascii="Times New Roman" w:hAnsi="Times New Roman"/>
          <w:lang w:val="en-US"/>
        </w:rPr>
        <w:t>Izadpanah</w:t>
      </w:r>
      <w:proofErr w:type="spellEnd"/>
      <w:r w:rsidRPr="005507DD">
        <w:rPr>
          <w:rFonts w:ascii="Times New Roman" w:hAnsi="Times New Roman"/>
          <w:lang w:val="en-US"/>
        </w:rPr>
        <w:t xml:space="preserve">, P., </w:t>
      </w:r>
      <w:proofErr w:type="spellStart"/>
      <w:r w:rsidRPr="005507DD">
        <w:rPr>
          <w:rFonts w:ascii="Times New Roman" w:hAnsi="Times New Roman"/>
          <w:lang w:val="en-US"/>
        </w:rPr>
        <w:t>Omrani</w:t>
      </w:r>
      <w:proofErr w:type="spellEnd"/>
      <w:r w:rsidRPr="005507DD">
        <w:rPr>
          <w:rFonts w:ascii="Times New Roman" w:hAnsi="Times New Roman"/>
          <w:lang w:val="en-US"/>
        </w:rPr>
        <w:t xml:space="preserve">, R., Koo, S. &amp; </w:t>
      </w:r>
      <w:proofErr w:type="spellStart"/>
      <w:r w:rsidRPr="005507DD">
        <w:rPr>
          <w:rFonts w:ascii="Times New Roman" w:hAnsi="Times New Roman"/>
          <w:lang w:val="en-US"/>
        </w:rPr>
        <w:t>Hadayeghi</w:t>
      </w:r>
      <w:proofErr w:type="spellEnd"/>
      <w:r w:rsidRPr="005507DD">
        <w:rPr>
          <w:rFonts w:ascii="Times New Roman" w:hAnsi="Times New Roman"/>
          <w:lang w:val="en-US"/>
        </w:rPr>
        <w:t xml:space="preserve">, A. (2014). Effect of Static Electronic Advertising Signs on Road Safety: An Experimental Case Study. Journal of </w:t>
      </w:r>
      <w:proofErr w:type="spellStart"/>
      <w:r w:rsidRPr="005507DD">
        <w:rPr>
          <w:rFonts w:ascii="Times New Roman" w:hAnsi="Times New Roman"/>
          <w:lang w:val="en-US"/>
        </w:rPr>
        <w:t>Orthopaedic</w:t>
      </w:r>
      <w:proofErr w:type="spellEnd"/>
      <w:r w:rsidRPr="005507DD">
        <w:rPr>
          <w:rFonts w:ascii="Times New Roman" w:hAnsi="Times New Roman"/>
          <w:lang w:val="en-US"/>
        </w:rPr>
        <w:t xml:space="preserve"> Trauma, 28 (Supplement 1), S33-S36.</w:t>
      </w:r>
    </w:p>
  </w:footnote>
  <w:footnote w:id="5">
    <w:p w:rsidR="00373303" w:rsidRPr="00BF6175" w:rsidRDefault="00373303" w:rsidP="00373303">
      <w:pPr>
        <w:pStyle w:val="a3"/>
        <w:rPr>
          <w:lang w:val="en-US"/>
        </w:rPr>
      </w:pPr>
      <w:r>
        <w:rPr>
          <w:rStyle w:val="a5"/>
        </w:rPr>
        <w:footnoteRef/>
      </w:r>
      <w:r w:rsidRPr="00BF6175">
        <w:rPr>
          <w:lang w:val="en-US"/>
        </w:rPr>
        <w:t xml:space="preserve"> https://international.fhwa.dot.gov/mwg-internal/de5fs23hu73ds/progress?id=hfe5pxDWAi04ozAS50xExFv8pK13uBHT4auP7CXZR2U,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FEB"/>
    <w:multiLevelType w:val="hybridMultilevel"/>
    <w:tmpl w:val="BAFCE092"/>
    <w:lvl w:ilvl="0" w:tplc="F042CC0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AD2B18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E2C"/>
    <w:rsid w:val="00373303"/>
    <w:rsid w:val="00527D5E"/>
    <w:rsid w:val="00536745"/>
    <w:rsid w:val="00634E91"/>
    <w:rsid w:val="00737067"/>
    <w:rsid w:val="00752E2C"/>
    <w:rsid w:val="007C0F6E"/>
    <w:rsid w:val="007F066A"/>
    <w:rsid w:val="00896702"/>
    <w:rsid w:val="00C7736E"/>
    <w:rsid w:val="00E2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6EC9"/>
  <w15:chartTrackingRefBased/>
  <w15:docId w15:val="{880C60F5-3943-4624-977E-8D2C6623D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37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22373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E22373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E223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479D1-9A9B-4D79-902E-D9B280F31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7010</Words>
  <Characters>3997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4</cp:revision>
  <dcterms:created xsi:type="dcterms:W3CDTF">2021-07-09T14:46:00Z</dcterms:created>
  <dcterms:modified xsi:type="dcterms:W3CDTF">2021-07-21T15:00:00Z</dcterms:modified>
</cp:coreProperties>
</file>