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28D7D" w14:textId="77777777" w:rsidR="005C6F3F" w:rsidRPr="00440EFD" w:rsidRDefault="005C6F3F" w:rsidP="005C6F3F">
      <w:pPr>
        <w:spacing w:after="0" w:line="240" w:lineRule="auto"/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440EFD">
        <w:rPr>
          <w:b/>
          <w:sz w:val="28"/>
          <w:szCs w:val="28"/>
          <w:lang w:val="ru-RU"/>
        </w:rPr>
        <w:t>ПОРІВНЯЛЬНА ТАБЛИЦЯ</w:t>
      </w:r>
    </w:p>
    <w:p w14:paraId="27E28D7E" w14:textId="77777777" w:rsidR="005C6F3F" w:rsidRPr="00440EFD" w:rsidRDefault="005C6F3F" w:rsidP="00975E9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40EFD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про внесення змін до деяких законодавчих актів України щодо </w:t>
      </w:r>
      <w:r w:rsidR="00975E97" w:rsidRPr="00440EFD">
        <w:rPr>
          <w:rFonts w:ascii="Times New Roman" w:hAnsi="Times New Roman"/>
          <w:b/>
          <w:sz w:val="28"/>
          <w:szCs w:val="28"/>
          <w:lang w:val="uk-UA"/>
        </w:rPr>
        <w:t xml:space="preserve">складу </w:t>
      </w:r>
      <w:r w:rsidRPr="00440EFD">
        <w:rPr>
          <w:rFonts w:ascii="Times New Roman" w:hAnsi="Times New Roman"/>
          <w:b/>
          <w:sz w:val="28"/>
          <w:szCs w:val="28"/>
          <w:lang w:val="uk-UA"/>
        </w:rPr>
        <w:t>керівників і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</w:t>
      </w:r>
      <w:r w:rsidR="00975E97" w:rsidRPr="00440EFD">
        <w:rPr>
          <w:rFonts w:ascii="Times New Roman" w:hAnsi="Times New Roman"/>
          <w:b/>
          <w:sz w:val="28"/>
          <w:szCs w:val="28"/>
          <w:lang w:val="uk-UA"/>
        </w:rPr>
        <w:t>, та розміру їх винагороди</w:t>
      </w:r>
    </w:p>
    <w:p w14:paraId="27E28D7F" w14:textId="77777777" w:rsidR="005C6F3F" w:rsidRPr="00440EFD" w:rsidRDefault="005C6F3F" w:rsidP="005C6F3F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5C6F3F" w:rsidRPr="00440EFD" w14:paraId="27E28D82" w14:textId="77777777" w:rsidTr="00107E21">
        <w:tc>
          <w:tcPr>
            <w:tcW w:w="7564" w:type="dxa"/>
          </w:tcPr>
          <w:p w14:paraId="27E28D80" w14:textId="77777777" w:rsidR="005C6F3F" w:rsidRPr="00440EFD" w:rsidRDefault="005C6F3F" w:rsidP="00107E21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40EFD">
              <w:rPr>
                <w:b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7564" w:type="dxa"/>
          </w:tcPr>
          <w:p w14:paraId="27E28D81" w14:textId="77777777" w:rsidR="005C6F3F" w:rsidRPr="00440EFD" w:rsidRDefault="005C6F3F" w:rsidP="00107E21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40EFD">
              <w:rPr>
                <w:b/>
                <w:sz w:val="28"/>
                <w:szCs w:val="28"/>
                <w:lang w:val="uk-UA"/>
              </w:rPr>
              <w:t>Редакція з урахуванням змін</w:t>
            </w:r>
          </w:p>
        </w:tc>
      </w:tr>
      <w:tr w:rsidR="005C6F3F" w:rsidRPr="005D5117" w14:paraId="27E28D84" w14:textId="77777777" w:rsidTr="00107E21">
        <w:tc>
          <w:tcPr>
            <w:tcW w:w="15128" w:type="dxa"/>
            <w:gridSpan w:val="2"/>
          </w:tcPr>
          <w:p w14:paraId="27E28D83" w14:textId="77777777" w:rsidR="005C6F3F" w:rsidRPr="00440EFD" w:rsidRDefault="005C6F3F" w:rsidP="00107E21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440EFD">
              <w:rPr>
                <w:b/>
                <w:bCs/>
                <w:sz w:val="28"/>
                <w:szCs w:val="28"/>
                <w:lang w:val="uk-UA"/>
              </w:rPr>
              <w:t>Закон України «Про управління об'єктами державної власності»</w:t>
            </w:r>
          </w:p>
        </w:tc>
      </w:tr>
      <w:tr w:rsidR="005C6F3F" w:rsidRPr="005D5117" w14:paraId="27E28D8B" w14:textId="77777777" w:rsidTr="00107E21">
        <w:tc>
          <w:tcPr>
            <w:tcW w:w="7564" w:type="dxa"/>
          </w:tcPr>
          <w:p w14:paraId="27E28D85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Стаття 11</w:t>
            </w:r>
            <w:r w:rsidRPr="00440EFD">
              <w:rPr>
                <w:rStyle w:val="rvts37"/>
                <w:sz w:val="28"/>
                <w:szCs w:val="28"/>
                <w:shd w:val="clear" w:color="auto" w:fill="FFFFFF"/>
                <w:lang w:val="uk-UA"/>
              </w:rPr>
              <w:t>-2</w:t>
            </w: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 Особливості управління державними унітарними підприємствами та господарськими товариствами, у статутному капіталі яких більше 50 відсотків акцій (часток) належать державі</w:t>
            </w:r>
          </w:p>
          <w:p w14:paraId="27E28D86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7E28D87" w14:textId="77777777" w:rsidR="005C6F3F" w:rsidRPr="00440EFD" w:rsidRDefault="005C6F3F" w:rsidP="00107E21">
            <w:pPr>
              <w:spacing w:after="0" w:line="240" w:lineRule="auto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3. Керівником або членом наглядової ради державного унітарного підприємства, господарського товариства, у статутному капіталі якого більше 50 відсотків акцій (часток) належать державі, не може бути особа, яка є засновником, акціонером (учасником), керівником та/або членом наглядової ради підприємства, іншої господарської організації, які здійснюють діяльність на тому самому або суміжних ринках з такими державними унітарними підприємствами та/або господарськими товариствами.</w:t>
            </w:r>
          </w:p>
        </w:tc>
        <w:tc>
          <w:tcPr>
            <w:tcW w:w="7564" w:type="dxa"/>
          </w:tcPr>
          <w:p w14:paraId="27E28D88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Стаття 11</w:t>
            </w:r>
            <w:r w:rsidRPr="00440EFD">
              <w:rPr>
                <w:rStyle w:val="rvts37"/>
                <w:sz w:val="28"/>
                <w:szCs w:val="28"/>
                <w:shd w:val="clear" w:color="auto" w:fill="FFFFFF"/>
                <w:lang w:val="uk-UA"/>
              </w:rPr>
              <w:t>-2</w:t>
            </w: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 Особливості управління державними унітарними підприємствами та господарськими товариствами, у статутному капіталі яких більше 50 відсотків акцій (часток) належать державі</w:t>
            </w:r>
          </w:p>
          <w:p w14:paraId="27E28D89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7E28D8A" w14:textId="77777777" w:rsidR="005C6F3F" w:rsidRPr="00440EFD" w:rsidRDefault="00604C47" w:rsidP="00604C47">
            <w:pPr>
              <w:spacing w:after="0" w:line="240" w:lineRule="auto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 xml:space="preserve">3. </w:t>
            </w:r>
            <w:r w:rsidRPr="00440EF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Керівником або членом наглядової ради державного унітарного підприємства, господарського товариства, у статутному капіталі якого більше 50 відсотків акцій (часток) належать державі,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40EF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може бути виключно громадянин України. 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Керівником або членом наглядової ради державного унітарного підприємства, господарського товариства, у статутному капіталі якого більше 50 відсотків акцій (часток) належать державі, не може бути особа, яка є засновником, акціонером (учасником), керівником та/або членом наглядової ради підприємства, іншої господарської організації, які здійснюють діяльність на тому самому або суміжних ринках з такими державними унітарними підприємствами та/або господарськими товариствами.</w:t>
            </w:r>
          </w:p>
        </w:tc>
      </w:tr>
      <w:tr w:rsidR="005C6F3F" w:rsidRPr="005D5117" w14:paraId="27E28D98" w14:textId="77777777" w:rsidTr="00107E21">
        <w:tc>
          <w:tcPr>
            <w:tcW w:w="7564" w:type="dxa"/>
          </w:tcPr>
          <w:p w14:paraId="27E28D8C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Стаття 14.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 xml:space="preserve"> Винагорода та страхування відповідальності керівників і членів наглядових рад державних унітарних підприємств та господарських товариств, у статутному 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капіталі яких більше 50 відсотків акцій (часток) належать державі</w:t>
            </w:r>
          </w:p>
          <w:p w14:paraId="27E28D8D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7E28D8E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2. Члени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мають право на оплату своєї діяльності та компенсацію витрат, пов’язаних з виконанням своїх функцій, за рахунок такого державного унітарного підприємства або господарського товариства. Порядок визначення умов оплати послуг членів наглядових рад встановлюється Кабінетом Міністрів України.</w:t>
            </w:r>
          </w:p>
        </w:tc>
        <w:tc>
          <w:tcPr>
            <w:tcW w:w="7564" w:type="dxa"/>
          </w:tcPr>
          <w:p w14:paraId="27E28D8F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 14.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 xml:space="preserve"> Винагорода та страхування відповідальності керівників і членів наглядових рад державних унітарних підприємств та господарських товариств, у статутному </w:t>
            </w: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капіталі яких більше 50 відсотків акцій (часток) належать державі</w:t>
            </w:r>
          </w:p>
          <w:p w14:paraId="27E28D90" w14:textId="77777777" w:rsidR="005C6F3F" w:rsidRPr="00440EFD" w:rsidRDefault="005C6F3F" w:rsidP="00107E21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27E28D91" w14:textId="77777777" w:rsidR="00CA71CF" w:rsidRPr="00CA71CF" w:rsidRDefault="00CA71CF" w:rsidP="00CA71CF">
            <w:pPr>
              <w:spacing w:after="0" w:line="240" w:lineRule="auto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2.</w:t>
            </w:r>
            <w:r w:rsidRPr="00CA71CF">
              <w:rPr>
                <w:sz w:val="28"/>
                <w:szCs w:val="28"/>
                <w:shd w:val="clear" w:color="auto" w:fill="FFFFFF"/>
                <w:lang w:val="uk-UA"/>
              </w:rPr>
              <w:t xml:space="preserve">Члени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мають право на оплату своєї діяльності та компенсацію витрат, пов’язаних з виконанням своїх функцій, за рахунок такого державного унітарного підприємства або господарського товариства. </w:t>
            </w:r>
          </w:p>
          <w:p w14:paraId="27E28D92" w14:textId="77777777" w:rsidR="00CA71CF" w:rsidRPr="00CA71CF" w:rsidRDefault="00CA71CF" w:rsidP="00CA71CF">
            <w:pPr>
              <w:spacing w:after="0" w:line="240" w:lineRule="auto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Максимально допустимий розмір базової місячної винагороди оплати послуг члена наглядової ради державного унітарного підприємства 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господарського товариства, у статутному капіталі якого більше 50 відсотків акцій (часток) належать державі, у кратності до середньої за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робітної плати по підприємству або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товариству не може перевищувати 5 разів.</w:t>
            </w:r>
          </w:p>
          <w:p w14:paraId="27E28D93" w14:textId="77777777" w:rsidR="00CA71CF" w:rsidRPr="00CA71CF" w:rsidRDefault="00CA71CF" w:rsidP="00CA71CF">
            <w:pPr>
              <w:spacing w:after="0" w:line="240" w:lineRule="auto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При цьому середня з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аробітна плата по підприємству або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товариству визначається як середнє арифметичне значення усіх заробітних плат, нарахованих працівникам (крім керівників, членів виконавчих органів та їх за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ступників) такого підприємства або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товариства, включаючи працівників відокремлених структурних підрозділів.</w:t>
            </w:r>
          </w:p>
          <w:p w14:paraId="27E28D94" w14:textId="77777777" w:rsidR="00CA71CF" w:rsidRPr="00CA71CF" w:rsidRDefault="00CA71CF" w:rsidP="00CA71CF">
            <w:pPr>
              <w:spacing w:after="0" w:line="240" w:lineRule="auto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Максимальний розмір річної та додаткової винагороди, що сукупно підлягає виплаті членам наглядової ради такого держ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авного унітарного підприємства або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такого господарського товариства та загальний розмір компенсації витрат, пов’язаних з виконанням членами зазначених наглядових рад своїх функцій, не може 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перевищувати 1 відсотка його прибутку із джерелом походження з України та за її межами (при цьому в зазначеному максимальному розмірі не враховуються суми допомоги по тимчасовій непрацездатності та оплата щорічної відпустки), визначеного за правилами розділу ІІІ Податкового кодексу України. </w:t>
            </w:r>
          </w:p>
          <w:p w14:paraId="27E28D95" w14:textId="77777777" w:rsidR="00CA71CF" w:rsidRPr="00CA71CF" w:rsidRDefault="00CA71CF" w:rsidP="00CA71CF">
            <w:pPr>
              <w:spacing w:after="0" w:line="240" w:lineRule="auto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У разі відсутності за результатами податкового (звітного) періоду у такого держ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авного унітарного підприємства або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господарського товариства прибутку, кожному члену наглядової ради виплачується винагорода у розмірі середньої заробітної плати по відповідному унітарному підприємству 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або</w:t>
            </w: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товариству. </w:t>
            </w:r>
          </w:p>
          <w:p w14:paraId="27E28D96" w14:textId="77777777" w:rsidR="00CA71CF" w:rsidRPr="00CA71CF" w:rsidRDefault="00CA71CF" w:rsidP="00CA71CF">
            <w:pPr>
              <w:spacing w:after="0" w:line="240" w:lineRule="auto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CA71CF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Річна та додаткова винагороди, а також компенсація витрат, пов’язаних з виконанням функцій члена наглядової ради, виплачуються за результатами кожного податкового (звітного) періоду для податку на прибуток підприємств.</w:t>
            </w:r>
          </w:p>
          <w:p w14:paraId="27E28D97" w14:textId="77777777" w:rsidR="005C6F3F" w:rsidRPr="00440EFD" w:rsidRDefault="00CA71CF" w:rsidP="00CA71CF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CA71CF">
              <w:rPr>
                <w:sz w:val="28"/>
                <w:szCs w:val="28"/>
                <w:shd w:val="clear" w:color="auto" w:fill="FFFFFF"/>
                <w:lang w:val="uk-UA"/>
              </w:rPr>
              <w:t>Порядок визначення умов оплати послуг членів наглядових рад встановлюється Кабінетом Міністрів України</w:t>
            </w:r>
          </w:p>
        </w:tc>
      </w:tr>
      <w:tr w:rsidR="007A2778" w:rsidRPr="00440EFD" w14:paraId="27E28D9A" w14:textId="77777777" w:rsidTr="00107E21">
        <w:tc>
          <w:tcPr>
            <w:tcW w:w="15128" w:type="dxa"/>
            <w:gridSpan w:val="2"/>
          </w:tcPr>
          <w:p w14:paraId="27E28D99" w14:textId="77777777" w:rsidR="007A2778" w:rsidRPr="005D5117" w:rsidRDefault="007A2778" w:rsidP="007A2778">
            <w:pPr>
              <w:spacing w:after="0" w:line="240" w:lineRule="auto"/>
              <w:jc w:val="center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5D5117">
              <w:rPr>
                <w:b/>
                <w:bCs/>
                <w:sz w:val="32"/>
                <w:szCs w:val="32"/>
                <w:shd w:val="clear" w:color="auto" w:fill="FFFFFF"/>
                <w:lang w:val="uk-UA"/>
              </w:rPr>
              <w:lastRenderedPageBreak/>
              <w:t>Про особливості управління об'єктами державної власності в оборонно-промисловому комплексі</w:t>
            </w:r>
          </w:p>
        </w:tc>
      </w:tr>
      <w:tr w:rsidR="007A2778" w:rsidRPr="00440EFD" w14:paraId="27E28DA5" w14:textId="77777777" w:rsidTr="00107E21">
        <w:tc>
          <w:tcPr>
            <w:tcW w:w="7564" w:type="dxa"/>
          </w:tcPr>
          <w:p w14:paraId="27E28D9B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Стаття 5. Органи управління Концерну</w:t>
            </w:r>
          </w:p>
          <w:p w14:paraId="27E28D9C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ru-RU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14:paraId="27E28D9D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3. Наглядова рада Концерну (далі - Наглядова рада) складається з п'яти членів, три з яких призначаються Президентом України, а два - Кабінетом Міністрів України.</w:t>
            </w:r>
          </w:p>
          <w:p w14:paraId="27E28D9E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Строк повноважень членів Наглядової ради становить п'ять років.</w:t>
            </w:r>
          </w:p>
          <w:p w14:paraId="27E28D9F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564" w:type="dxa"/>
          </w:tcPr>
          <w:p w14:paraId="27E28DA0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Стаття 5. Органи управління Концерну</w:t>
            </w:r>
          </w:p>
          <w:p w14:paraId="27E28DA1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ru-RU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  <w:p w14:paraId="27E28DA2" w14:textId="77777777" w:rsidR="007A2778" w:rsidRPr="00CA71CF" w:rsidRDefault="007A2778" w:rsidP="00CA71CF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3. Наглядова рада Концерну (далі - Наглядова рада) складається з п'яти членів, три з яких призначаються Президентом України, а два - Кабінетом Міністрів України.</w:t>
            </w:r>
            <w:r w:rsidR="00CA71CF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440EFD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Членами Наглядової ради можуть бути призначені виключно громадяни України.</w:t>
            </w:r>
          </w:p>
          <w:p w14:paraId="27E28DA3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  <w:lang w:val="uk-UA"/>
              </w:rPr>
              <w:t>Строк повноважень членів Наглядової ради становить п'ять років.</w:t>
            </w:r>
          </w:p>
          <w:p w14:paraId="27E28DA4" w14:textId="77777777" w:rsidR="007A2778" w:rsidRPr="00440EFD" w:rsidRDefault="007A2778" w:rsidP="007A2778">
            <w:pPr>
              <w:spacing w:after="0" w:line="240" w:lineRule="auto"/>
              <w:rPr>
                <w:rStyle w:val="rvts9"/>
                <w:sz w:val="28"/>
                <w:szCs w:val="28"/>
                <w:shd w:val="clear" w:color="auto" w:fill="FFFFFF"/>
              </w:rPr>
            </w:pPr>
            <w:r w:rsidRPr="00440EFD">
              <w:rPr>
                <w:rStyle w:val="rvts9"/>
                <w:sz w:val="28"/>
                <w:szCs w:val="28"/>
                <w:shd w:val="clear" w:color="auto" w:fill="FFFFFF"/>
              </w:rPr>
              <w:lastRenderedPageBreak/>
              <w:t>…</w:t>
            </w:r>
          </w:p>
        </w:tc>
      </w:tr>
    </w:tbl>
    <w:p w14:paraId="27E28DA6" w14:textId="77777777" w:rsidR="00F66F2D" w:rsidRPr="00440EFD" w:rsidRDefault="00F66F2D" w:rsidP="00F66F2D">
      <w:pPr>
        <w:spacing w:after="0" w:line="240" w:lineRule="auto"/>
        <w:rPr>
          <w:b/>
          <w:sz w:val="28"/>
          <w:szCs w:val="28"/>
          <w:lang w:val="ru-RU" w:eastAsia="uk-UA"/>
        </w:rPr>
      </w:pPr>
    </w:p>
    <w:p w14:paraId="27E28DA7" w14:textId="42C99725" w:rsidR="00F66F2D" w:rsidRDefault="00F66F2D" w:rsidP="00F66F2D">
      <w:pPr>
        <w:spacing w:after="0" w:line="240" w:lineRule="auto"/>
        <w:rPr>
          <w:b/>
          <w:sz w:val="28"/>
          <w:szCs w:val="28"/>
          <w:lang w:val="ru-RU" w:eastAsia="uk-UA"/>
        </w:rPr>
      </w:pPr>
      <w:r w:rsidRPr="00440EFD">
        <w:rPr>
          <w:b/>
          <w:sz w:val="28"/>
          <w:szCs w:val="28"/>
          <w:lang w:val="ru-RU" w:eastAsia="uk-UA"/>
        </w:rPr>
        <w:t>Народн</w:t>
      </w:r>
      <w:r w:rsidR="001E0257">
        <w:rPr>
          <w:b/>
          <w:sz w:val="28"/>
          <w:szCs w:val="28"/>
          <w:lang w:val="uk-UA" w:eastAsia="uk-UA"/>
        </w:rPr>
        <w:t>і</w:t>
      </w:r>
      <w:r w:rsidRPr="00440EFD">
        <w:rPr>
          <w:b/>
          <w:sz w:val="28"/>
          <w:szCs w:val="28"/>
          <w:lang w:val="ru-RU" w:eastAsia="uk-UA"/>
        </w:rPr>
        <w:t xml:space="preserve"> депутат</w:t>
      </w:r>
      <w:r w:rsidR="001E0257">
        <w:rPr>
          <w:b/>
          <w:sz w:val="28"/>
          <w:szCs w:val="28"/>
          <w:lang w:val="ru-RU" w:eastAsia="uk-UA"/>
        </w:rPr>
        <w:t>и</w:t>
      </w:r>
      <w:r w:rsidRPr="00440EFD">
        <w:rPr>
          <w:b/>
          <w:sz w:val="28"/>
          <w:szCs w:val="28"/>
          <w:lang w:val="ru-RU" w:eastAsia="uk-UA"/>
        </w:rPr>
        <w:t xml:space="preserve"> України </w:t>
      </w:r>
      <w:r w:rsidRPr="00440EFD">
        <w:rPr>
          <w:b/>
          <w:sz w:val="28"/>
          <w:szCs w:val="28"/>
          <w:lang w:val="ru-RU" w:eastAsia="uk-UA"/>
        </w:rPr>
        <w:tab/>
      </w:r>
      <w:r w:rsidRPr="00440EFD">
        <w:rPr>
          <w:b/>
          <w:sz w:val="28"/>
          <w:szCs w:val="28"/>
          <w:lang w:val="ru-RU" w:eastAsia="uk-UA"/>
        </w:rPr>
        <w:tab/>
      </w:r>
      <w:r w:rsidRPr="00440EFD">
        <w:rPr>
          <w:b/>
          <w:sz w:val="28"/>
          <w:szCs w:val="28"/>
          <w:lang w:val="ru-RU" w:eastAsia="uk-UA"/>
        </w:rPr>
        <w:tab/>
      </w:r>
      <w:r w:rsidRPr="00440EFD">
        <w:rPr>
          <w:b/>
          <w:sz w:val="28"/>
          <w:szCs w:val="28"/>
          <w:lang w:val="ru-RU" w:eastAsia="uk-UA"/>
        </w:rPr>
        <w:tab/>
      </w:r>
      <w:r w:rsidRPr="00440EFD">
        <w:rPr>
          <w:b/>
          <w:sz w:val="28"/>
          <w:szCs w:val="28"/>
          <w:lang w:val="ru-RU" w:eastAsia="uk-UA"/>
        </w:rPr>
        <w:tab/>
      </w:r>
      <w:r w:rsidRPr="00440EFD">
        <w:rPr>
          <w:b/>
          <w:sz w:val="28"/>
          <w:szCs w:val="28"/>
          <w:lang w:val="ru-RU" w:eastAsia="uk-UA"/>
        </w:rPr>
        <w:tab/>
      </w:r>
      <w:r w:rsidRPr="00440EFD">
        <w:rPr>
          <w:b/>
          <w:sz w:val="28"/>
          <w:szCs w:val="28"/>
          <w:lang w:val="ru-RU" w:eastAsia="uk-UA"/>
        </w:rPr>
        <w:tab/>
      </w:r>
      <w:r w:rsidRPr="00440EFD">
        <w:rPr>
          <w:b/>
          <w:sz w:val="28"/>
          <w:szCs w:val="28"/>
          <w:lang w:val="ru-RU" w:eastAsia="uk-UA"/>
        </w:rPr>
        <w:tab/>
        <w:t xml:space="preserve">                  Василевська-Смаглюк О.М. (посв. № 302)</w:t>
      </w:r>
    </w:p>
    <w:p w14:paraId="6D46737E" w14:textId="712D1365" w:rsidR="001E0257" w:rsidRPr="00440EFD" w:rsidRDefault="001E0257" w:rsidP="00F66F2D">
      <w:pPr>
        <w:spacing w:after="0" w:line="240" w:lineRule="auto"/>
        <w:rPr>
          <w:b/>
          <w:sz w:val="28"/>
          <w:szCs w:val="28"/>
          <w:lang w:val="ru-RU" w:eastAsia="uk-UA"/>
        </w:rPr>
      </w:pPr>
      <w:r>
        <w:rPr>
          <w:b/>
          <w:sz w:val="28"/>
          <w:szCs w:val="28"/>
          <w:lang w:val="ru-RU" w:eastAsia="uk-UA"/>
        </w:rPr>
        <w:t>та інші</w:t>
      </w:r>
    </w:p>
    <w:p w14:paraId="27E28DA8" w14:textId="77777777" w:rsidR="005C6F3F" w:rsidRPr="00440EFD" w:rsidRDefault="005C6F3F">
      <w:pPr>
        <w:rPr>
          <w:sz w:val="28"/>
          <w:szCs w:val="28"/>
          <w:lang w:val="uk-UA"/>
        </w:rPr>
      </w:pPr>
    </w:p>
    <w:sectPr w:rsidR="005C6F3F" w:rsidRPr="00440EFD" w:rsidSect="006621D9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549AC"/>
    <w:multiLevelType w:val="multilevel"/>
    <w:tmpl w:val="1A44206C"/>
    <w:styleLink w:val="a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2">
      <w:start w:val="1"/>
      <w:numFmt w:val="russianLower"/>
      <w:lvlText w:val="%3)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A3F726A"/>
    <w:multiLevelType w:val="hybridMultilevel"/>
    <w:tmpl w:val="28EADEC2"/>
    <w:lvl w:ilvl="0" w:tplc="CE8C4C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D9"/>
    <w:rsid w:val="00107E21"/>
    <w:rsid w:val="0015354C"/>
    <w:rsid w:val="001B4550"/>
    <w:rsid w:val="001E0257"/>
    <w:rsid w:val="002E3357"/>
    <w:rsid w:val="00312B23"/>
    <w:rsid w:val="00353217"/>
    <w:rsid w:val="00440EFD"/>
    <w:rsid w:val="00475B8A"/>
    <w:rsid w:val="005C6F3F"/>
    <w:rsid w:val="005D5117"/>
    <w:rsid w:val="00604C47"/>
    <w:rsid w:val="006621D9"/>
    <w:rsid w:val="00666371"/>
    <w:rsid w:val="00780359"/>
    <w:rsid w:val="007A2778"/>
    <w:rsid w:val="00975E97"/>
    <w:rsid w:val="00A952BA"/>
    <w:rsid w:val="00AF5C7D"/>
    <w:rsid w:val="00C26B77"/>
    <w:rsid w:val="00CA71CF"/>
    <w:rsid w:val="00D028B7"/>
    <w:rsid w:val="00D26186"/>
    <w:rsid w:val="00F6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8D7D"/>
  <w15:chartTrackingRefBased/>
  <w15:docId w15:val="{E50C3C4D-2B82-4959-9630-498B911D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80359"/>
    <w:pPr>
      <w:spacing w:after="200" w:line="276" w:lineRule="auto"/>
      <w:jc w:val="both"/>
    </w:pPr>
    <w:rPr>
      <w:rFonts w:eastAsia="SimSun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 азбацем"/>
    <w:uiPriority w:val="99"/>
    <w:rsid w:val="00312B23"/>
    <w:pPr>
      <w:numPr>
        <w:numId w:val="1"/>
      </w:numPr>
    </w:pPr>
  </w:style>
  <w:style w:type="table" w:styleId="a4">
    <w:name w:val="Table Grid"/>
    <w:basedOn w:val="a2"/>
    <w:uiPriority w:val="39"/>
    <w:rsid w:val="00662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semiHidden/>
    <w:unhideWhenUsed/>
    <w:rsid w:val="006621D9"/>
    <w:rPr>
      <w:color w:val="0000FF"/>
      <w:u w:val="single"/>
    </w:rPr>
  </w:style>
  <w:style w:type="character" w:customStyle="1" w:styleId="rvts9">
    <w:name w:val="rvts9"/>
    <w:basedOn w:val="a1"/>
    <w:rsid w:val="006621D9"/>
  </w:style>
  <w:style w:type="character" w:customStyle="1" w:styleId="rvts37">
    <w:name w:val="rvts37"/>
    <w:basedOn w:val="a1"/>
    <w:rsid w:val="006621D9"/>
  </w:style>
  <w:style w:type="paragraph" w:styleId="a6">
    <w:name w:val="Body Text"/>
    <w:basedOn w:val="a0"/>
    <w:link w:val="a7"/>
    <w:uiPriority w:val="99"/>
    <w:rsid w:val="005C6F3F"/>
    <w:pPr>
      <w:spacing w:after="120"/>
      <w:jc w:val="left"/>
    </w:pPr>
    <w:rPr>
      <w:rFonts w:ascii="Calibri" w:eastAsia="Times New Roman" w:hAnsi="Calibri"/>
      <w:sz w:val="22"/>
      <w:lang w:val="ru-RU" w:eastAsia="en-US"/>
    </w:rPr>
  </w:style>
  <w:style w:type="character" w:customStyle="1" w:styleId="a7">
    <w:name w:val="Основний текст Знак"/>
    <w:basedOn w:val="a1"/>
    <w:link w:val="a6"/>
    <w:uiPriority w:val="99"/>
    <w:rsid w:val="005C6F3F"/>
    <w:rPr>
      <w:rFonts w:ascii="Calibri" w:eastAsia="Times New Roman" w:hAnsi="Calibr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0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EB5541-2DB3-4C04-A5D5-632C2FCD9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71DE20-CB55-4C12-AAFE-6A167874A8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A68A02-C26B-4A1A-81AD-D6741F6F58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3767</Words>
  <Characters>2148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2020-11-26T13:05:00Z</dcterms:created>
  <dcterms:modified xsi:type="dcterms:W3CDTF">2020-11-26T13:05:00Z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