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2C4315" w14:textId="77777777" w:rsidR="00BC10B4" w:rsidRPr="006E734B" w:rsidRDefault="00BC10B4">
      <w:pPr>
        <w:jc w:val="center"/>
        <w:rPr>
          <w:b/>
          <w:color w:val="000000" w:themeColor="text1"/>
          <w:lang w:val="en-US"/>
        </w:rPr>
      </w:pPr>
    </w:p>
    <w:p w14:paraId="728FB5AE" w14:textId="600088D1" w:rsidR="00A70CEB" w:rsidRDefault="00A70CEB">
      <w:pPr>
        <w:jc w:val="center"/>
        <w:rPr>
          <w:b/>
          <w:color w:val="000000" w:themeColor="text1"/>
          <w:lang w:val="ru-RU"/>
        </w:rPr>
      </w:pPr>
    </w:p>
    <w:p w14:paraId="0F8D9A49" w14:textId="27EAD1A1" w:rsidR="001E053E" w:rsidRDefault="001E053E">
      <w:pPr>
        <w:jc w:val="center"/>
        <w:rPr>
          <w:b/>
          <w:color w:val="000000" w:themeColor="text1"/>
          <w:lang w:val="ru-RU"/>
        </w:rPr>
      </w:pPr>
    </w:p>
    <w:p w14:paraId="059530B0" w14:textId="5A6A8321" w:rsidR="00BC10B4" w:rsidRPr="001876BD" w:rsidRDefault="007E50B5">
      <w:pPr>
        <w:pStyle w:val="af0"/>
        <w:tabs>
          <w:tab w:val="clear" w:pos="4819"/>
          <w:tab w:val="clear" w:pos="9639"/>
        </w:tabs>
        <w:ind w:right="-42"/>
        <w:jc w:val="center"/>
        <w:rPr>
          <w:b/>
          <w:bCs/>
          <w:szCs w:val="28"/>
        </w:rPr>
      </w:pPr>
      <w:r w:rsidRPr="001876BD">
        <w:rPr>
          <w:b/>
          <w:bCs/>
          <w:szCs w:val="28"/>
        </w:rPr>
        <w:t>ВИСНОВОК</w:t>
      </w:r>
    </w:p>
    <w:p w14:paraId="47797673" w14:textId="5C790BD4" w:rsidR="00BC10B4" w:rsidRPr="001876BD" w:rsidRDefault="007E50B5" w:rsidP="008A64C1">
      <w:pPr>
        <w:widowControl w:val="0"/>
        <w:ind w:right="-1"/>
        <w:jc w:val="center"/>
        <w:rPr>
          <w:b/>
          <w:szCs w:val="28"/>
        </w:rPr>
      </w:pPr>
      <w:r w:rsidRPr="001876BD">
        <w:rPr>
          <w:b/>
          <w:bCs/>
          <w:szCs w:val="28"/>
        </w:rPr>
        <w:t>на проект Закону України</w:t>
      </w:r>
      <w:r w:rsidR="008A64C1" w:rsidRPr="001876BD">
        <w:rPr>
          <w:b/>
          <w:bCs/>
          <w:szCs w:val="28"/>
        </w:rPr>
        <w:t xml:space="preserve"> </w:t>
      </w:r>
      <w:r w:rsidRPr="001876BD">
        <w:rPr>
          <w:b/>
          <w:bCs/>
          <w:szCs w:val="28"/>
        </w:rPr>
        <w:t>«</w:t>
      </w:r>
      <w:r w:rsidR="008A64C1" w:rsidRPr="001876BD">
        <w:rPr>
          <w:b/>
          <w:szCs w:val="28"/>
        </w:rPr>
        <w:t>Про поштовий зв</w:t>
      </w:r>
      <w:r w:rsidR="008A64C1" w:rsidRPr="001876BD">
        <w:rPr>
          <w:b/>
          <w:szCs w:val="28"/>
          <w:lang w:val="ru-RU"/>
        </w:rPr>
        <w:t>’</w:t>
      </w:r>
      <w:proofErr w:type="spellStart"/>
      <w:r w:rsidR="008A64C1" w:rsidRPr="001876BD">
        <w:rPr>
          <w:b/>
          <w:szCs w:val="28"/>
        </w:rPr>
        <w:t>язок</w:t>
      </w:r>
      <w:proofErr w:type="spellEnd"/>
      <w:r w:rsidRPr="001876BD">
        <w:rPr>
          <w:b/>
          <w:szCs w:val="28"/>
        </w:rPr>
        <w:t>»</w:t>
      </w:r>
    </w:p>
    <w:p w14:paraId="2AC7BE26" w14:textId="77777777" w:rsidR="001E053E" w:rsidRPr="001876BD" w:rsidRDefault="001E053E" w:rsidP="008A64C1">
      <w:pPr>
        <w:widowControl w:val="0"/>
        <w:ind w:right="-1"/>
        <w:jc w:val="center"/>
        <w:rPr>
          <w:szCs w:val="28"/>
        </w:rPr>
      </w:pPr>
    </w:p>
    <w:p w14:paraId="732FC88B" w14:textId="532EC158" w:rsidR="00DA5A5D" w:rsidRPr="004F0DEB" w:rsidRDefault="001E053E" w:rsidP="00DA5A5D">
      <w:pPr>
        <w:ind w:firstLine="709"/>
        <w:jc w:val="both"/>
        <w:rPr>
          <w:rStyle w:val="st1"/>
          <w:bCs/>
          <w:szCs w:val="28"/>
        </w:rPr>
      </w:pPr>
      <w:r w:rsidRPr="001876BD">
        <w:rPr>
          <w:rStyle w:val="st1"/>
          <w:bCs/>
          <w:szCs w:val="28"/>
        </w:rPr>
        <w:t xml:space="preserve">Поданий проект Закону є альтернативним до законопроекту </w:t>
      </w:r>
      <w:r w:rsidR="004F0DEB" w:rsidRPr="001876BD">
        <w:rPr>
          <w:rStyle w:val="st1"/>
          <w:bCs/>
          <w:szCs w:val="28"/>
        </w:rPr>
        <w:br/>
        <w:t xml:space="preserve">реєстр. </w:t>
      </w:r>
      <w:r w:rsidRPr="001876BD">
        <w:rPr>
          <w:rStyle w:val="st1"/>
          <w:bCs/>
          <w:szCs w:val="28"/>
        </w:rPr>
        <w:t xml:space="preserve">№ 4353 від 10.11.2020 </w:t>
      </w:r>
      <w:r w:rsidRPr="001876BD">
        <w:rPr>
          <w:rStyle w:val="st1"/>
          <w:bCs/>
          <w:szCs w:val="28"/>
          <w:lang w:val="ru-RU"/>
        </w:rPr>
        <w:t>(</w:t>
      </w:r>
      <w:r w:rsidRPr="001876BD">
        <w:rPr>
          <w:rStyle w:val="st1"/>
          <w:bCs/>
          <w:szCs w:val="28"/>
        </w:rPr>
        <w:t>далі – проект № 4353</w:t>
      </w:r>
      <w:r w:rsidRPr="001876BD">
        <w:rPr>
          <w:rStyle w:val="st1"/>
          <w:bCs/>
          <w:szCs w:val="28"/>
          <w:lang w:val="ru-RU"/>
        </w:rPr>
        <w:t>)</w:t>
      </w:r>
      <w:r w:rsidRPr="001876BD">
        <w:rPr>
          <w:rStyle w:val="st1"/>
          <w:bCs/>
          <w:szCs w:val="28"/>
        </w:rPr>
        <w:t xml:space="preserve"> та також спрямований на адаптацію до національного законодавства у сфері поштового зв’язку положень </w:t>
      </w:r>
      <w:r w:rsidR="00DA5A5D" w:rsidRPr="001876BD">
        <w:rPr>
          <w:rStyle w:val="st1"/>
          <w:bCs/>
          <w:szCs w:val="28"/>
        </w:rPr>
        <w:t>Директиви Європейського Парламенту та Ради 97/67/ЄС від 15.12.1997 про спільні правила розвитку внутрішнього ринку поштових послуг Співтовариства та покращення якості обслуговування, доповненої Директивою Європейського Парламенту та Ради 2002/39/ЄC від 10.06.2002, Регламентом (ЄC) Є</w:t>
      </w:r>
      <w:r w:rsidR="001876BD" w:rsidRPr="001876BD">
        <w:rPr>
          <w:rStyle w:val="st1"/>
          <w:bCs/>
          <w:szCs w:val="28"/>
        </w:rPr>
        <w:t>вропейського Парламенту та Ради</w:t>
      </w:r>
      <w:r w:rsidR="00DA5A5D" w:rsidRPr="001876BD">
        <w:rPr>
          <w:rStyle w:val="st1"/>
          <w:bCs/>
          <w:szCs w:val="28"/>
        </w:rPr>
        <w:t xml:space="preserve"> 1882</w:t>
      </w:r>
      <w:r w:rsidR="00DA5A5D" w:rsidRPr="004F0DEB">
        <w:rPr>
          <w:rStyle w:val="st1"/>
          <w:bCs/>
          <w:szCs w:val="28"/>
        </w:rPr>
        <w:t>/2003 від 29.09.2003, Директивою Європейського Парламенту та Ради 2008/6/ЄС від 20.02.2008 (далі – Директива).</w:t>
      </w:r>
    </w:p>
    <w:p w14:paraId="53A36412" w14:textId="3C17B91B" w:rsidR="001E053E" w:rsidRPr="004F0DEB" w:rsidRDefault="00DA5A5D" w:rsidP="00DA5A5D">
      <w:pPr>
        <w:ind w:firstLine="709"/>
        <w:jc w:val="both"/>
        <w:rPr>
          <w:rStyle w:val="st1"/>
          <w:bCs/>
          <w:szCs w:val="28"/>
        </w:rPr>
      </w:pPr>
      <w:r w:rsidRPr="004F0DEB">
        <w:rPr>
          <w:rStyle w:val="st1"/>
          <w:bCs/>
          <w:szCs w:val="28"/>
        </w:rPr>
        <w:t>Законопроект на момент підготовки висновку включений до Плану законопроектної роботи Верховної Ради України на 2021 рік, затвердженого постановою Верховної Ради України від 02.02.2021 № 1165-ІХ (п. 154).</w:t>
      </w:r>
    </w:p>
    <w:p w14:paraId="3E42EF4A" w14:textId="77777777" w:rsidR="001E053E" w:rsidRPr="004F0DEB" w:rsidRDefault="001E053E" w:rsidP="001E053E">
      <w:pPr>
        <w:ind w:firstLine="709"/>
        <w:jc w:val="both"/>
        <w:rPr>
          <w:szCs w:val="28"/>
          <w:shd w:val="clear" w:color="auto" w:fill="FFFFFF"/>
        </w:rPr>
      </w:pPr>
      <w:r w:rsidRPr="004F0DEB">
        <w:rPr>
          <w:szCs w:val="28"/>
          <w:shd w:val="clear" w:color="auto" w:fill="FFFFFF"/>
        </w:rPr>
        <w:t>Головне управління, розглянувши</w:t>
      </w:r>
      <w:r w:rsidRPr="004F0DEB">
        <w:rPr>
          <w:szCs w:val="28"/>
        </w:rPr>
        <w:t xml:space="preserve"> законопроект,</w:t>
      </w:r>
      <w:r w:rsidRPr="004F0DEB">
        <w:rPr>
          <w:szCs w:val="28"/>
          <w:shd w:val="clear" w:color="auto" w:fill="FFFFFF"/>
        </w:rPr>
        <w:t xml:space="preserve"> вважає за необхідне висловити щодо нього наступні зауваження.</w:t>
      </w:r>
    </w:p>
    <w:p w14:paraId="0CD121AF" w14:textId="61D7C9F9" w:rsidR="005B5264" w:rsidRPr="004F0DEB" w:rsidRDefault="00B55981" w:rsidP="0002022B">
      <w:pPr>
        <w:ind w:firstLine="709"/>
        <w:jc w:val="both"/>
        <w:rPr>
          <w:rStyle w:val="st1"/>
          <w:bCs/>
          <w:szCs w:val="28"/>
        </w:rPr>
      </w:pPr>
      <w:r w:rsidRPr="004F0DEB">
        <w:rPr>
          <w:rStyle w:val="st1"/>
          <w:b/>
          <w:szCs w:val="28"/>
        </w:rPr>
        <w:t>1.</w:t>
      </w:r>
      <w:r w:rsidRPr="004F0DEB">
        <w:rPr>
          <w:rStyle w:val="st1"/>
          <w:bCs/>
          <w:szCs w:val="28"/>
        </w:rPr>
        <w:t xml:space="preserve"> </w:t>
      </w:r>
      <w:r w:rsidR="0002022B" w:rsidRPr="004F0DEB">
        <w:rPr>
          <w:rStyle w:val="st1"/>
          <w:bCs/>
          <w:szCs w:val="28"/>
        </w:rPr>
        <w:t>Редакція проекту дублює</w:t>
      </w:r>
      <w:r w:rsidR="005B5264" w:rsidRPr="004F0DEB">
        <w:rPr>
          <w:rStyle w:val="st1"/>
          <w:bCs/>
          <w:szCs w:val="28"/>
        </w:rPr>
        <w:t xml:space="preserve"> редакцію проекту № 4353</w:t>
      </w:r>
      <w:r w:rsidR="0002022B" w:rsidRPr="004F0DEB">
        <w:rPr>
          <w:rStyle w:val="st1"/>
          <w:bCs/>
          <w:szCs w:val="28"/>
        </w:rPr>
        <w:t xml:space="preserve"> за винятком </w:t>
      </w:r>
      <w:r w:rsidR="00AC45D7" w:rsidRPr="004F0DEB">
        <w:rPr>
          <w:rStyle w:val="st1"/>
          <w:bCs/>
          <w:szCs w:val="28"/>
        </w:rPr>
        <w:t xml:space="preserve">положень, що стосуються кур’єрських послуг, </w:t>
      </w:r>
      <w:r w:rsidR="00D06109" w:rsidRPr="004F0DEB">
        <w:rPr>
          <w:rStyle w:val="st1"/>
          <w:bCs/>
          <w:szCs w:val="28"/>
        </w:rPr>
        <w:t xml:space="preserve">технічних </w:t>
      </w:r>
      <w:r w:rsidR="00AC45D7" w:rsidRPr="004F0DEB">
        <w:rPr>
          <w:rStyle w:val="st1"/>
          <w:bCs/>
          <w:szCs w:val="28"/>
        </w:rPr>
        <w:t>вимог</w:t>
      </w:r>
      <w:r w:rsidR="006F5454" w:rsidRPr="004F0DEB">
        <w:rPr>
          <w:rStyle w:val="st1"/>
          <w:bCs/>
          <w:szCs w:val="28"/>
        </w:rPr>
        <w:t xml:space="preserve"> до окремих поштових засобів</w:t>
      </w:r>
      <w:r w:rsidR="00AC45D7" w:rsidRPr="004F0DEB">
        <w:rPr>
          <w:rStyle w:val="st1"/>
          <w:bCs/>
          <w:szCs w:val="28"/>
        </w:rPr>
        <w:t xml:space="preserve"> та </w:t>
      </w:r>
      <w:r w:rsidR="00A61286" w:rsidRPr="004F0DEB">
        <w:rPr>
          <w:rStyle w:val="st1"/>
          <w:bCs/>
          <w:szCs w:val="28"/>
        </w:rPr>
        <w:t xml:space="preserve">тих, що </w:t>
      </w:r>
      <w:r w:rsidR="00AC45D7" w:rsidRPr="004F0DEB">
        <w:rPr>
          <w:rStyle w:val="st1"/>
          <w:bCs/>
          <w:szCs w:val="28"/>
        </w:rPr>
        <w:t>регламентують діяльність призначеного оператора поштового зв’язку.</w:t>
      </w:r>
      <w:r w:rsidR="004163CA" w:rsidRPr="004F0DEB">
        <w:rPr>
          <w:rStyle w:val="st1"/>
          <w:bCs/>
          <w:szCs w:val="28"/>
        </w:rPr>
        <w:t xml:space="preserve"> При цьому, новели поданого проекту є майже тотожними редакції законопроекту №</w:t>
      </w:r>
      <w:r w:rsidR="001E053E" w:rsidRPr="004F0DEB">
        <w:rPr>
          <w:rStyle w:val="st1"/>
          <w:bCs/>
          <w:szCs w:val="28"/>
        </w:rPr>
        <w:t xml:space="preserve"> </w:t>
      </w:r>
      <w:r w:rsidR="004163CA" w:rsidRPr="004F0DEB">
        <w:rPr>
          <w:rStyle w:val="st1"/>
          <w:bCs/>
          <w:szCs w:val="28"/>
        </w:rPr>
        <w:t xml:space="preserve">4353-1 від 25.11.2020, окрім пропозицій щодо трирічного терміну призначення оператора універсальної послуги та </w:t>
      </w:r>
      <w:r w:rsidR="001E053E" w:rsidRPr="004F0DEB">
        <w:rPr>
          <w:rStyle w:val="st1"/>
          <w:bCs/>
          <w:szCs w:val="28"/>
        </w:rPr>
        <w:t>редакції деяких приписів</w:t>
      </w:r>
      <w:r w:rsidR="004163CA" w:rsidRPr="004F0DEB">
        <w:rPr>
          <w:rStyle w:val="st1"/>
          <w:bCs/>
          <w:szCs w:val="28"/>
        </w:rPr>
        <w:t xml:space="preserve"> </w:t>
      </w:r>
      <w:r w:rsidR="001E053E" w:rsidRPr="004F0DEB">
        <w:rPr>
          <w:rStyle w:val="st1"/>
          <w:bCs/>
          <w:szCs w:val="28"/>
        </w:rPr>
        <w:t>п</w:t>
      </w:r>
      <w:r w:rsidR="004163CA" w:rsidRPr="004F0DEB">
        <w:rPr>
          <w:rStyle w:val="st1"/>
          <w:bCs/>
          <w:szCs w:val="28"/>
        </w:rPr>
        <w:t>рикінцевих положень.</w:t>
      </w:r>
    </w:p>
    <w:p w14:paraId="4842A080" w14:textId="3B4D343D" w:rsidR="001E053E" w:rsidRPr="001876BD" w:rsidRDefault="001E053E" w:rsidP="001E053E">
      <w:pPr>
        <w:ind w:firstLine="709"/>
        <w:jc w:val="both"/>
        <w:rPr>
          <w:rFonts w:eastAsia="Calibri"/>
          <w:szCs w:val="28"/>
        </w:rPr>
      </w:pPr>
      <w:r w:rsidRPr="004F0DEB">
        <w:rPr>
          <w:rStyle w:val="st1"/>
          <w:bCs/>
          <w:szCs w:val="28"/>
        </w:rPr>
        <w:t xml:space="preserve">1.1. У порівнянні з проектом № 4353, у поданій редакції відсутні положення, </w:t>
      </w:r>
      <w:proofErr w:type="spellStart"/>
      <w:r w:rsidR="00083CF5" w:rsidRPr="004F0DEB">
        <w:rPr>
          <w:rStyle w:val="st1"/>
          <w:bCs/>
          <w:szCs w:val="28"/>
          <w:lang w:val="ru-RU"/>
        </w:rPr>
        <w:t>що</w:t>
      </w:r>
      <w:proofErr w:type="spellEnd"/>
      <w:r w:rsidRPr="004F0DEB">
        <w:rPr>
          <w:rStyle w:val="st1"/>
          <w:bCs/>
          <w:szCs w:val="28"/>
        </w:rPr>
        <w:t xml:space="preserve"> стосуються </w:t>
      </w:r>
      <w:proofErr w:type="spellStart"/>
      <w:r w:rsidRPr="004F0DEB">
        <w:rPr>
          <w:rStyle w:val="st1"/>
          <w:bCs/>
          <w:szCs w:val="28"/>
        </w:rPr>
        <w:t>кур</w:t>
      </w:r>
      <w:proofErr w:type="spellEnd"/>
      <w:r w:rsidRPr="004F0DEB">
        <w:rPr>
          <w:rStyle w:val="st1"/>
          <w:bCs/>
          <w:szCs w:val="28"/>
          <w:lang w:val="ru-RU"/>
        </w:rPr>
        <w:t>’</w:t>
      </w:r>
      <w:proofErr w:type="spellStart"/>
      <w:r w:rsidRPr="004F0DEB">
        <w:rPr>
          <w:rStyle w:val="st1"/>
          <w:bCs/>
          <w:szCs w:val="28"/>
        </w:rPr>
        <w:t>єрських</w:t>
      </w:r>
      <w:proofErr w:type="spellEnd"/>
      <w:r w:rsidRPr="004F0DEB">
        <w:rPr>
          <w:rStyle w:val="st1"/>
          <w:bCs/>
          <w:szCs w:val="28"/>
        </w:rPr>
        <w:t xml:space="preserve"> послуг.</w:t>
      </w:r>
      <w:r w:rsidR="00083CF5" w:rsidRPr="004F0DEB">
        <w:rPr>
          <w:rStyle w:val="st1"/>
          <w:bCs/>
          <w:szCs w:val="28"/>
          <w:lang w:val="ru-RU"/>
        </w:rPr>
        <w:t xml:space="preserve"> </w:t>
      </w:r>
      <w:r w:rsidRPr="004F0DEB">
        <w:rPr>
          <w:rStyle w:val="st1"/>
          <w:bCs/>
          <w:szCs w:val="28"/>
        </w:rPr>
        <w:t>У п. 1 пояснювальної записки до законопроекту зазначається, що «</w:t>
      </w:r>
      <w:r w:rsidRPr="004F0DEB">
        <w:rPr>
          <w:rFonts w:eastAsia="Calibri"/>
          <w:szCs w:val="28"/>
        </w:rPr>
        <w:t xml:space="preserve">Директива регулює виключно надання універсальних поштових послуг, а в іншому – передбачає принцип лібералізації ринку </w:t>
      </w:r>
      <w:r w:rsidRPr="001876BD">
        <w:rPr>
          <w:rFonts w:eastAsia="Calibri"/>
          <w:szCs w:val="28"/>
        </w:rPr>
        <w:t>поштових послуг, до яких не відносить кур’єрську доставку».</w:t>
      </w:r>
    </w:p>
    <w:p w14:paraId="366322EF" w14:textId="669FEB6A" w:rsidR="00B44E75" w:rsidRPr="001876BD" w:rsidRDefault="00B44E75" w:rsidP="00B71AEC">
      <w:pPr>
        <w:ind w:firstLine="709"/>
        <w:jc w:val="both"/>
        <w:rPr>
          <w:rFonts w:eastAsia="Calibri"/>
          <w:szCs w:val="28"/>
        </w:rPr>
      </w:pPr>
      <w:r w:rsidRPr="001876BD">
        <w:rPr>
          <w:rFonts w:eastAsia="Calibri"/>
          <w:szCs w:val="28"/>
        </w:rPr>
        <w:t>На нашу думку, такий підхід вбачається сумнівним. Адже кур’єрські послуги (послуги експ</w:t>
      </w:r>
      <w:r w:rsidR="00946F34" w:rsidRPr="001876BD">
        <w:rPr>
          <w:rFonts w:eastAsia="Calibri"/>
          <w:szCs w:val="28"/>
        </w:rPr>
        <w:t>ре</w:t>
      </w:r>
      <w:r w:rsidRPr="001876BD">
        <w:rPr>
          <w:rFonts w:eastAsia="Calibri"/>
          <w:szCs w:val="28"/>
        </w:rPr>
        <w:t xml:space="preserve">с-доставки) є одним з </w:t>
      </w:r>
      <w:proofErr w:type="spellStart"/>
      <w:r w:rsidRPr="001876BD">
        <w:rPr>
          <w:rFonts w:eastAsia="Calibri"/>
          <w:szCs w:val="28"/>
        </w:rPr>
        <w:t>підсекторів</w:t>
      </w:r>
      <w:proofErr w:type="spellEnd"/>
      <w:r w:rsidRPr="001876BD">
        <w:rPr>
          <w:rFonts w:eastAsia="Calibri"/>
          <w:szCs w:val="28"/>
        </w:rPr>
        <w:t xml:space="preserve"> послуг, що стосуються обробки поштових відправлень як внутрішнього, так і зовнішнього призначення.</w:t>
      </w:r>
    </w:p>
    <w:p w14:paraId="5CA0524B" w14:textId="7C88B290" w:rsidR="00011B26" w:rsidRPr="004F0DEB" w:rsidRDefault="00706103" w:rsidP="00B71AEC">
      <w:pPr>
        <w:ind w:firstLine="709"/>
        <w:jc w:val="both"/>
        <w:rPr>
          <w:rStyle w:val="st1"/>
          <w:bCs/>
          <w:szCs w:val="28"/>
        </w:rPr>
      </w:pPr>
      <w:r w:rsidRPr="001876BD">
        <w:rPr>
          <w:rStyle w:val="st1"/>
          <w:bCs/>
          <w:szCs w:val="28"/>
        </w:rPr>
        <w:t xml:space="preserve">1.2. </w:t>
      </w:r>
      <w:r w:rsidR="001E053E" w:rsidRPr="001876BD">
        <w:rPr>
          <w:rStyle w:val="st1"/>
          <w:bCs/>
          <w:szCs w:val="28"/>
        </w:rPr>
        <w:t>У</w:t>
      </w:r>
      <w:r w:rsidRPr="001876BD">
        <w:rPr>
          <w:rStyle w:val="st1"/>
          <w:bCs/>
          <w:szCs w:val="28"/>
        </w:rPr>
        <w:t xml:space="preserve"> </w:t>
      </w:r>
      <w:r w:rsidR="009D566C" w:rsidRPr="001876BD">
        <w:rPr>
          <w:rStyle w:val="st1"/>
          <w:bCs/>
          <w:szCs w:val="28"/>
        </w:rPr>
        <w:t>поданій законодавчій пропозиції</w:t>
      </w:r>
      <w:r w:rsidRPr="001876BD">
        <w:rPr>
          <w:rStyle w:val="st1"/>
          <w:bCs/>
          <w:szCs w:val="28"/>
        </w:rPr>
        <w:t>, на відміну в</w:t>
      </w:r>
      <w:r w:rsidR="009D566C" w:rsidRPr="001876BD">
        <w:rPr>
          <w:rStyle w:val="st1"/>
          <w:bCs/>
          <w:szCs w:val="28"/>
        </w:rPr>
        <w:t xml:space="preserve">ід </w:t>
      </w:r>
      <w:r w:rsidRPr="001876BD">
        <w:rPr>
          <w:rStyle w:val="st1"/>
          <w:bCs/>
          <w:szCs w:val="28"/>
        </w:rPr>
        <w:t>проекту № 4353</w:t>
      </w:r>
      <w:r w:rsidR="00E63195" w:rsidRPr="001876BD">
        <w:rPr>
          <w:rStyle w:val="st1"/>
          <w:bCs/>
          <w:szCs w:val="28"/>
        </w:rPr>
        <w:t xml:space="preserve"> </w:t>
      </w:r>
      <w:r w:rsidR="00946F34" w:rsidRPr="001876BD">
        <w:rPr>
          <w:rStyle w:val="st1"/>
          <w:bCs/>
          <w:szCs w:val="28"/>
        </w:rPr>
        <w:br/>
      </w:r>
      <w:r w:rsidR="00E63195" w:rsidRPr="001876BD">
        <w:rPr>
          <w:rStyle w:val="st1"/>
          <w:bCs/>
          <w:szCs w:val="28"/>
        </w:rPr>
        <w:t>(ч. 1 ст. 26) відсутні вимоги щодо виготовлення</w:t>
      </w:r>
      <w:r w:rsidR="004163CA" w:rsidRPr="001876BD">
        <w:rPr>
          <w:rStyle w:val="st1"/>
          <w:bCs/>
          <w:szCs w:val="28"/>
        </w:rPr>
        <w:t xml:space="preserve"> </w:t>
      </w:r>
      <w:r w:rsidR="00E63195" w:rsidRPr="001876BD">
        <w:rPr>
          <w:rStyle w:val="st1"/>
          <w:bCs/>
          <w:szCs w:val="28"/>
        </w:rPr>
        <w:t>засобів поштового зв’язку. На думку Головного управління</w:t>
      </w:r>
      <w:r w:rsidR="00946F34" w:rsidRPr="001876BD">
        <w:rPr>
          <w:rStyle w:val="st1"/>
          <w:bCs/>
          <w:szCs w:val="28"/>
        </w:rPr>
        <w:t>,</w:t>
      </w:r>
      <w:r w:rsidR="00E63195" w:rsidRPr="001876BD">
        <w:rPr>
          <w:rStyle w:val="st1"/>
          <w:bCs/>
          <w:szCs w:val="28"/>
        </w:rPr>
        <w:t xml:space="preserve"> </w:t>
      </w:r>
      <w:r w:rsidR="00FF134B" w:rsidRPr="001876BD">
        <w:rPr>
          <w:rStyle w:val="st1"/>
          <w:bCs/>
          <w:szCs w:val="28"/>
        </w:rPr>
        <w:t>регламентація</w:t>
      </w:r>
      <w:r w:rsidR="00B71AEC" w:rsidRPr="004F0DEB">
        <w:rPr>
          <w:rStyle w:val="st1"/>
          <w:bCs/>
          <w:szCs w:val="28"/>
        </w:rPr>
        <w:t xml:space="preserve"> технічних вимог до таких засобів поштового зв</w:t>
      </w:r>
      <w:r w:rsidR="00B71AEC" w:rsidRPr="004F0DEB">
        <w:rPr>
          <w:rStyle w:val="st1"/>
          <w:bCs/>
          <w:szCs w:val="28"/>
          <w:lang w:val="ru-RU"/>
        </w:rPr>
        <w:t>’</w:t>
      </w:r>
      <w:proofErr w:type="spellStart"/>
      <w:r w:rsidR="00B71AEC" w:rsidRPr="004F0DEB">
        <w:rPr>
          <w:rStyle w:val="st1"/>
          <w:bCs/>
          <w:szCs w:val="28"/>
        </w:rPr>
        <w:t>язку</w:t>
      </w:r>
      <w:proofErr w:type="spellEnd"/>
      <w:r w:rsidR="00B71AEC" w:rsidRPr="004F0DEB">
        <w:rPr>
          <w:rStyle w:val="st1"/>
          <w:bCs/>
          <w:szCs w:val="28"/>
        </w:rPr>
        <w:t xml:space="preserve"> як </w:t>
      </w:r>
      <w:r w:rsidR="00004A7C" w:rsidRPr="004F0DEB">
        <w:rPr>
          <w:rStyle w:val="st1"/>
          <w:bCs/>
          <w:szCs w:val="28"/>
        </w:rPr>
        <w:t>«</w:t>
      </w:r>
      <w:proofErr w:type="spellStart"/>
      <w:r w:rsidR="00B71AEC" w:rsidRPr="004F0DEB">
        <w:rPr>
          <w:rStyle w:val="st1"/>
          <w:bCs/>
          <w:szCs w:val="28"/>
        </w:rPr>
        <w:t>пошт</w:t>
      </w:r>
      <w:r w:rsidR="00004A7C" w:rsidRPr="004F0DEB">
        <w:rPr>
          <w:rStyle w:val="st1"/>
          <w:bCs/>
          <w:szCs w:val="28"/>
        </w:rPr>
        <w:t>о</w:t>
      </w:r>
      <w:r w:rsidR="00B71AEC" w:rsidRPr="004F0DEB">
        <w:rPr>
          <w:rStyle w:val="st1"/>
          <w:bCs/>
          <w:szCs w:val="28"/>
        </w:rPr>
        <w:t>мати</w:t>
      </w:r>
      <w:proofErr w:type="spellEnd"/>
      <w:r w:rsidR="00004A7C" w:rsidRPr="004F0DEB">
        <w:rPr>
          <w:rStyle w:val="st1"/>
          <w:bCs/>
          <w:szCs w:val="28"/>
        </w:rPr>
        <w:t>»</w:t>
      </w:r>
      <w:r w:rsidR="00B71AEC" w:rsidRPr="004F0DEB">
        <w:rPr>
          <w:rStyle w:val="st1"/>
          <w:bCs/>
          <w:szCs w:val="28"/>
        </w:rPr>
        <w:t xml:space="preserve"> та </w:t>
      </w:r>
      <w:r w:rsidR="00004A7C" w:rsidRPr="004F0DEB">
        <w:rPr>
          <w:rStyle w:val="st1"/>
          <w:bCs/>
          <w:szCs w:val="28"/>
        </w:rPr>
        <w:t>«</w:t>
      </w:r>
      <w:r w:rsidR="00B71AEC" w:rsidRPr="004F0DEB">
        <w:rPr>
          <w:rStyle w:val="st1"/>
          <w:bCs/>
          <w:szCs w:val="28"/>
        </w:rPr>
        <w:t>абонементн</w:t>
      </w:r>
      <w:r w:rsidR="00004A7C" w:rsidRPr="004F0DEB">
        <w:rPr>
          <w:rStyle w:val="st1"/>
          <w:bCs/>
          <w:szCs w:val="28"/>
        </w:rPr>
        <w:t>і</w:t>
      </w:r>
      <w:r w:rsidR="00B71AEC" w:rsidRPr="004F0DEB">
        <w:rPr>
          <w:rStyle w:val="st1"/>
          <w:bCs/>
          <w:szCs w:val="28"/>
        </w:rPr>
        <w:t xml:space="preserve"> скриньк</w:t>
      </w:r>
      <w:r w:rsidR="00004A7C" w:rsidRPr="004F0DEB">
        <w:rPr>
          <w:rStyle w:val="st1"/>
          <w:bCs/>
          <w:szCs w:val="28"/>
        </w:rPr>
        <w:t>и»</w:t>
      </w:r>
      <w:r w:rsidR="00B71AEC" w:rsidRPr="004F0DEB">
        <w:rPr>
          <w:rStyle w:val="st1"/>
          <w:bCs/>
          <w:szCs w:val="28"/>
        </w:rPr>
        <w:t xml:space="preserve"> вбачається слушною.</w:t>
      </w:r>
    </w:p>
    <w:p w14:paraId="0E0E5863" w14:textId="0C08357D" w:rsidR="004E74E4" w:rsidRPr="004F0DEB" w:rsidRDefault="004E74E4" w:rsidP="00706103">
      <w:pPr>
        <w:ind w:firstLine="709"/>
        <w:jc w:val="both"/>
        <w:rPr>
          <w:rStyle w:val="st1"/>
          <w:bCs/>
          <w:szCs w:val="28"/>
          <w:highlight w:val="green"/>
        </w:rPr>
      </w:pPr>
      <w:r w:rsidRPr="004F0DEB">
        <w:rPr>
          <w:rStyle w:val="st1"/>
          <w:bCs/>
          <w:szCs w:val="28"/>
        </w:rPr>
        <w:t>1.3.</w:t>
      </w:r>
      <w:r w:rsidR="00FA5466" w:rsidRPr="004F0DEB">
        <w:rPr>
          <w:rStyle w:val="st1"/>
          <w:bCs/>
          <w:szCs w:val="28"/>
        </w:rPr>
        <w:t xml:space="preserve"> </w:t>
      </w:r>
      <w:r w:rsidR="001E053E" w:rsidRPr="004F0DEB">
        <w:rPr>
          <w:rStyle w:val="st1"/>
          <w:bCs/>
          <w:szCs w:val="28"/>
        </w:rPr>
        <w:t xml:space="preserve">У законопроекті, на відміну від проекту № 4353, закладений підхід який має на меті унеможливити монополізацію окремих послуг поштового </w:t>
      </w:r>
      <w:r w:rsidR="001E053E" w:rsidRPr="004F0DEB">
        <w:rPr>
          <w:rStyle w:val="st1"/>
          <w:bCs/>
          <w:szCs w:val="28"/>
        </w:rPr>
        <w:lastRenderedPageBreak/>
        <w:t>зв</w:t>
      </w:r>
      <w:r w:rsidR="001E053E" w:rsidRPr="004F0DEB">
        <w:rPr>
          <w:rStyle w:val="st1"/>
          <w:bCs/>
          <w:szCs w:val="28"/>
          <w:lang w:val="ru-RU"/>
        </w:rPr>
        <w:t>’</w:t>
      </w:r>
      <w:proofErr w:type="spellStart"/>
      <w:r w:rsidR="001E053E" w:rsidRPr="004F0DEB">
        <w:rPr>
          <w:rStyle w:val="st1"/>
          <w:bCs/>
          <w:szCs w:val="28"/>
        </w:rPr>
        <w:t>язку</w:t>
      </w:r>
      <w:proofErr w:type="spellEnd"/>
      <w:r w:rsidR="001E053E" w:rsidRPr="004F0DEB">
        <w:rPr>
          <w:rStyle w:val="st1"/>
          <w:bCs/>
          <w:szCs w:val="28"/>
        </w:rPr>
        <w:t xml:space="preserve"> призначеним оператором, зокрема</w:t>
      </w:r>
      <w:r w:rsidR="00083CF5" w:rsidRPr="004F0DEB">
        <w:rPr>
          <w:rStyle w:val="st1"/>
          <w:bCs/>
          <w:szCs w:val="28"/>
          <w:lang w:val="ru-RU"/>
        </w:rPr>
        <w:t>,</w:t>
      </w:r>
      <w:r w:rsidR="001E053E" w:rsidRPr="004F0DEB">
        <w:rPr>
          <w:rStyle w:val="st1"/>
          <w:bCs/>
          <w:szCs w:val="28"/>
        </w:rPr>
        <w:t xml:space="preserve"> послуг міжнародних поштових відправлень.</w:t>
      </w:r>
    </w:p>
    <w:p w14:paraId="51FAFD98" w14:textId="79E49709" w:rsidR="00FA5466" w:rsidRPr="004F0DEB" w:rsidRDefault="00C705E3" w:rsidP="00706103">
      <w:pPr>
        <w:ind w:firstLine="709"/>
        <w:jc w:val="both"/>
        <w:rPr>
          <w:rStyle w:val="st1"/>
          <w:bCs/>
          <w:szCs w:val="28"/>
        </w:rPr>
      </w:pPr>
      <w:r w:rsidRPr="004F0DEB">
        <w:rPr>
          <w:rStyle w:val="st1"/>
          <w:bCs/>
          <w:szCs w:val="28"/>
        </w:rPr>
        <w:t>В</w:t>
      </w:r>
      <w:r w:rsidR="00285789" w:rsidRPr="004F0DEB">
        <w:rPr>
          <w:rStyle w:val="st1"/>
          <w:bCs/>
          <w:szCs w:val="28"/>
        </w:rPr>
        <w:t xml:space="preserve"> </w:t>
      </w:r>
      <w:proofErr w:type="spellStart"/>
      <w:r w:rsidR="00285789" w:rsidRPr="004F0DEB">
        <w:rPr>
          <w:rStyle w:val="st1"/>
          <w:bCs/>
          <w:szCs w:val="28"/>
        </w:rPr>
        <w:t>абз</w:t>
      </w:r>
      <w:proofErr w:type="spellEnd"/>
      <w:r w:rsidR="00285789" w:rsidRPr="004F0DEB">
        <w:rPr>
          <w:rStyle w:val="st1"/>
          <w:bCs/>
          <w:szCs w:val="28"/>
        </w:rPr>
        <w:t>. 6 п. 3</w:t>
      </w:r>
      <w:r w:rsidRPr="004F0DEB">
        <w:rPr>
          <w:rStyle w:val="st1"/>
          <w:bCs/>
          <w:szCs w:val="28"/>
        </w:rPr>
        <w:t xml:space="preserve"> пояснювальн</w:t>
      </w:r>
      <w:r w:rsidR="00285789" w:rsidRPr="004F0DEB">
        <w:rPr>
          <w:rStyle w:val="st1"/>
          <w:bCs/>
          <w:szCs w:val="28"/>
        </w:rPr>
        <w:t>ої</w:t>
      </w:r>
      <w:r w:rsidRPr="004F0DEB">
        <w:rPr>
          <w:rStyle w:val="st1"/>
          <w:bCs/>
          <w:szCs w:val="28"/>
        </w:rPr>
        <w:t xml:space="preserve"> запис</w:t>
      </w:r>
      <w:r w:rsidR="00285789" w:rsidRPr="004F0DEB">
        <w:rPr>
          <w:rStyle w:val="st1"/>
          <w:bCs/>
          <w:szCs w:val="28"/>
        </w:rPr>
        <w:t>ки зазначається про намагання зберегти і</w:t>
      </w:r>
      <w:r w:rsidR="00285789" w:rsidRPr="004F0DEB">
        <w:rPr>
          <w:rFonts w:eastAsia="Times New Roman"/>
          <w:szCs w:val="28"/>
          <w:shd w:val="clear" w:color="auto" w:fill="FFFFFF"/>
          <w:lang w:eastAsia="ru-RU"/>
        </w:rPr>
        <w:t xml:space="preserve">снуюче правове регулювання рівних конкурентних умов у сфері пересилання </w:t>
      </w:r>
      <w:r w:rsidR="00285789" w:rsidRPr="004F0DEB">
        <w:rPr>
          <w:rFonts w:eastAsia="Times New Roman"/>
          <w:szCs w:val="28"/>
          <w:lang w:eastAsia="uk-UA"/>
        </w:rPr>
        <w:t>міжнародних</w:t>
      </w:r>
      <w:r w:rsidR="00285789" w:rsidRPr="004F0DEB">
        <w:rPr>
          <w:rFonts w:eastAsia="Times New Roman"/>
          <w:szCs w:val="28"/>
          <w:shd w:val="clear" w:color="auto" w:fill="FFFFFF"/>
          <w:lang w:eastAsia="ru-RU"/>
        </w:rPr>
        <w:t xml:space="preserve"> поштових відправлень.</w:t>
      </w:r>
    </w:p>
    <w:p w14:paraId="063FE2CA" w14:textId="3FD2FBFD" w:rsidR="00E7387C" w:rsidRPr="004F0DEB" w:rsidRDefault="007F6719" w:rsidP="00E7387C">
      <w:pPr>
        <w:ind w:firstLine="709"/>
        <w:jc w:val="both"/>
        <w:rPr>
          <w:rStyle w:val="st1"/>
          <w:szCs w:val="28"/>
        </w:rPr>
      </w:pPr>
      <w:r w:rsidRPr="004F0DEB">
        <w:rPr>
          <w:rStyle w:val="st1"/>
          <w:bCs/>
          <w:szCs w:val="28"/>
        </w:rPr>
        <w:t>Головне управління підтримує</w:t>
      </w:r>
      <w:r w:rsidR="00E7387C" w:rsidRPr="004F0DEB">
        <w:rPr>
          <w:rStyle w:val="st1"/>
          <w:bCs/>
          <w:szCs w:val="28"/>
        </w:rPr>
        <w:t xml:space="preserve"> ініціативу запобігання проявам</w:t>
      </w:r>
      <w:r w:rsidR="00083CF5" w:rsidRPr="004F0DEB">
        <w:rPr>
          <w:rStyle w:val="st1"/>
          <w:bCs/>
          <w:szCs w:val="28"/>
        </w:rPr>
        <w:t xml:space="preserve"> </w:t>
      </w:r>
      <w:r w:rsidR="00E7387C" w:rsidRPr="004F0DEB">
        <w:rPr>
          <w:rStyle w:val="st1"/>
          <w:bCs/>
          <w:szCs w:val="28"/>
        </w:rPr>
        <w:t xml:space="preserve">монополізації на ринку послуг поштового зв’язку та звертає увагу на </w:t>
      </w:r>
      <w:r w:rsidR="00E7387C" w:rsidRPr="004F0DEB">
        <w:rPr>
          <w:rStyle w:val="st1"/>
          <w:szCs w:val="28"/>
        </w:rPr>
        <w:t>Рішення Суду Європейського Союзу у справі C-162/06 від 15.11.2007 (</w:t>
      </w:r>
      <w:proofErr w:type="spellStart"/>
      <w:r w:rsidR="00E7387C" w:rsidRPr="004F0DEB">
        <w:rPr>
          <w:rStyle w:val="st1"/>
          <w:szCs w:val="28"/>
        </w:rPr>
        <w:t>International</w:t>
      </w:r>
      <w:proofErr w:type="spellEnd"/>
      <w:r w:rsidR="00E7387C" w:rsidRPr="004F0DEB">
        <w:rPr>
          <w:rStyle w:val="st1"/>
          <w:szCs w:val="28"/>
        </w:rPr>
        <w:t xml:space="preserve"> </w:t>
      </w:r>
      <w:proofErr w:type="spellStart"/>
      <w:r w:rsidR="00E7387C" w:rsidRPr="004F0DEB">
        <w:rPr>
          <w:rStyle w:val="st1"/>
          <w:szCs w:val="28"/>
        </w:rPr>
        <w:t>Mail</w:t>
      </w:r>
      <w:proofErr w:type="spellEnd"/>
      <w:r w:rsidR="00E7387C" w:rsidRPr="004F0DEB">
        <w:rPr>
          <w:rStyle w:val="st1"/>
          <w:szCs w:val="28"/>
        </w:rPr>
        <w:t xml:space="preserve"> </w:t>
      </w:r>
      <w:proofErr w:type="spellStart"/>
      <w:r w:rsidR="00E7387C" w:rsidRPr="004F0DEB">
        <w:rPr>
          <w:rStyle w:val="st1"/>
          <w:szCs w:val="28"/>
        </w:rPr>
        <w:t>Spain</w:t>
      </w:r>
      <w:proofErr w:type="spellEnd"/>
      <w:r w:rsidR="00E7387C" w:rsidRPr="004F0DEB">
        <w:rPr>
          <w:rStyle w:val="st1"/>
          <w:szCs w:val="28"/>
        </w:rPr>
        <w:t xml:space="preserve"> SL проти Державної поштової Адміністрації)</w:t>
      </w:r>
      <w:r w:rsidR="00E7387C" w:rsidRPr="004F0DEB">
        <w:rPr>
          <w:rStyle w:val="af7"/>
          <w:szCs w:val="28"/>
        </w:rPr>
        <w:footnoteReference w:id="1"/>
      </w:r>
      <w:r w:rsidR="00E7387C" w:rsidRPr="004F0DEB">
        <w:rPr>
          <w:rStyle w:val="st1"/>
          <w:szCs w:val="28"/>
        </w:rPr>
        <w:t>, згідно з яким резервування міжнародної пошти за одним постачальником (наприклад – оператором універсальної послуги) доцільне лише у випадку, якщо за відсутності такого резервування під загрозою опиниться сталість надання універсальної послуги та фінансова безпека такого оператора або ж таке резервування є єдиною гарантією надання послуги міжнародних відправлень за економічно прийнятними умовами (</w:t>
      </w:r>
      <w:proofErr w:type="spellStart"/>
      <w:r w:rsidR="00E7387C" w:rsidRPr="004F0DEB">
        <w:rPr>
          <w:rStyle w:val="st1"/>
          <w:szCs w:val="28"/>
        </w:rPr>
        <w:t>п.п</w:t>
      </w:r>
      <w:proofErr w:type="spellEnd"/>
      <w:r w:rsidR="00E7387C" w:rsidRPr="004F0DEB">
        <w:rPr>
          <w:rStyle w:val="st1"/>
          <w:szCs w:val="28"/>
        </w:rPr>
        <w:t>. 41, 50 Рішення).</w:t>
      </w:r>
    </w:p>
    <w:p w14:paraId="0EF2EAFE" w14:textId="3126B6D2" w:rsidR="00004A7C" w:rsidRPr="004F0DEB" w:rsidRDefault="00004A7C" w:rsidP="00E7387C">
      <w:pPr>
        <w:ind w:firstLine="709"/>
        <w:jc w:val="both"/>
        <w:rPr>
          <w:rStyle w:val="st1"/>
          <w:szCs w:val="28"/>
        </w:rPr>
      </w:pPr>
      <w:r w:rsidRPr="004F0DEB">
        <w:rPr>
          <w:rStyle w:val="st1"/>
          <w:szCs w:val="28"/>
        </w:rPr>
        <w:t>1.4. Запропоноване оформлення прикінцевих положень проекту у вигляді статті (ст. 34),</w:t>
      </w:r>
      <w:r w:rsidR="00A61286" w:rsidRPr="004F0DEB">
        <w:rPr>
          <w:rStyle w:val="st1"/>
          <w:szCs w:val="28"/>
        </w:rPr>
        <w:t xml:space="preserve"> а</w:t>
      </w:r>
      <w:r w:rsidRPr="004F0DEB">
        <w:rPr>
          <w:rStyle w:val="st1"/>
          <w:szCs w:val="28"/>
        </w:rPr>
        <w:t xml:space="preserve"> не </w:t>
      </w:r>
      <w:r w:rsidR="00EC2103" w:rsidRPr="004F0DEB">
        <w:rPr>
          <w:rStyle w:val="st1"/>
          <w:szCs w:val="28"/>
        </w:rPr>
        <w:t xml:space="preserve">у вигляді </w:t>
      </w:r>
      <w:r w:rsidRPr="004F0DEB">
        <w:rPr>
          <w:rStyle w:val="st1"/>
          <w:szCs w:val="28"/>
        </w:rPr>
        <w:t>відповідного розділу (</w:t>
      </w:r>
      <w:r w:rsidR="001E053E" w:rsidRPr="004F0DEB">
        <w:rPr>
          <w:rStyle w:val="st1"/>
          <w:szCs w:val="28"/>
        </w:rPr>
        <w:t>р</w:t>
      </w:r>
      <w:r w:rsidRPr="004F0DEB">
        <w:rPr>
          <w:rStyle w:val="st1"/>
          <w:szCs w:val="28"/>
        </w:rPr>
        <w:t xml:space="preserve">озділ ІІ), на </w:t>
      </w:r>
      <w:r w:rsidR="00B44E75" w:rsidRPr="004F0DEB">
        <w:rPr>
          <w:rStyle w:val="st1"/>
          <w:szCs w:val="28"/>
          <w:lang w:val="ru-RU"/>
        </w:rPr>
        <w:t xml:space="preserve">нашу </w:t>
      </w:r>
      <w:r w:rsidRPr="004F0DEB">
        <w:rPr>
          <w:rStyle w:val="st1"/>
          <w:szCs w:val="28"/>
        </w:rPr>
        <w:t>думку, не узгоджується з усталеною практикою законодавчої техніки.</w:t>
      </w:r>
    </w:p>
    <w:p w14:paraId="4299E1C3" w14:textId="4EA132B4" w:rsidR="0083303E" w:rsidRPr="004F0DEB" w:rsidRDefault="0083303E" w:rsidP="00E7387C">
      <w:pPr>
        <w:ind w:firstLine="709"/>
        <w:jc w:val="both"/>
        <w:rPr>
          <w:rStyle w:val="st1"/>
          <w:szCs w:val="28"/>
          <w:lang w:val="ru-RU"/>
        </w:rPr>
      </w:pPr>
      <w:r w:rsidRPr="004F0DEB">
        <w:rPr>
          <w:rStyle w:val="st1"/>
          <w:b/>
          <w:bCs/>
          <w:szCs w:val="28"/>
        </w:rPr>
        <w:t>2.</w:t>
      </w:r>
      <w:r w:rsidRPr="004F0DEB">
        <w:rPr>
          <w:rStyle w:val="st1"/>
          <w:szCs w:val="28"/>
        </w:rPr>
        <w:t xml:space="preserve"> Щодо решти положень проекту, з огляду на їх </w:t>
      </w:r>
      <w:r w:rsidR="00173F94" w:rsidRPr="004F0DEB">
        <w:rPr>
          <w:rStyle w:val="st1"/>
          <w:szCs w:val="28"/>
        </w:rPr>
        <w:t xml:space="preserve">переважну </w:t>
      </w:r>
      <w:r w:rsidR="00285789" w:rsidRPr="004F0DEB">
        <w:rPr>
          <w:rStyle w:val="st1"/>
          <w:szCs w:val="28"/>
        </w:rPr>
        <w:t>тотожність</w:t>
      </w:r>
      <w:r w:rsidRPr="004F0DEB">
        <w:rPr>
          <w:rStyle w:val="st1"/>
          <w:szCs w:val="28"/>
        </w:rPr>
        <w:t xml:space="preserve"> редакції проекту № 4353, Головне управління вбачає за доцільне навести зауваження і пропозиції</w:t>
      </w:r>
      <w:r w:rsidR="00285789" w:rsidRPr="004F0DEB">
        <w:rPr>
          <w:rStyle w:val="st1"/>
          <w:szCs w:val="28"/>
        </w:rPr>
        <w:t>,</w:t>
      </w:r>
      <w:r w:rsidRPr="004F0DEB">
        <w:rPr>
          <w:rStyle w:val="st1"/>
          <w:szCs w:val="28"/>
        </w:rPr>
        <w:t xml:space="preserve"> висловлені </w:t>
      </w:r>
      <w:r w:rsidR="00173F94" w:rsidRPr="004F0DEB">
        <w:rPr>
          <w:rStyle w:val="st1"/>
          <w:szCs w:val="28"/>
        </w:rPr>
        <w:t>у попередньому висновку</w:t>
      </w:r>
      <w:r w:rsidR="00EC2103" w:rsidRPr="004F0DEB">
        <w:rPr>
          <w:rStyle w:val="st1"/>
          <w:szCs w:val="28"/>
        </w:rPr>
        <w:t xml:space="preserve"> до згаданого законопроекту</w:t>
      </w:r>
      <w:r w:rsidR="00B44E75" w:rsidRPr="004F0DEB">
        <w:rPr>
          <w:rStyle w:val="st1"/>
          <w:szCs w:val="28"/>
          <w:lang w:val="ru-RU"/>
        </w:rPr>
        <w:t>.</w:t>
      </w:r>
    </w:p>
    <w:p w14:paraId="499918F8" w14:textId="77777777" w:rsidR="00591F31" w:rsidRPr="004F0DEB" w:rsidRDefault="00591F31" w:rsidP="00591F31">
      <w:pPr>
        <w:numPr>
          <w:ilvl w:val="0"/>
          <w:numId w:val="7"/>
        </w:numPr>
        <w:suppressAutoHyphens w:val="0"/>
        <w:ind w:firstLine="709"/>
        <w:contextualSpacing/>
        <w:jc w:val="both"/>
        <w:rPr>
          <w:rFonts w:eastAsia="Calibri"/>
          <w:szCs w:val="28"/>
        </w:rPr>
      </w:pPr>
      <w:r w:rsidRPr="004F0DEB">
        <w:rPr>
          <w:rFonts w:eastAsia="Calibri"/>
          <w:szCs w:val="28"/>
        </w:rPr>
        <w:t xml:space="preserve">Враховуючи те, що Директивою унормовуються здебільшого </w:t>
      </w:r>
      <w:r w:rsidRPr="004F0DEB">
        <w:rPr>
          <w:rFonts w:eastAsia="Calibri"/>
          <w:i/>
          <w:iCs/>
          <w:szCs w:val="28"/>
        </w:rPr>
        <w:t>засади</w:t>
      </w:r>
      <w:r w:rsidRPr="004F0DEB">
        <w:rPr>
          <w:rFonts w:eastAsia="Calibri"/>
          <w:i/>
          <w:iCs/>
          <w:szCs w:val="28"/>
          <w:u w:val="single"/>
        </w:rPr>
        <w:t xml:space="preserve"> </w:t>
      </w:r>
      <w:r w:rsidRPr="004F0DEB">
        <w:rPr>
          <w:rFonts w:eastAsia="Calibri"/>
          <w:szCs w:val="28"/>
        </w:rPr>
        <w:t>відносин у секторі поштових послуг, деталізоване регулювання сфери поштового зв’язку із врахуванням особливостей національної правової системи мало б відображатись у відповідному законі України.</w:t>
      </w:r>
    </w:p>
    <w:p w14:paraId="115FC3CE" w14:textId="0687AB9E" w:rsidR="00591F31" w:rsidRPr="004F0DEB" w:rsidRDefault="00591F31" w:rsidP="00591F31">
      <w:pPr>
        <w:numPr>
          <w:ilvl w:val="0"/>
          <w:numId w:val="7"/>
        </w:numPr>
        <w:suppressAutoHyphens w:val="0"/>
        <w:ind w:firstLine="709"/>
        <w:contextualSpacing/>
        <w:jc w:val="both"/>
        <w:rPr>
          <w:rFonts w:ascii="Calibri" w:eastAsia="Calibri" w:hAnsi="Calibri" w:cs="Calibri"/>
          <w:bCs/>
          <w:szCs w:val="28"/>
        </w:rPr>
      </w:pPr>
      <w:r w:rsidRPr="004F0DEB">
        <w:rPr>
          <w:rFonts w:eastAsia="Calibri"/>
          <w:bCs/>
          <w:szCs w:val="28"/>
        </w:rPr>
        <w:t xml:space="preserve">Саме такий підхід узгоджувався б як із принципом </w:t>
      </w:r>
      <w:proofErr w:type="spellStart"/>
      <w:r w:rsidRPr="004F0DEB">
        <w:rPr>
          <w:rFonts w:eastAsia="Calibri"/>
          <w:bCs/>
          <w:szCs w:val="28"/>
        </w:rPr>
        <w:t>субсидіарності</w:t>
      </w:r>
      <w:proofErr w:type="spellEnd"/>
      <w:r w:rsidRPr="004F0DEB">
        <w:rPr>
          <w:rFonts w:eastAsia="Calibri"/>
          <w:bCs/>
          <w:szCs w:val="28"/>
        </w:rPr>
        <w:t>, на якому наголошується у п. 10 преамбули Директиви (на рівні Співтовариства регламентуються загальні принципи, в той час як деталізовані процедури регламентуватимуться державами-членами на національних рівнях), так і з приписами п. «</w:t>
      </w:r>
      <w:r w:rsidRPr="004F0DEB">
        <w:rPr>
          <w:rFonts w:eastAsia="Calibri"/>
          <w:bCs/>
          <w:szCs w:val="28"/>
          <w:lang w:val="en-US"/>
        </w:rPr>
        <w:t>b</w:t>
      </w:r>
      <w:r w:rsidRPr="001876BD">
        <w:rPr>
          <w:rFonts w:eastAsia="Calibri"/>
          <w:bCs/>
          <w:szCs w:val="28"/>
        </w:rPr>
        <w:t xml:space="preserve">» ч. 2 ст. 2 Додатку </w:t>
      </w:r>
      <w:r w:rsidRPr="001876BD">
        <w:rPr>
          <w:rFonts w:eastAsia="Calibri"/>
          <w:bCs/>
          <w:szCs w:val="28"/>
          <w:lang w:val="en-US"/>
        </w:rPr>
        <w:t>XVII</w:t>
      </w:r>
      <w:r w:rsidRPr="001876BD">
        <w:rPr>
          <w:rFonts w:eastAsia="Calibri"/>
          <w:bCs/>
          <w:szCs w:val="28"/>
        </w:rPr>
        <w:t xml:space="preserve"> «Нормативно-правове наближення»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(ратифіковано із заявою Законом України </w:t>
      </w:r>
      <w:r w:rsidR="00946F34" w:rsidRPr="001876BD">
        <w:rPr>
          <w:rFonts w:eastAsia="Calibri"/>
          <w:bCs/>
          <w:szCs w:val="28"/>
        </w:rPr>
        <w:t xml:space="preserve">від </w:t>
      </w:r>
      <w:r w:rsidR="001876BD" w:rsidRPr="001876BD">
        <w:rPr>
          <w:rFonts w:eastAsia="Calibri"/>
          <w:bCs/>
          <w:szCs w:val="28"/>
          <w:lang w:val="ru-RU"/>
        </w:rPr>
        <w:t xml:space="preserve">16.09.2014 </w:t>
      </w:r>
      <w:r w:rsidR="001876BD" w:rsidRPr="001876BD">
        <w:rPr>
          <w:rFonts w:eastAsia="Calibri"/>
          <w:bCs/>
          <w:szCs w:val="28"/>
          <w:lang w:val="ru-RU"/>
        </w:rPr>
        <w:br/>
      </w:r>
      <w:r w:rsidR="001876BD" w:rsidRPr="001876BD">
        <w:rPr>
          <w:rFonts w:eastAsia="Calibri"/>
          <w:bCs/>
          <w:szCs w:val="28"/>
        </w:rPr>
        <w:t>№ 1678-VII</w:t>
      </w:r>
      <w:r w:rsidRPr="001876BD">
        <w:rPr>
          <w:rFonts w:eastAsia="Calibri"/>
          <w:bCs/>
          <w:szCs w:val="28"/>
        </w:rPr>
        <w:t xml:space="preserve">) (далі – Угода про асоціацію), згідно з якими положення відповідних Директив ЄС мають стати частиною національного законодавства України </w:t>
      </w:r>
      <w:r w:rsidRPr="001876BD">
        <w:rPr>
          <w:rFonts w:eastAsia="Calibri"/>
          <w:bCs/>
          <w:i/>
          <w:iCs/>
          <w:szCs w:val="28"/>
        </w:rPr>
        <w:t>у формі та у спосіб, визначені</w:t>
      </w:r>
      <w:r w:rsidRPr="004F0DEB">
        <w:rPr>
          <w:rFonts w:eastAsia="Calibri"/>
          <w:bCs/>
          <w:i/>
          <w:iCs/>
          <w:szCs w:val="28"/>
        </w:rPr>
        <w:t xml:space="preserve"> компетентними органами України</w:t>
      </w:r>
      <w:r w:rsidRPr="004F0DEB">
        <w:rPr>
          <w:rFonts w:eastAsia="Calibri"/>
          <w:bCs/>
          <w:szCs w:val="28"/>
        </w:rPr>
        <w:t>.</w:t>
      </w:r>
    </w:p>
    <w:p w14:paraId="21E763EB" w14:textId="03F3F7C8" w:rsidR="00591F31" w:rsidRPr="004F0DEB" w:rsidRDefault="00591F31" w:rsidP="00591F31">
      <w:pPr>
        <w:numPr>
          <w:ilvl w:val="0"/>
          <w:numId w:val="7"/>
        </w:numPr>
        <w:suppressAutoHyphens w:val="0"/>
        <w:ind w:firstLine="709"/>
        <w:contextualSpacing/>
        <w:jc w:val="both"/>
        <w:rPr>
          <w:rFonts w:ascii="Calibri" w:eastAsia="Calibri" w:hAnsi="Calibri" w:cs="Calibri"/>
          <w:szCs w:val="28"/>
        </w:rPr>
      </w:pPr>
      <w:r w:rsidRPr="004F0DEB">
        <w:rPr>
          <w:rFonts w:eastAsia="Calibri"/>
          <w:bCs/>
          <w:szCs w:val="28"/>
        </w:rPr>
        <w:t xml:space="preserve">Натомість, у проекті зазначена деталізація відсутня, а значній частині  положень притаманний декларативний характер, що в результаті матиме певні ознаки формального дотримання зобов’язань, передбачених в підрозділі 4 «Поштові та </w:t>
      </w:r>
      <w:r w:rsidRPr="001876BD">
        <w:rPr>
          <w:rFonts w:eastAsia="Calibri"/>
          <w:bCs/>
          <w:szCs w:val="28"/>
        </w:rPr>
        <w:t>кур’єрські послуги» ч. 5 гл</w:t>
      </w:r>
      <w:r w:rsidR="00946F34" w:rsidRPr="001876BD">
        <w:rPr>
          <w:rFonts w:eastAsia="Calibri"/>
          <w:bCs/>
          <w:szCs w:val="28"/>
        </w:rPr>
        <w:t>ави</w:t>
      </w:r>
      <w:r w:rsidRPr="001876BD">
        <w:rPr>
          <w:rFonts w:eastAsia="Calibri"/>
          <w:bCs/>
          <w:szCs w:val="28"/>
        </w:rPr>
        <w:t xml:space="preserve"> 6 розділу </w:t>
      </w:r>
      <w:r w:rsidRPr="001876BD">
        <w:rPr>
          <w:rFonts w:eastAsia="Calibri"/>
          <w:bCs/>
          <w:szCs w:val="28"/>
          <w:lang w:val="en-US"/>
        </w:rPr>
        <w:t>IV</w:t>
      </w:r>
      <w:r w:rsidRPr="001876BD">
        <w:rPr>
          <w:rFonts w:eastAsia="Calibri"/>
          <w:bCs/>
          <w:szCs w:val="28"/>
        </w:rPr>
        <w:t xml:space="preserve">  (</w:t>
      </w:r>
      <w:proofErr w:type="spellStart"/>
      <w:r w:rsidRPr="001876BD">
        <w:rPr>
          <w:rFonts w:eastAsia="Calibri"/>
          <w:bCs/>
          <w:szCs w:val="28"/>
        </w:rPr>
        <w:t>ст.ст</w:t>
      </w:r>
      <w:proofErr w:type="spellEnd"/>
      <w:r w:rsidRPr="001876BD">
        <w:rPr>
          <w:rFonts w:eastAsia="Calibri"/>
          <w:bCs/>
          <w:szCs w:val="28"/>
        </w:rPr>
        <w:t>. 109-114) Угоди про асоціацію</w:t>
      </w:r>
      <w:r w:rsidRPr="001876BD">
        <w:rPr>
          <w:rFonts w:eastAsia="Calibri"/>
          <w:szCs w:val="28"/>
        </w:rPr>
        <w:t>.</w:t>
      </w:r>
    </w:p>
    <w:p w14:paraId="44F0FD0C" w14:textId="77777777" w:rsidR="00591F31" w:rsidRPr="004F0DEB" w:rsidRDefault="00591F31" w:rsidP="00591F31">
      <w:pPr>
        <w:numPr>
          <w:ilvl w:val="0"/>
          <w:numId w:val="7"/>
        </w:numPr>
        <w:suppressAutoHyphens w:val="0"/>
        <w:ind w:firstLine="709"/>
        <w:contextualSpacing/>
        <w:jc w:val="both"/>
        <w:rPr>
          <w:rFonts w:ascii="Calibri" w:eastAsia="Calibri" w:hAnsi="Calibri" w:cs="Calibri"/>
          <w:szCs w:val="28"/>
        </w:rPr>
      </w:pPr>
      <w:r w:rsidRPr="004F0DEB">
        <w:rPr>
          <w:rFonts w:eastAsia="Calibri"/>
          <w:b/>
          <w:bCs/>
          <w:szCs w:val="28"/>
          <w:lang w:val="ru-RU"/>
        </w:rPr>
        <w:lastRenderedPageBreak/>
        <w:t>3</w:t>
      </w:r>
      <w:r w:rsidRPr="004F0DEB">
        <w:rPr>
          <w:rFonts w:eastAsia="Calibri"/>
          <w:b/>
          <w:bCs/>
          <w:szCs w:val="28"/>
        </w:rPr>
        <w:t>.</w:t>
      </w:r>
      <w:r w:rsidRPr="004F0DEB">
        <w:rPr>
          <w:rFonts w:eastAsia="Calibri"/>
          <w:bCs/>
          <w:szCs w:val="28"/>
        </w:rPr>
        <w:t xml:space="preserve"> Викликає зауваження запропонований в ст. 1 </w:t>
      </w:r>
      <w:proofErr w:type="spellStart"/>
      <w:r w:rsidRPr="004F0DEB">
        <w:rPr>
          <w:rFonts w:eastAsia="Calibri"/>
          <w:bCs/>
          <w:szCs w:val="28"/>
        </w:rPr>
        <w:t>понятійно</w:t>
      </w:r>
      <w:proofErr w:type="spellEnd"/>
      <w:r w:rsidRPr="004F0DEB">
        <w:rPr>
          <w:rFonts w:eastAsia="Calibri"/>
          <w:bCs/>
          <w:szCs w:val="28"/>
        </w:rPr>
        <w:t>-категорійний апарат проекту.</w:t>
      </w:r>
    </w:p>
    <w:p w14:paraId="6C28848E" w14:textId="77777777" w:rsidR="00591F31" w:rsidRPr="001876BD" w:rsidRDefault="00591F31" w:rsidP="00591F31">
      <w:pPr>
        <w:numPr>
          <w:ilvl w:val="0"/>
          <w:numId w:val="7"/>
        </w:numPr>
        <w:suppressAutoHyphens w:val="0"/>
        <w:ind w:firstLine="709"/>
        <w:jc w:val="both"/>
        <w:rPr>
          <w:rFonts w:eastAsia="Calibri"/>
          <w:bCs/>
          <w:szCs w:val="28"/>
        </w:rPr>
      </w:pPr>
      <w:r w:rsidRPr="004F0DEB">
        <w:rPr>
          <w:rFonts w:eastAsia="Calibri"/>
          <w:bCs/>
          <w:szCs w:val="28"/>
          <w:lang w:val="ru-RU"/>
        </w:rPr>
        <w:t>3</w:t>
      </w:r>
      <w:r w:rsidRPr="004F0DEB">
        <w:rPr>
          <w:rFonts w:eastAsia="Calibri"/>
          <w:bCs/>
          <w:szCs w:val="28"/>
        </w:rPr>
        <w:t>.1. У визначенні «послуги поштового зв’язку» (</w:t>
      </w:r>
      <w:proofErr w:type="spellStart"/>
      <w:r w:rsidRPr="004F0DEB">
        <w:rPr>
          <w:rFonts w:eastAsia="Calibri"/>
          <w:bCs/>
          <w:szCs w:val="28"/>
        </w:rPr>
        <w:t>абз</w:t>
      </w:r>
      <w:proofErr w:type="spellEnd"/>
      <w:r w:rsidRPr="004F0DEB">
        <w:rPr>
          <w:rFonts w:eastAsia="Calibri"/>
          <w:bCs/>
          <w:szCs w:val="28"/>
        </w:rPr>
        <w:t>. 29 ч. 1) до такої діяльності пропонується віднести серед іншого «виконання поштових переказів» із подальшим врегулюванням зазначених відносин у проекті. З цього приводу звертаємо увагу на те, що згідно із Рішенням Суду Європейського Союзу у справі C</w:t>
      </w:r>
      <w:r w:rsidRPr="004F0DEB">
        <w:rPr>
          <w:rFonts w:eastAsia="Calibri"/>
          <w:bCs/>
          <w:szCs w:val="28"/>
        </w:rPr>
        <w:noBreakHyphen/>
        <w:t>185/14 від 22.10.2015 («</w:t>
      </w:r>
      <w:proofErr w:type="spellStart"/>
      <w:r w:rsidRPr="004F0DEB">
        <w:rPr>
          <w:rFonts w:eastAsia="Calibri"/>
          <w:bCs/>
          <w:szCs w:val="28"/>
        </w:rPr>
        <w:t>EasyPay</w:t>
      </w:r>
      <w:proofErr w:type="spellEnd"/>
      <w:r w:rsidRPr="004F0DEB">
        <w:rPr>
          <w:rFonts w:eastAsia="Calibri"/>
          <w:bCs/>
          <w:szCs w:val="28"/>
        </w:rPr>
        <w:t>» AD та «</w:t>
      </w:r>
      <w:proofErr w:type="spellStart"/>
      <w:r w:rsidRPr="004F0DEB">
        <w:rPr>
          <w:rFonts w:eastAsia="Calibri"/>
          <w:bCs/>
          <w:szCs w:val="28"/>
        </w:rPr>
        <w:t>Finance</w:t>
      </w:r>
      <w:proofErr w:type="spellEnd"/>
      <w:r w:rsidRPr="004F0DEB">
        <w:rPr>
          <w:rFonts w:eastAsia="Calibri"/>
          <w:bCs/>
          <w:szCs w:val="28"/>
        </w:rPr>
        <w:t xml:space="preserve"> </w:t>
      </w:r>
      <w:proofErr w:type="spellStart"/>
      <w:r w:rsidRPr="004F0DEB">
        <w:rPr>
          <w:rFonts w:eastAsia="Calibri"/>
          <w:bCs/>
          <w:szCs w:val="28"/>
        </w:rPr>
        <w:t>Engineering</w:t>
      </w:r>
      <w:proofErr w:type="spellEnd"/>
      <w:r w:rsidRPr="004F0DEB">
        <w:rPr>
          <w:rFonts w:eastAsia="Calibri"/>
          <w:bCs/>
          <w:szCs w:val="28"/>
        </w:rPr>
        <w:t xml:space="preserve">» AD проти Ради Міністрів Республіки Болгарія та Національного інституту соціального забезпечення) «послуги </w:t>
      </w:r>
      <w:r w:rsidRPr="001876BD">
        <w:rPr>
          <w:rFonts w:eastAsia="Calibri"/>
          <w:bCs/>
          <w:szCs w:val="28"/>
        </w:rPr>
        <w:t>з переказу грошей, зокрема – виплати через поштову мережу фізичним та юридичним особам за дорученням третьої сторони не відносяться до сфери регулювання Директиви» (п. 32 рішення)</w:t>
      </w:r>
      <w:r w:rsidRPr="001876BD">
        <w:rPr>
          <w:rFonts w:eastAsia="Calibri"/>
          <w:bCs/>
          <w:szCs w:val="28"/>
          <w:vertAlign w:val="superscript"/>
        </w:rPr>
        <w:footnoteReference w:id="2"/>
      </w:r>
      <w:r w:rsidRPr="001876BD">
        <w:rPr>
          <w:rFonts w:eastAsia="Calibri"/>
          <w:bCs/>
          <w:szCs w:val="28"/>
        </w:rPr>
        <w:t>. Аналогічні зауваження стосуються й ч. 4 ст. 15 проекту.</w:t>
      </w:r>
    </w:p>
    <w:p w14:paraId="69723B90" w14:textId="53CC5942" w:rsidR="00591F31" w:rsidRPr="004F0DEB" w:rsidRDefault="00591F31" w:rsidP="00591F31">
      <w:pPr>
        <w:suppressAutoHyphens w:val="0"/>
        <w:ind w:firstLine="709"/>
        <w:jc w:val="both"/>
        <w:rPr>
          <w:rFonts w:eastAsia="Calibri"/>
          <w:szCs w:val="28"/>
        </w:rPr>
      </w:pPr>
      <w:r w:rsidRPr="001876BD">
        <w:rPr>
          <w:rFonts w:eastAsia="Calibri"/>
          <w:szCs w:val="28"/>
        </w:rPr>
        <w:t>3.2. Деякі терміни потребують корегування, зокрема</w:t>
      </w:r>
      <w:r w:rsidR="00946F34" w:rsidRPr="001876BD">
        <w:rPr>
          <w:rFonts w:eastAsia="Calibri"/>
          <w:szCs w:val="28"/>
        </w:rPr>
        <w:t>,</w:t>
      </w:r>
      <w:r w:rsidRPr="001876BD">
        <w:rPr>
          <w:rFonts w:eastAsia="Calibri"/>
          <w:szCs w:val="28"/>
        </w:rPr>
        <w:t xml:space="preserve"> це стосується запропонованого у ст. 1 законопроекту терміну «відправлення </w:t>
      </w:r>
      <w:r w:rsidR="00946F34" w:rsidRPr="001876BD">
        <w:rPr>
          <w:rFonts w:eastAsia="Calibri"/>
          <w:szCs w:val="28"/>
        </w:rPr>
        <w:t>для сліпих».</w:t>
      </w:r>
      <w:r w:rsidR="00946F34" w:rsidRPr="001876BD">
        <w:rPr>
          <w:rFonts w:eastAsia="Calibri"/>
          <w:szCs w:val="28"/>
        </w:rPr>
        <w:br/>
      </w:r>
      <w:r w:rsidRPr="001876BD">
        <w:rPr>
          <w:rFonts w:eastAsia="Calibri"/>
          <w:szCs w:val="28"/>
        </w:rPr>
        <w:t>У чинному законодавстві України змінено підхід до термінології, пов’язаної із питаннями статусу осіб з інвалідністю, дітей з інвалідністю. Більш прийнятими і коректними є словосполучення «особи з інвалідністю, які мають порушення зору», «особи з порушеннями зору», що вже має застосування у</w:t>
      </w:r>
      <w:r w:rsidRPr="004F0DEB">
        <w:rPr>
          <w:rFonts w:eastAsia="Calibri"/>
          <w:szCs w:val="28"/>
        </w:rPr>
        <w:t xml:space="preserve"> законах України «Про соціальні послуги» (ст.16), «Про освіту» (ст.13)  та ін.</w:t>
      </w:r>
    </w:p>
    <w:p w14:paraId="5E63E671" w14:textId="77777777" w:rsidR="00591F31" w:rsidRPr="004F0DEB" w:rsidRDefault="00591F31" w:rsidP="00591F31">
      <w:pPr>
        <w:numPr>
          <w:ilvl w:val="0"/>
          <w:numId w:val="7"/>
        </w:numPr>
        <w:suppressAutoHyphens w:val="0"/>
        <w:ind w:firstLine="709"/>
        <w:jc w:val="both"/>
        <w:rPr>
          <w:rFonts w:eastAsia="Calibri"/>
          <w:bCs/>
          <w:szCs w:val="28"/>
        </w:rPr>
      </w:pPr>
      <w:r w:rsidRPr="004F0DEB">
        <w:rPr>
          <w:rFonts w:eastAsia="Calibri"/>
          <w:bCs/>
          <w:szCs w:val="28"/>
          <w:lang w:val="ru-RU"/>
        </w:rPr>
        <w:t>3</w:t>
      </w:r>
      <w:r w:rsidRPr="004F0DEB">
        <w:rPr>
          <w:rFonts w:eastAsia="Calibri"/>
          <w:bCs/>
          <w:szCs w:val="28"/>
        </w:rPr>
        <w:t xml:space="preserve">.3. У проекті простежується неузгодженість дефініцій із </w:t>
      </w:r>
      <w:proofErr w:type="spellStart"/>
      <w:r w:rsidRPr="004F0DEB">
        <w:rPr>
          <w:rFonts w:eastAsia="Calibri"/>
          <w:bCs/>
          <w:szCs w:val="28"/>
        </w:rPr>
        <w:t>понятійно</w:t>
      </w:r>
      <w:proofErr w:type="spellEnd"/>
      <w:r w:rsidRPr="004F0DEB">
        <w:rPr>
          <w:rFonts w:eastAsia="Calibri"/>
          <w:bCs/>
          <w:szCs w:val="28"/>
        </w:rPr>
        <w:t>-категорійним апаратом Директиви (ст. 2), що може ускладнити подальше уніфіковане правозастосування.</w:t>
      </w:r>
    </w:p>
    <w:p w14:paraId="398C62CE" w14:textId="7CDA12CD" w:rsidR="00591F31" w:rsidRPr="001876BD" w:rsidRDefault="00591F31" w:rsidP="00591F31">
      <w:pPr>
        <w:numPr>
          <w:ilvl w:val="0"/>
          <w:numId w:val="7"/>
        </w:numPr>
        <w:suppressAutoHyphens w:val="0"/>
        <w:ind w:firstLine="709"/>
        <w:jc w:val="both"/>
        <w:rPr>
          <w:rFonts w:eastAsia="Calibri"/>
          <w:bCs/>
          <w:szCs w:val="28"/>
        </w:rPr>
      </w:pPr>
      <w:r w:rsidRPr="001876BD">
        <w:rPr>
          <w:rFonts w:eastAsia="Calibri"/>
          <w:bCs/>
          <w:szCs w:val="28"/>
        </w:rPr>
        <w:t xml:space="preserve">На відміну від відокремлених в Директиві процесів «виймання» </w:t>
      </w:r>
      <w:r w:rsidR="00F60AD1">
        <w:rPr>
          <w:rFonts w:eastAsia="Calibri"/>
          <w:bCs/>
          <w:szCs w:val="28"/>
        </w:rPr>
        <w:t xml:space="preserve">                                 </w:t>
      </w:r>
      <w:r w:rsidRPr="001876BD">
        <w:rPr>
          <w:rFonts w:eastAsia="Calibri"/>
          <w:bCs/>
          <w:szCs w:val="28"/>
        </w:rPr>
        <w:t>(п. 4 ст. 2) та «видачі» (п. 5 ст. 2) відправлень, у проекті запропоноване єдине визначення «пересилання поштових відправлень» (</w:t>
      </w:r>
      <w:proofErr w:type="spellStart"/>
      <w:r w:rsidRPr="001876BD">
        <w:rPr>
          <w:rFonts w:eastAsia="Calibri"/>
          <w:bCs/>
          <w:szCs w:val="28"/>
        </w:rPr>
        <w:t>абз</w:t>
      </w:r>
      <w:proofErr w:type="spellEnd"/>
      <w:r w:rsidRPr="001876BD">
        <w:rPr>
          <w:rFonts w:eastAsia="Calibri"/>
          <w:bCs/>
          <w:szCs w:val="28"/>
        </w:rPr>
        <w:t>. 26 ч.</w:t>
      </w:r>
      <w:r w:rsidR="00946F34" w:rsidRPr="001876BD">
        <w:rPr>
          <w:rFonts w:eastAsia="Calibri"/>
          <w:bCs/>
          <w:szCs w:val="28"/>
        </w:rPr>
        <w:t xml:space="preserve"> </w:t>
      </w:r>
      <w:r w:rsidRPr="001876BD">
        <w:rPr>
          <w:rFonts w:eastAsia="Calibri"/>
          <w:bCs/>
          <w:szCs w:val="28"/>
        </w:rPr>
        <w:t>1).</w:t>
      </w:r>
    </w:p>
    <w:p w14:paraId="59B745F0" w14:textId="60D17A05" w:rsidR="00591F31" w:rsidRPr="001876BD" w:rsidRDefault="00591F31" w:rsidP="00591F31">
      <w:pPr>
        <w:numPr>
          <w:ilvl w:val="0"/>
          <w:numId w:val="7"/>
        </w:numPr>
        <w:suppressAutoHyphens w:val="0"/>
        <w:ind w:firstLine="709"/>
        <w:jc w:val="both"/>
        <w:rPr>
          <w:rFonts w:eastAsia="Calibri"/>
          <w:bCs/>
          <w:szCs w:val="28"/>
        </w:rPr>
      </w:pPr>
      <w:r w:rsidRPr="001876BD">
        <w:rPr>
          <w:rFonts w:eastAsia="Calibri"/>
          <w:bCs/>
          <w:szCs w:val="28"/>
        </w:rPr>
        <w:t>Аналогом зазначеної в Директиві «одиниці кореспонденції» (п. 7 ст. 2) в законопроекті виступає «письмова кореспонденція» (</w:t>
      </w:r>
      <w:proofErr w:type="spellStart"/>
      <w:r w:rsidRPr="001876BD">
        <w:rPr>
          <w:rFonts w:eastAsia="Calibri"/>
          <w:bCs/>
          <w:szCs w:val="28"/>
        </w:rPr>
        <w:t>абз</w:t>
      </w:r>
      <w:proofErr w:type="spellEnd"/>
      <w:r w:rsidRPr="001876BD">
        <w:rPr>
          <w:rFonts w:eastAsia="Calibri"/>
          <w:bCs/>
          <w:szCs w:val="28"/>
        </w:rPr>
        <w:t>. 27 ч. 1). Проте, якщо у Директиві до такої категорії не включаються «книги, каталоги, газети та періодичні видання», то у проекті під зазначене визначення підпадатимуть «мішки «М»</w:t>
      </w:r>
      <w:r w:rsidR="00946F34" w:rsidRPr="001876BD">
        <w:rPr>
          <w:rFonts w:eastAsia="Calibri"/>
          <w:bCs/>
          <w:szCs w:val="28"/>
        </w:rPr>
        <w:t>»</w:t>
      </w:r>
      <w:r w:rsidRPr="001876BD">
        <w:rPr>
          <w:rFonts w:eastAsia="Calibri"/>
          <w:bCs/>
          <w:szCs w:val="28"/>
        </w:rPr>
        <w:t xml:space="preserve"> та «відправлення для сліпих».</w:t>
      </w:r>
    </w:p>
    <w:p w14:paraId="6702DE81" w14:textId="00D63C4F" w:rsidR="00591F31" w:rsidRPr="001876BD" w:rsidRDefault="00591F31" w:rsidP="00591F31">
      <w:pPr>
        <w:numPr>
          <w:ilvl w:val="0"/>
          <w:numId w:val="7"/>
        </w:numPr>
        <w:suppressAutoHyphens w:val="0"/>
        <w:ind w:firstLine="709"/>
        <w:jc w:val="both"/>
        <w:rPr>
          <w:rFonts w:eastAsia="Calibri"/>
          <w:bCs/>
          <w:szCs w:val="28"/>
        </w:rPr>
      </w:pPr>
      <w:r w:rsidRPr="001876BD">
        <w:rPr>
          <w:rFonts w:eastAsia="Calibri"/>
          <w:bCs/>
          <w:szCs w:val="28"/>
        </w:rPr>
        <w:t xml:space="preserve">Простежується </w:t>
      </w:r>
      <w:r w:rsidRPr="001876BD">
        <w:rPr>
          <w:rFonts w:eastAsia="Calibri"/>
          <w:bCs/>
          <w:i/>
          <w:iCs/>
          <w:szCs w:val="28"/>
        </w:rPr>
        <w:t>невідповідність</w:t>
      </w:r>
      <w:r w:rsidRPr="001876BD">
        <w:rPr>
          <w:rFonts w:eastAsia="Calibri"/>
          <w:bCs/>
          <w:szCs w:val="28"/>
        </w:rPr>
        <w:t xml:space="preserve"> у підходах до визначення вагових характеристик окремих</w:t>
      </w:r>
      <w:r w:rsidRPr="004F0DEB">
        <w:rPr>
          <w:rFonts w:eastAsia="Calibri"/>
          <w:bCs/>
          <w:szCs w:val="28"/>
        </w:rPr>
        <w:t xml:space="preserve"> поштових послуг. Зокрема, в ст. 3 Директиви, якою закріплюються гарантії надання універсальної послуги, в ч. 4 унормовано вагові критерії послуг «поштових відправлень» (до 2 кг) та «посилок» </w:t>
      </w:r>
      <w:r w:rsidR="00946F34">
        <w:rPr>
          <w:rFonts w:eastAsia="Calibri"/>
          <w:bCs/>
          <w:szCs w:val="28"/>
        </w:rPr>
        <w:br/>
      </w:r>
      <w:r w:rsidRPr="004F0DEB">
        <w:rPr>
          <w:rFonts w:eastAsia="Calibri"/>
          <w:bCs/>
          <w:szCs w:val="28"/>
        </w:rPr>
        <w:t>(до 10 кг). При цьому, Директивою передбачена можливість корегування ваги посилок на національному рівні в бік збільшення «до 20 кг» (п. 5 ст. 3). У той же час, визначені в проекті «поштові відправлення» (</w:t>
      </w:r>
      <w:proofErr w:type="spellStart"/>
      <w:r w:rsidRPr="004F0DEB">
        <w:rPr>
          <w:rFonts w:eastAsia="Calibri"/>
          <w:bCs/>
          <w:szCs w:val="28"/>
        </w:rPr>
        <w:t>абз</w:t>
      </w:r>
      <w:proofErr w:type="spellEnd"/>
      <w:r w:rsidRPr="004F0DEB">
        <w:rPr>
          <w:rFonts w:eastAsia="Calibri"/>
          <w:bCs/>
          <w:szCs w:val="28"/>
        </w:rPr>
        <w:t>. 37 ч. 1) включатимуть відправлення «</w:t>
      </w:r>
      <w:r w:rsidRPr="004F0DEB">
        <w:rPr>
          <w:rFonts w:eastAsia="Calibri"/>
          <w:bCs/>
          <w:szCs w:val="28"/>
          <w:lang w:val="en-US"/>
        </w:rPr>
        <w:t>EMS</w:t>
      </w:r>
      <w:r w:rsidRPr="004F0DEB">
        <w:rPr>
          <w:rFonts w:eastAsia="Calibri"/>
          <w:bCs/>
          <w:szCs w:val="28"/>
        </w:rPr>
        <w:t>» (</w:t>
      </w:r>
      <w:proofErr w:type="spellStart"/>
      <w:r w:rsidRPr="004F0DEB">
        <w:rPr>
          <w:rFonts w:eastAsia="Calibri"/>
          <w:bCs/>
          <w:szCs w:val="28"/>
        </w:rPr>
        <w:t>абз</w:t>
      </w:r>
      <w:proofErr w:type="spellEnd"/>
      <w:r w:rsidRPr="004F0DEB">
        <w:rPr>
          <w:rFonts w:eastAsia="Calibri"/>
          <w:bCs/>
          <w:szCs w:val="28"/>
        </w:rPr>
        <w:t xml:space="preserve">. 9 ч. 1) вагою до 30 кг., в той час як вагою у 2 кг згідно з </w:t>
      </w:r>
      <w:r w:rsidRPr="001876BD">
        <w:rPr>
          <w:rFonts w:eastAsia="Calibri"/>
          <w:bCs/>
          <w:szCs w:val="28"/>
        </w:rPr>
        <w:t>проектом (</w:t>
      </w:r>
      <w:proofErr w:type="spellStart"/>
      <w:r w:rsidRPr="001876BD">
        <w:rPr>
          <w:rFonts w:eastAsia="Calibri"/>
          <w:bCs/>
          <w:szCs w:val="28"/>
        </w:rPr>
        <w:t>абз</w:t>
      </w:r>
      <w:proofErr w:type="spellEnd"/>
      <w:r w:rsidRPr="001876BD">
        <w:rPr>
          <w:rFonts w:eastAsia="Calibri"/>
          <w:bCs/>
          <w:szCs w:val="28"/>
        </w:rPr>
        <w:t>. 10 ч. 1) важитимуть «дрібні пакети», які, в свою чергу, віднесен</w:t>
      </w:r>
      <w:r w:rsidR="00946F34" w:rsidRPr="001876BD">
        <w:rPr>
          <w:rFonts w:eastAsia="Calibri"/>
          <w:bCs/>
          <w:szCs w:val="28"/>
        </w:rPr>
        <w:t>і</w:t>
      </w:r>
      <w:r w:rsidRPr="001876BD">
        <w:rPr>
          <w:rFonts w:eastAsia="Calibri"/>
          <w:bCs/>
          <w:szCs w:val="28"/>
        </w:rPr>
        <w:t xml:space="preserve"> до «письмової кореспонденції» (</w:t>
      </w:r>
      <w:proofErr w:type="spellStart"/>
      <w:r w:rsidRPr="001876BD">
        <w:rPr>
          <w:rFonts w:eastAsia="Calibri"/>
          <w:bCs/>
          <w:szCs w:val="28"/>
        </w:rPr>
        <w:t>абз</w:t>
      </w:r>
      <w:proofErr w:type="spellEnd"/>
      <w:r w:rsidRPr="001876BD">
        <w:rPr>
          <w:rFonts w:eastAsia="Calibri"/>
          <w:bCs/>
          <w:szCs w:val="28"/>
        </w:rPr>
        <w:t>. 27 ч. 1).</w:t>
      </w:r>
    </w:p>
    <w:p w14:paraId="741EDE4A" w14:textId="5E5ED7EE" w:rsidR="00591F31" w:rsidRPr="001876BD" w:rsidRDefault="00591F31" w:rsidP="00591F31">
      <w:pPr>
        <w:ind w:firstLine="709"/>
        <w:jc w:val="both"/>
        <w:rPr>
          <w:rFonts w:eastAsia="Calibri"/>
          <w:bCs/>
          <w:szCs w:val="28"/>
        </w:rPr>
      </w:pPr>
      <w:r w:rsidRPr="001876BD">
        <w:rPr>
          <w:rFonts w:eastAsia="Calibri"/>
          <w:bCs/>
          <w:szCs w:val="28"/>
          <w:lang w:val="ru-RU"/>
        </w:rPr>
        <w:t>3</w:t>
      </w:r>
      <w:r w:rsidRPr="001876BD">
        <w:rPr>
          <w:rFonts w:eastAsia="Calibri"/>
          <w:bCs/>
          <w:szCs w:val="28"/>
        </w:rPr>
        <w:t xml:space="preserve">.4. Положенням законопроекту бракує уніфікованого вживання термінології. Так, в </w:t>
      </w:r>
      <w:proofErr w:type="spellStart"/>
      <w:r w:rsidRPr="001876BD">
        <w:rPr>
          <w:rFonts w:eastAsia="Calibri"/>
          <w:bCs/>
          <w:szCs w:val="28"/>
        </w:rPr>
        <w:t>абз</w:t>
      </w:r>
      <w:proofErr w:type="spellEnd"/>
      <w:r w:rsidRPr="001876BD">
        <w:rPr>
          <w:rFonts w:eastAsia="Calibri"/>
          <w:bCs/>
          <w:szCs w:val="28"/>
        </w:rPr>
        <w:t xml:space="preserve">. 35 ч. 1 ст. 1 наводиться визначення терміну «поштова </w:t>
      </w:r>
      <w:r w:rsidRPr="001876BD">
        <w:rPr>
          <w:rFonts w:eastAsia="Calibri"/>
          <w:bCs/>
          <w:szCs w:val="28"/>
        </w:rPr>
        <w:lastRenderedPageBreak/>
        <w:t>мережа», натомість</w:t>
      </w:r>
      <w:r w:rsidR="00946F34" w:rsidRPr="001876BD">
        <w:rPr>
          <w:rFonts w:eastAsia="Calibri"/>
          <w:bCs/>
          <w:szCs w:val="28"/>
        </w:rPr>
        <w:t>,</w:t>
      </w:r>
      <w:r w:rsidRPr="001876BD">
        <w:rPr>
          <w:rFonts w:eastAsia="Calibri"/>
          <w:bCs/>
          <w:szCs w:val="28"/>
        </w:rPr>
        <w:t xml:space="preserve"> у тексті законопроекту використовується термін «мережа поштового зв’язку» (ст. ст. 17, 19, 24, 27).</w:t>
      </w:r>
    </w:p>
    <w:p w14:paraId="5F42BE82" w14:textId="35D45307" w:rsidR="00591F31" w:rsidRPr="001876BD" w:rsidRDefault="00591F31" w:rsidP="00591F31">
      <w:pPr>
        <w:ind w:firstLine="709"/>
        <w:jc w:val="both"/>
        <w:rPr>
          <w:rFonts w:eastAsia="Calibri"/>
          <w:bCs/>
          <w:szCs w:val="28"/>
        </w:rPr>
      </w:pPr>
      <w:r w:rsidRPr="001876BD">
        <w:rPr>
          <w:rFonts w:eastAsia="Calibri"/>
          <w:bCs/>
          <w:szCs w:val="28"/>
        </w:rPr>
        <w:t xml:space="preserve">Аналогічне за змістом зауваження відноситься до використання у ст. 23 терміну «абонентські скриньки». При цьому, </w:t>
      </w:r>
      <w:r w:rsidR="00946F34" w:rsidRPr="001876BD">
        <w:rPr>
          <w:rFonts w:eastAsia="Calibri"/>
          <w:bCs/>
          <w:szCs w:val="28"/>
        </w:rPr>
        <w:t>в</w:t>
      </w:r>
      <w:r w:rsidRPr="001876BD">
        <w:rPr>
          <w:rFonts w:eastAsia="Calibri"/>
          <w:bCs/>
          <w:szCs w:val="28"/>
        </w:rPr>
        <w:t xml:space="preserve"> </w:t>
      </w:r>
      <w:proofErr w:type="spellStart"/>
      <w:r w:rsidRPr="001876BD">
        <w:rPr>
          <w:rFonts w:eastAsia="Calibri"/>
          <w:bCs/>
          <w:szCs w:val="28"/>
        </w:rPr>
        <w:t>абз</w:t>
      </w:r>
      <w:proofErr w:type="spellEnd"/>
      <w:r w:rsidRPr="001876BD">
        <w:rPr>
          <w:rFonts w:eastAsia="Calibri"/>
          <w:bCs/>
          <w:szCs w:val="28"/>
        </w:rPr>
        <w:t>. 3 ч. 1 ст. 1 наводиться визначення терміну «абонентська поштова скринька».</w:t>
      </w:r>
    </w:p>
    <w:p w14:paraId="1E93645C" w14:textId="60EFB62D" w:rsidR="00591F31" w:rsidRPr="004F0DEB" w:rsidRDefault="00591F31" w:rsidP="00591F31">
      <w:pPr>
        <w:numPr>
          <w:ilvl w:val="0"/>
          <w:numId w:val="7"/>
        </w:numPr>
        <w:suppressAutoHyphens w:val="0"/>
        <w:ind w:firstLine="709"/>
        <w:jc w:val="both"/>
        <w:rPr>
          <w:rFonts w:eastAsia="Calibri"/>
          <w:bCs/>
          <w:szCs w:val="28"/>
        </w:rPr>
      </w:pPr>
      <w:r w:rsidRPr="001876BD">
        <w:rPr>
          <w:rFonts w:eastAsia="Calibri"/>
          <w:b/>
          <w:bCs/>
          <w:szCs w:val="28"/>
          <w:lang w:val="ru-RU"/>
        </w:rPr>
        <w:t>4</w:t>
      </w:r>
      <w:r w:rsidR="00CD087E" w:rsidRPr="001876BD">
        <w:rPr>
          <w:rFonts w:eastAsia="Calibri"/>
          <w:b/>
          <w:bCs/>
          <w:szCs w:val="28"/>
        </w:rPr>
        <w:t xml:space="preserve">. </w:t>
      </w:r>
      <w:r w:rsidRPr="001876BD">
        <w:rPr>
          <w:rFonts w:eastAsia="Calibri"/>
          <w:bCs/>
          <w:szCs w:val="28"/>
        </w:rPr>
        <w:t>Сумнівн</w:t>
      </w:r>
      <w:r w:rsidR="00CD087E" w:rsidRPr="001876BD">
        <w:rPr>
          <w:rFonts w:eastAsia="Calibri"/>
          <w:bCs/>
          <w:szCs w:val="28"/>
        </w:rPr>
        <w:t>ою</w:t>
      </w:r>
      <w:r w:rsidRPr="001876BD">
        <w:rPr>
          <w:rFonts w:eastAsia="Calibri"/>
          <w:bCs/>
          <w:szCs w:val="28"/>
        </w:rPr>
        <w:t xml:space="preserve"> вбачається пропозиція в </w:t>
      </w:r>
      <w:proofErr w:type="spellStart"/>
      <w:r w:rsidRPr="001876BD">
        <w:rPr>
          <w:rFonts w:eastAsia="Calibri"/>
          <w:bCs/>
          <w:szCs w:val="28"/>
        </w:rPr>
        <w:t>абз</w:t>
      </w:r>
      <w:proofErr w:type="spellEnd"/>
      <w:r w:rsidRPr="001876BD">
        <w:rPr>
          <w:rFonts w:eastAsia="Calibri"/>
          <w:bCs/>
          <w:szCs w:val="28"/>
        </w:rPr>
        <w:t>. 11 ч. 1 ст. 1 проекту визначити графічну інформацію,</w:t>
      </w:r>
      <w:r w:rsidRPr="004F0DEB">
        <w:rPr>
          <w:rFonts w:eastAsia="Calibri"/>
          <w:bCs/>
          <w:szCs w:val="28"/>
        </w:rPr>
        <w:t xml:space="preserve"> що наноситься на відправлення письмової кореспонденції «електронним знаком». Не заперечуючи </w:t>
      </w:r>
      <w:proofErr w:type="spellStart"/>
      <w:r w:rsidRPr="004F0DEB">
        <w:rPr>
          <w:rFonts w:eastAsia="Calibri"/>
          <w:bCs/>
          <w:szCs w:val="28"/>
        </w:rPr>
        <w:t>машиночитаного</w:t>
      </w:r>
      <w:proofErr w:type="spellEnd"/>
      <w:r w:rsidRPr="004F0DEB">
        <w:rPr>
          <w:rFonts w:eastAsia="Calibri"/>
          <w:bCs/>
          <w:szCs w:val="28"/>
        </w:rPr>
        <w:t xml:space="preserve"> характеру такого графічного зображення, його природа навряд чи дає можливість віднести його до категорії електронних засобів.</w:t>
      </w:r>
    </w:p>
    <w:p w14:paraId="177DDCD0" w14:textId="77777777" w:rsidR="00591F31" w:rsidRPr="004F0DEB" w:rsidRDefault="00591F31" w:rsidP="00591F31">
      <w:pPr>
        <w:ind w:firstLine="709"/>
        <w:jc w:val="both"/>
        <w:rPr>
          <w:rFonts w:eastAsia="Calibri"/>
          <w:b/>
          <w:bCs/>
          <w:szCs w:val="28"/>
        </w:rPr>
      </w:pPr>
      <w:r w:rsidRPr="004F0DEB">
        <w:rPr>
          <w:rFonts w:eastAsia="Calibri"/>
          <w:b/>
          <w:bCs/>
          <w:szCs w:val="28"/>
          <w:lang w:val="ru-RU"/>
        </w:rPr>
        <w:t>5</w:t>
      </w:r>
      <w:r w:rsidRPr="004F0DEB">
        <w:rPr>
          <w:rFonts w:eastAsia="Calibri"/>
          <w:b/>
          <w:bCs/>
          <w:szCs w:val="28"/>
        </w:rPr>
        <w:t xml:space="preserve">. </w:t>
      </w:r>
      <w:r w:rsidRPr="004F0DEB">
        <w:rPr>
          <w:rFonts w:eastAsia="Calibri"/>
          <w:bCs/>
          <w:szCs w:val="28"/>
        </w:rPr>
        <w:t>У законопроекті присутні положення, які характеризуються недостатньою правовою визначеністю, а, отже, не відповідають конституційному принципу верховенства права (у частині забезпечення правової визначеності, ясності і недвозначності норм, як складових цього принципу). Зокрема, застосування у визначенні поняття «адресна поштова розсилка» (</w:t>
      </w:r>
      <w:proofErr w:type="spellStart"/>
      <w:r w:rsidRPr="004F0DEB">
        <w:rPr>
          <w:rFonts w:eastAsia="Calibri"/>
          <w:bCs/>
          <w:szCs w:val="28"/>
        </w:rPr>
        <w:t>абз</w:t>
      </w:r>
      <w:proofErr w:type="spellEnd"/>
      <w:r w:rsidRPr="004F0DEB">
        <w:rPr>
          <w:rFonts w:eastAsia="Calibri"/>
          <w:bCs/>
          <w:szCs w:val="28"/>
        </w:rPr>
        <w:t xml:space="preserve">. 6 ч. 1 ст. 1 проекту) виразів на кшталт «яке пересилається </w:t>
      </w:r>
      <w:r w:rsidRPr="004F0DEB">
        <w:rPr>
          <w:rFonts w:eastAsia="Calibri"/>
          <w:bCs/>
          <w:i/>
          <w:iCs/>
          <w:szCs w:val="28"/>
        </w:rPr>
        <w:t>певній кількості</w:t>
      </w:r>
      <w:r w:rsidRPr="004F0DEB">
        <w:rPr>
          <w:rFonts w:eastAsia="Calibri"/>
          <w:bCs/>
          <w:szCs w:val="28"/>
        </w:rPr>
        <w:t xml:space="preserve"> адресатів», на нашу думку, не відповідає принципу правової визначеності, та має бути деталізовано. </w:t>
      </w:r>
      <w:r w:rsidRPr="004F0DEB">
        <w:rPr>
          <w:rFonts w:eastAsia="Calibri"/>
          <w:szCs w:val="28"/>
        </w:rPr>
        <w:t xml:space="preserve">Разом з тим, відповідно до правової позиції Конституційного Суду України принцип правової визначеності вимагає чіткості, </w:t>
      </w:r>
      <w:r w:rsidRPr="004F0DEB">
        <w:rPr>
          <w:rFonts w:eastAsia="Calibri"/>
          <w:i/>
          <w:szCs w:val="28"/>
        </w:rPr>
        <w:t>зрозумілості й однозначності</w:t>
      </w:r>
      <w:r w:rsidRPr="004F0DEB">
        <w:rPr>
          <w:rFonts w:eastAsia="Calibri"/>
          <w:szCs w:val="28"/>
        </w:rPr>
        <w:t xml:space="preserve"> правових норм, зокрема, їх </w:t>
      </w:r>
      <w:r w:rsidRPr="004F0DEB">
        <w:rPr>
          <w:rFonts w:eastAsia="Calibri"/>
          <w:i/>
          <w:szCs w:val="28"/>
        </w:rPr>
        <w:t>передбачуваності</w:t>
      </w:r>
      <w:r w:rsidRPr="004F0DEB">
        <w:rPr>
          <w:rFonts w:eastAsia="Calibri"/>
          <w:szCs w:val="28"/>
        </w:rPr>
        <w:t xml:space="preserve"> (прогнозованості) та стабільності (</w:t>
      </w:r>
      <w:proofErr w:type="spellStart"/>
      <w:r w:rsidRPr="004F0DEB">
        <w:rPr>
          <w:rFonts w:eastAsia="Calibri"/>
          <w:szCs w:val="28"/>
        </w:rPr>
        <w:t>абз</w:t>
      </w:r>
      <w:proofErr w:type="spellEnd"/>
      <w:r w:rsidRPr="004F0DEB">
        <w:rPr>
          <w:rFonts w:eastAsia="Calibri"/>
          <w:szCs w:val="28"/>
        </w:rPr>
        <w:t>. 6 п. 2.1 мотивувальної частини Рішення Великої палати Конституційного Суду України від 20.12.2017 № 2-р/2017).</w:t>
      </w:r>
    </w:p>
    <w:p w14:paraId="528CE4AA" w14:textId="77777777" w:rsidR="00591F31" w:rsidRPr="001876BD" w:rsidRDefault="00591F31" w:rsidP="00591F31">
      <w:pPr>
        <w:numPr>
          <w:ilvl w:val="0"/>
          <w:numId w:val="7"/>
        </w:numPr>
        <w:suppressAutoHyphens w:val="0"/>
        <w:ind w:firstLine="709"/>
        <w:contextualSpacing/>
        <w:jc w:val="both"/>
        <w:rPr>
          <w:rFonts w:eastAsia="Calibri"/>
          <w:szCs w:val="28"/>
        </w:rPr>
      </w:pPr>
      <w:r w:rsidRPr="004F0DEB">
        <w:rPr>
          <w:rFonts w:eastAsia="Calibri"/>
          <w:b/>
          <w:szCs w:val="28"/>
          <w:lang w:val="ru-RU"/>
        </w:rPr>
        <w:t>6</w:t>
      </w:r>
      <w:r w:rsidRPr="004F0DEB">
        <w:rPr>
          <w:rFonts w:eastAsia="Calibri"/>
          <w:b/>
          <w:szCs w:val="28"/>
        </w:rPr>
        <w:t>.</w:t>
      </w:r>
      <w:r w:rsidRPr="004F0DEB">
        <w:rPr>
          <w:rFonts w:eastAsia="Calibri"/>
          <w:szCs w:val="28"/>
        </w:rPr>
        <w:t xml:space="preserve"> Викликає зауваження запропоноване формулювання основних засад у сфері надання послуг поштового зв’язку (ст. 3 проекту). На нашу думку, запропонований зміст цієї статті свідчить не про «засади діяльності», а про «принципи державної політики» у </w:t>
      </w:r>
      <w:r w:rsidRPr="001876BD">
        <w:rPr>
          <w:rFonts w:eastAsia="Calibri"/>
          <w:szCs w:val="28"/>
        </w:rPr>
        <w:t>відповідній сфері.</w:t>
      </w:r>
    </w:p>
    <w:p w14:paraId="022D2414" w14:textId="660C1148" w:rsidR="00591F31" w:rsidRPr="001876BD" w:rsidRDefault="00591F31" w:rsidP="00591F31">
      <w:pPr>
        <w:numPr>
          <w:ilvl w:val="0"/>
          <w:numId w:val="7"/>
        </w:numPr>
        <w:suppressAutoHyphens w:val="0"/>
        <w:ind w:firstLine="709"/>
        <w:contextualSpacing/>
        <w:jc w:val="both"/>
        <w:rPr>
          <w:rFonts w:eastAsia="Calibri"/>
          <w:szCs w:val="28"/>
        </w:rPr>
      </w:pPr>
      <w:r w:rsidRPr="001876BD">
        <w:rPr>
          <w:rFonts w:eastAsia="Calibri"/>
          <w:b/>
          <w:szCs w:val="28"/>
          <w:lang w:val="ru-RU"/>
        </w:rPr>
        <w:t>7</w:t>
      </w:r>
      <w:r w:rsidRPr="001876BD">
        <w:rPr>
          <w:rFonts w:eastAsia="Calibri"/>
          <w:b/>
          <w:szCs w:val="28"/>
        </w:rPr>
        <w:t>.</w:t>
      </w:r>
      <w:r w:rsidRPr="001876BD">
        <w:rPr>
          <w:rFonts w:eastAsia="Calibri"/>
          <w:szCs w:val="28"/>
        </w:rPr>
        <w:t xml:space="preserve"> Відповідно до положень ст. 5 проекту «у сфері надання послуг поштового зв’язку застосовується єдиний обліково-звітний час, що діє в Україні». В цьому контексті слід зазначити, що згідно </w:t>
      </w:r>
      <w:r w:rsidR="00CD087E" w:rsidRPr="001876BD">
        <w:rPr>
          <w:rFonts w:eastAsia="Calibri"/>
          <w:szCs w:val="28"/>
        </w:rPr>
        <w:t xml:space="preserve">зі </w:t>
      </w:r>
      <w:r w:rsidRPr="001876BD">
        <w:rPr>
          <w:rFonts w:eastAsia="Calibri"/>
          <w:szCs w:val="28"/>
        </w:rPr>
        <w:t>ст. 8 Закону Укр</w:t>
      </w:r>
      <w:r w:rsidR="00CD087E" w:rsidRPr="001876BD">
        <w:rPr>
          <w:rFonts w:eastAsia="Calibri"/>
          <w:szCs w:val="28"/>
        </w:rPr>
        <w:t>аїни</w:t>
      </w:r>
      <w:r w:rsidR="00CD087E" w:rsidRPr="001876BD">
        <w:rPr>
          <w:rFonts w:eastAsia="Calibri"/>
          <w:szCs w:val="28"/>
        </w:rPr>
        <w:br/>
      </w:r>
      <w:r w:rsidRPr="001876BD">
        <w:rPr>
          <w:rFonts w:eastAsia="Calibri"/>
          <w:szCs w:val="28"/>
        </w:rPr>
        <w:t>«Про телекомунікації» мова йде про «єдиний обліково-звітний час – київський», що доцільно узгодити, адже поштові послуги, як і телекомунікації, належать до загальної галузі зв’язку.</w:t>
      </w:r>
    </w:p>
    <w:p w14:paraId="18CDD056" w14:textId="77777777" w:rsidR="00591F31" w:rsidRPr="001876BD" w:rsidRDefault="00591F31" w:rsidP="00591F31">
      <w:pPr>
        <w:numPr>
          <w:ilvl w:val="0"/>
          <w:numId w:val="7"/>
        </w:numPr>
        <w:suppressAutoHyphens w:val="0"/>
        <w:ind w:firstLine="709"/>
        <w:contextualSpacing/>
        <w:jc w:val="both"/>
        <w:rPr>
          <w:rFonts w:eastAsia="Calibri"/>
          <w:szCs w:val="28"/>
        </w:rPr>
      </w:pPr>
      <w:r w:rsidRPr="001876BD">
        <w:rPr>
          <w:rFonts w:eastAsia="Calibri"/>
          <w:b/>
          <w:szCs w:val="28"/>
          <w:lang w:val="ru-RU"/>
        </w:rPr>
        <w:t>8</w:t>
      </w:r>
      <w:r w:rsidRPr="001876BD">
        <w:rPr>
          <w:rFonts w:eastAsia="Calibri"/>
          <w:b/>
          <w:szCs w:val="28"/>
        </w:rPr>
        <w:t>.</w:t>
      </w:r>
      <w:r w:rsidRPr="001876BD">
        <w:rPr>
          <w:rFonts w:eastAsia="Calibri"/>
          <w:szCs w:val="28"/>
        </w:rPr>
        <w:t xml:space="preserve"> Потребують доопрацювання положення ст. 8 проекту Закону.</w:t>
      </w:r>
    </w:p>
    <w:p w14:paraId="2ABE2825" w14:textId="77FFE812" w:rsidR="00591F31" w:rsidRPr="001876BD" w:rsidRDefault="00591F31" w:rsidP="00591F31">
      <w:pPr>
        <w:numPr>
          <w:ilvl w:val="0"/>
          <w:numId w:val="7"/>
        </w:numPr>
        <w:suppressAutoHyphens w:val="0"/>
        <w:ind w:firstLine="709"/>
        <w:contextualSpacing/>
        <w:jc w:val="both"/>
        <w:rPr>
          <w:rFonts w:eastAsia="Calibri"/>
          <w:szCs w:val="28"/>
        </w:rPr>
      </w:pPr>
      <w:r w:rsidRPr="001876BD">
        <w:rPr>
          <w:rFonts w:eastAsia="Calibri"/>
          <w:szCs w:val="28"/>
          <w:lang w:val="ru-RU"/>
        </w:rPr>
        <w:t>8</w:t>
      </w:r>
      <w:r w:rsidRPr="001876BD">
        <w:rPr>
          <w:rFonts w:eastAsia="Calibri"/>
          <w:szCs w:val="28"/>
        </w:rPr>
        <w:t>.1. Згідно із запропонованою редакцією ч. 2 ст. 8 проекту, передбачається можливість визначення єдиного оператора міжнародних реєстрованих відправлень та єдиного оператора універсальної послуги. На нашу думку</w:t>
      </w:r>
      <w:r w:rsidR="00CD087E" w:rsidRPr="001876BD">
        <w:rPr>
          <w:rFonts w:eastAsia="Calibri"/>
          <w:szCs w:val="28"/>
        </w:rPr>
        <w:t>,</w:t>
      </w:r>
      <w:r w:rsidRPr="001876BD">
        <w:rPr>
          <w:rFonts w:eastAsia="Calibri"/>
          <w:szCs w:val="28"/>
        </w:rPr>
        <w:t xml:space="preserve"> такі новели потребують додаткового обґрунтування. Принагідно звертаємо увагу на Рішення Суду Європейського Союзу у справі C-162/06 від 15.11.2007 (</w:t>
      </w:r>
      <w:proofErr w:type="spellStart"/>
      <w:r w:rsidRPr="001876BD">
        <w:rPr>
          <w:rFonts w:eastAsia="Calibri"/>
          <w:szCs w:val="28"/>
        </w:rPr>
        <w:t>International</w:t>
      </w:r>
      <w:proofErr w:type="spellEnd"/>
      <w:r w:rsidRPr="001876BD">
        <w:rPr>
          <w:rFonts w:eastAsia="Calibri"/>
          <w:szCs w:val="28"/>
        </w:rPr>
        <w:t xml:space="preserve"> </w:t>
      </w:r>
      <w:proofErr w:type="spellStart"/>
      <w:r w:rsidRPr="001876BD">
        <w:rPr>
          <w:rFonts w:eastAsia="Calibri"/>
          <w:szCs w:val="28"/>
        </w:rPr>
        <w:t>Mail</w:t>
      </w:r>
      <w:proofErr w:type="spellEnd"/>
      <w:r w:rsidRPr="001876BD">
        <w:rPr>
          <w:rFonts w:eastAsia="Calibri"/>
          <w:szCs w:val="28"/>
        </w:rPr>
        <w:t xml:space="preserve"> </w:t>
      </w:r>
      <w:proofErr w:type="spellStart"/>
      <w:r w:rsidRPr="001876BD">
        <w:rPr>
          <w:rFonts w:eastAsia="Calibri"/>
          <w:szCs w:val="28"/>
        </w:rPr>
        <w:t>Spain</w:t>
      </w:r>
      <w:proofErr w:type="spellEnd"/>
      <w:r w:rsidRPr="004F0DEB">
        <w:rPr>
          <w:rFonts w:eastAsia="Calibri"/>
          <w:szCs w:val="28"/>
        </w:rPr>
        <w:t xml:space="preserve"> SL проти Державної поштової Адміністрації)</w:t>
      </w:r>
      <w:r w:rsidRPr="004F0DEB">
        <w:rPr>
          <w:rFonts w:eastAsia="Calibri"/>
          <w:szCs w:val="28"/>
          <w:vertAlign w:val="superscript"/>
        </w:rPr>
        <w:footnoteReference w:id="3"/>
      </w:r>
      <w:r w:rsidRPr="004F0DEB">
        <w:rPr>
          <w:rFonts w:eastAsia="Calibri"/>
          <w:szCs w:val="28"/>
        </w:rPr>
        <w:t xml:space="preserve">, згідно з яким резервування міжнародної пошти за одним постачальником (наприклад – оператором універсальної послуги) доцільне лише у випадку, якщо за відсутності такого резервування під загрозою опиниться сталість надання </w:t>
      </w:r>
      <w:r w:rsidRPr="004F0DEB">
        <w:rPr>
          <w:rFonts w:eastAsia="Calibri"/>
          <w:szCs w:val="28"/>
        </w:rPr>
        <w:lastRenderedPageBreak/>
        <w:t>універсальної послуги та фінансова безпека такого оператора або ж таке резервування є єдиною гарантією надання послуги міжнародних відправлень за економічно прийнятними умовами (</w:t>
      </w:r>
      <w:proofErr w:type="spellStart"/>
      <w:r w:rsidRPr="004F0DEB">
        <w:rPr>
          <w:rFonts w:eastAsia="Calibri"/>
          <w:szCs w:val="28"/>
        </w:rPr>
        <w:t>п.п</w:t>
      </w:r>
      <w:proofErr w:type="spellEnd"/>
      <w:r w:rsidRPr="004F0DEB">
        <w:rPr>
          <w:rFonts w:eastAsia="Calibri"/>
          <w:szCs w:val="28"/>
        </w:rPr>
        <w:t>. 41, 50 Рі</w:t>
      </w:r>
      <w:r w:rsidRPr="001876BD">
        <w:rPr>
          <w:rFonts w:eastAsia="Calibri"/>
          <w:szCs w:val="28"/>
        </w:rPr>
        <w:t xml:space="preserve">шення). </w:t>
      </w:r>
    </w:p>
    <w:p w14:paraId="5C16E70F" w14:textId="00F44E91" w:rsidR="00591F31" w:rsidRPr="001876BD" w:rsidRDefault="00591F31" w:rsidP="00591F31">
      <w:pPr>
        <w:numPr>
          <w:ilvl w:val="0"/>
          <w:numId w:val="7"/>
        </w:numPr>
        <w:suppressAutoHyphens w:val="0"/>
        <w:ind w:firstLine="709"/>
        <w:contextualSpacing/>
        <w:jc w:val="both"/>
        <w:rPr>
          <w:rFonts w:eastAsia="Calibri"/>
          <w:szCs w:val="28"/>
        </w:rPr>
      </w:pPr>
      <w:r w:rsidRPr="001876BD">
        <w:rPr>
          <w:rFonts w:eastAsia="Calibri"/>
          <w:szCs w:val="28"/>
        </w:rPr>
        <w:t>8.2. Вбачається сумнівною пропозиція у п. 7 ч. 2 ст. 8 щодо віднесення до повноважень центрального органу виконавчої влади, що забезпечує формування та реалізацію державної політики у сфері н</w:t>
      </w:r>
      <w:r w:rsidR="00CD087E" w:rsidRPr="001876BD">
        <w:rPr>
          <w:rFonts w:eastAsia="Calibri"/>
          <w:szCs w:val="28"/>
        </w:rPr>
        <w:t xml:space="preserve">адання послуг поштового зв’язку, </w:t>
      </w:r>
      <w:r w:rsidRPr="001876BD">
        <w:rPr>
          <w:rFonts w:eastAsia="Calibri"/>
          <w:szCs w:val="28"/>
        </w:rPr>
        <w:t>здійснення державного регулювання і нагляду (контролю)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щодо операторів поштового зв’язку (в частині здійснення ними поштового переказу).</w:t>
      </w:r>
      <w:r w:rsidRPr="001876BD">
        <w:rPr>
          <w:rFonts w:eastAsia="Calibri"/>
          <w:b/>
          <w:bCs/>
          <w:szCs w:val="28"/>
        </w:rPr>
        <w:t xml:space="preserve"> </w:t>
      </w:r>
      <w:r w:rsidRPr="001876BD">
        <w:rPr>
          <w:rFonts w:eastAsia="Calibri"/>
          <w:bCs/>
          <w:szCs w:val="28"/>
        </w:rPr>
        <w:t>Адже згідно із приписами п. 1 ч. 1 ст. 18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державне регулювання і нагляд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щодо операторів поштового зв’язку здійснюються Національним банком України.</w:t>
      </w:r>
    </w:p>
    <w:p w14:paraId="75AB1F8F" w14:textId="672CB848" w:rsidR="00591F31" w:rsidRPr="004F0DEB" w:rsidRDefault="00591F31" w:rsidP="00591F31">
      <w:pPr>
        <w:numPr>
          <w:ilvl w:val="0"/>
          <w:numId w:val="7"/>
        </w:numPr>
        <w:suppressAutoHyphens w:val="0"/>
        <w:ind w:firstLine="709"/>
        <w:contextualSpacing/>
        <w:jc w:val="both"/>
        <w:rPr>
          <w:rFonts w:eastAsia="Calibri"/>
          <w:szCs w:val="28"/>
        </w:rPr>
      </w:pPr>
      <w:r w:rsidRPr="001876BD">
        <w:rPr>
          <w:rFonts w:eastAsia="Calibri"/>
          <w:szCs w:val="28"/>
          <w:lang w:val="ru-RU"/>
        </w:rPr>
        <w:t>8</w:t>
      </w:r>
      <w:r w:rsidRPr="001876BD">
        <w:rPr>
          <w:rFonts w:eastAsia="Calibri"/>
          <w:szCs w:val="28"/>
        </w:rPr>
        <w:t xml:space="preserve">.3. У </w:t>
      </w:r>
      <w:proofErr w:type="spellStart"/>
      <w:r w:rsidRPr="001876BD">
        <w:rPr>
          <w:rFonts w:eastAsia="Calibri"/>
          <w:szCs w:val="28"/>
        </w:rPr>
        <w:t>п.п</w:t>
      </w:r>
      <w:proofErr w:type="spellEnd"/>
      <w:r w:rsidRPr="001876BD">
        <w:rPr>
          <w:rFonts w:eastAsia="Calibri"/>
          <w:szCs w:val="28"/>
        </w:rPr>
        <w:t>. 2 та 7 ч. 5 ст. 8 проекту йдеться про забезпечення національним регулятором «здійснення в установленому ним порядку моніторингу якості універсальних послуг поштового зв'язку та оприлюднення його результатів» та «державного нагляду (контролю) за додержанням призначеним оператором поштового зв’язку установлених показників якості універсальних послуг поштового зв`язку», що</w:t>
      </w:r>
      <w:r w:rsidR="00CD087E" w:rsidRPr="001876BD">
        <w:rPr>
          <w:rFonts w:eastAsia="Calibri"/>
          <w:szCs w:val="28"/>
        </w:rPr>
        <w:t>,</w:t>
      </w:r>
      <w:r w:rsidRPr="001876BD">
        <w:rPr>
          <w:rFonts w:eastAsia="Calibri"/>
          <w:szCs w:val="28"/>
        </w:rPr>
        <w:t xml:space="preserve"> на нашу думку</w:t>
      </w:r>
      <w:r w:rsidR="00CD087E" w:rsidRPr="001876BD">
        <w:rPr>
          <w:rFonts w:eastAsia="Calibri"/>
          <w:szCs w:val="28"/>
        </w:rPr>
        <w:t>,</w:t>
      </w:r>
      <w:r w:rsidRPr="001876BD">
        <w:rPr>
          <w:rFonts w:eastAsia="Calibri"/>
          <w:szCs w:val="28"/>
        </w:rPr>
        <w:t xml:space="preserve"> </w:t>
      </w:r>
      <w:r w:rsidR="00CD087E" w:rsidRPr="001876BD">
        <w:rPr>
          <w:rFonts w:eastAsia="Calibri"/>
          <w:szCs w:val="28"/>
        </w:rPr>
        <w:t>збігається</w:t>
      </w:r>
      <w:r w:rsidRPr="004F0DEB">
        <w:rPr>
          <w:rFonts w:eastAsia="Calibri"/>
          <w:szCs w:val="28"/>
        </w:rPr>
        <w:t xml:space="preserve"> за суттю, та потребує відповідного корегування.  </w:t>
      </w:r>
    </w:p>
    <w:p w14:paraId="40E6AD7B" w14:textId="77777777" w:rsidR="00591F31" w:rsidRPr="004F0DEB" w:rsidRDefault="00591F31" w:rsidP="00591F31">
      <w:pPr>
        <w:numPr>
          <w:ilvl w:val="0"/>
          <w:numId w:val="7"/>
        </w:numPr>
        <w:suppressAutoHyphens w:val="0"/>
        <w:ind w:firstLine="709"/>
        <w:contextualSpacing/>
        <w:jc w:val="both"/>
        <w:rPr>
          <w:rFonts w:eastAsia="Calibri"/>
          <w:szCs w:val="28"/>
        </w:rPr>
      </w:pPr>
      <w:r w:rsidRPr="004F0DEB">
        <w:rPr>
          <w:rFonts w:eastAsia="Calibri"/>
          <w:szCs w:val="28"/>
        </w:rPr>
        <w:t xml:space="preserve">8.4. Згідно із </w:t>
      </w:r>
      <w:proofErr w:type="spellStart"/>
      <w:r w:rsidRPr="004F0DEB">
        <w:rPr>
          <w:rFonts w:eastAsia="Calibri"/>
          <w:szCs w:val="28"/>
        </w:rPr>
        <w:t>п.п</w:t>
      </w:r>
      <w:proofErr w:type="spellEnd"/>
      <w:r w:rsidRPr="004F0DEB">
        <w:rPr>
          <w:rFonts w:eastAsia="Calibri"/>
          <w:szCs w:val="28"/>
        </w:rPr>
        <w:t>. 15-17 ч. 5 ст. 8  національний регулятор: забезпечує сумісність інформаційної системи (мережі) про заходи державного нагляду (контролю) у сфері надання послуг поштового зв’язку з інтегрованою (автоматизованою) системою державного (контролю); затверджує форму повідомлення про проведення планового заходу державного нагляду (контролю) у сфері надання універсальних послуг поштового зв’язку.</w:t>
      </w:r>
    </w:p>
    <w:p w14:paraId="6C9A1D53" w14:textId="77777777" w:rsidR="00591F31" w:rsidRPr="004F0DEB" w:rsidRDefault="00591F31" w:rsidP="00591F31">
      <w:pPr>
        <w:numPr>
          <w:ilvl w:val="0"/>
          <w:numId w:val="7"/>
        </w:numPr>
        <w:suppressAutoHyphens w:val="0"/>
        <w:ind w:firstLine="709"/>
        <w:contextualSpacing/>
        <w:jc w:val="both"/>
        <w:rPr>
          <w:rFonts w:eastAsia="Calibri"/>
          <w:szCs w:val="28"/>
        </w:rPr>
      </w:pPr>
      <w:r w:rsidRPr="004F0DEB">
        <w:rPr>
          <w:rFonts w:eastAsia="Calibri"/>
          <w:szCs w:val="28"/>
        </w:rPr>
        <w:t xml:space="preserve">Виходячи з того, що інтегрована автоматизована система державного нагляду є єдиною автоматизованою системою збирання, накопичення та систематизації інформації про заходи державного контролю, </w:t>
      </w:r>
      <w:proofErr w:type="spellStart"/>
      <w:r w:rsidRPr="004F0DEB">
        <w:rPr>
          <w:rFonts w:eastAsia="Calibri"/>
          <w:szCs w:val="28"/>
        </w:rPr>
        <w:t>інтероперабельність</w:t>
      </w:r>
      <w:proofErr w:type="spellEnd"/>
      <w:r w:rsidRPr="004F0DEB">
        <w:rPr>
          <w:rFonts w:eastAsia="Calibri"/>
          <w:szCs w:val="28"/>
        </w:rPr>
        <w:t xml:space="preserve"> цих систем мала б досягатись за рахунок приписів щодо обов’язковості </w:t>
      </w:r>
      <w:proofErr w:type="spellStart"/>
      <w:r w:rsidRPr="004F0DEB">
        <w:rPr>
          <w:rFonts w:eastAsia="Calibri"/>
          <w:szCs w:val="28"/>
        </w:rPr>
        <w:t>машиночитаного</w:t>
      </w:r>
      <w:proofErr w:type="spellEnd"/>
      <w:r w:rsidRPr="004F0DEB">
        <w:rPr>
          <w:rFonts w:eastAsia="Calibri"/>
          <w:szCs w:val="28"/>
        </w:rPr>
        <w:t xml:space="preserve"> формату даних в такій інформаційній системі, що доцільно зазначити.</w:t>
      </w:r>
    </w:p>
    <w:p w14:paraId="6F63EA97" w14:textId="1A3665D0" w:rsidR="00591F31" w:rsidRDefault="00591F31" w:rsidP="00591F31">
      <w:pPr>
        <w:numPr>
          <w:ilvl w:val="0"/>
          <w:numId w:val="7"/>
        </w:numPr>
        <w:suppressAutoHyphens w:val="0"/>
        <w:ind w:firstLine="709"/>
        <w:contextualSpacing/>
        <w:jc w:val="both"/>
        <w:rPr>
          <w:rFonts w:eastAsia="Calibri"/>
          <w:szCs w:val="28"/>
        </w:rPr>
      </w:pPr>
      <w:r w:rsidRPr="001876BD">
        <w:rPr>
          <w:rFonts w:eastAsia="Calibri"/>
          <w:b/>
          <w:szCs w:val="28"/>
          <w:lang w:val="ru-RU"/>
        </w:rPr>
        <w:t>9</w:t>
      </w:r>
      <w:r w:rsidRPr="001876BD">
        <w:rPr>
          <w:rFonts w:eastAsia="Calibri"/>
          <w:b/>
          <w:szCs w:val="28"/>
        </w:rPr>
        <w:t>.</w:t>
      </w:r>
      <w:r w:rsidRPr="001876BD">
        <w:rPr>
          <w:rFonts w:eastAsia="Calibri"/>
          <w:szCs w:val="28"/>
        </w:rPr>
        <w:t xml:space="preserve"> У ч. 6 ст. 9 проекту йдеться про застосування національним регулятором адміністративних стягнень (приписів або розпоряджень). Враховуючи, що у ч. 2 ст. 9 проекту зазначено, що державний нагляд здійсню</w:t>
      </w:r>
      <w:r w:rsidR="00CD087E" w:rsidRPr="001876BD">
        <w:rPr>
          <w:rFonts w:eastAsia="Calibri"/>
          <w:szCs w:val="28"/>
        </w:rPr>
        <w:t>є</w:t>
      </w:r>
      <w:r w:rsidRPr="001876BD">
        <w:rPr>
          <w:rFonts w:eastAsia="Calibri"/>
          <w:szCs w:val="28"/>
        </w:rPr>
        <w:t xml:space="preserve">ться національним регулятором, в тому числі, відповідно до Закону України «Про основні засади державного нагляду (контролю) у сфері господарської діяльності», мова мала б йти не про «адміністративні стягнення», а про </w:t>
      </w:r>
      <w:r w:rsidRPr="001876BD">
        <w:rPr>
          <w:rFonts w:eastAsia="Calibri"/>
          <w:bCs/>
          <w:szCs w:val="28"/>
        </w:rPr>
        <w:t>відповідні</w:t>
      </w:r>
      <w:r w:rsidRPr="001876BD">
        <w:rPr>
          <w:rFonts w:eastAsia="Calibri"/>
          <w:b/>
          <w:bCs/>
          <w:szCs w:val="28"/>
        </w:rPr>
        <w:t xml:space="preserve"> </w:t>
      </w:r>
      <w:r w:rsidRPr="001876BD">
        <w:rPr>
          <w:rFonts w:eastAsia="Calibri"/>
          <w:szCs w:val="28"/>
        </w:rPr>
        <w:t>«санкції».</w:t>
      </w:r>
    </w:p>
    <w:p w14:paraId="33EC8C25" w14:textId="77777777" w:rsidR="00DD3D59" w:rsidRPr="001876BD" w:rsidRDefault="00DD3D59" w:rsidP="00DD3D59">
      <w:pPr>
        <w:numPr>
          <w:ilvl w:val="0"/>
          <w:numId w:val="7"/>
        </w:numPr>
        <w:suppressAutoHyphens w:val="0"/>
        <w:ind w:firstLine="709"/>
        <w:contextualSpacing/>
        <w:jc w:val="both"/>
        <w:rPr>
          <w:rFonts w:eastAsia="Calibri"/>
          <w:szCs w:val="28"/>
        </w:rPr>
      </w:pPr>
    </w:p>
    <w:p w14:paraId="672BA35B" w14:textId="77777777" w:rsidR="00591F31" w:rsidRPr="001876BD" w:rsidRDefault="00591F31" w:rsidP="00591F31">
      <w:pPr>
        <w:tabs>
          <w:tab w:val="left" w:pos="0"/>
        </w:tabs>
        <w:ind w:right="-2" w:firstLine="709"/>
        <w:jc w:val="both"/>
        <w:rPr>
          <w:rFonts w:eastAsia="Calibri"/>
          <w:bCs/>
          <w:szCs w:val="28"/>
        </w:rPr>
      </w:pPr>
      <w:r w:rsidRPr="001876BD">
        <w:rPr>
          <w:rFonts w:eastAsia="Calibri"/>
          <w:szCs w:val="28"/>
        </w:rPr>
        <w:lastRenderedPageBreak/>
        <w:t>Крім того, звертаємо увагу на те, що у ст. 2 Закону України «Про основні засади державного нагляду (контролю) у сфері господарської діяльності» відсутні положення про особливості його дії на відносини у сфері надання універсальних послуг поштового зв’язку, а зміни до згаданого Закону не передбачені у розділі ІІ «Прикінцеві та перехідні положення»</w:t>
      </w:r>
      <w:r w:rsidRPr="001876BD">
        <w:rPr>
          <w:rFonts w:eastAsia="Calibri"/>
          <w:bCs/>
          <w:szCs w:val="28"/>
        </w:rPr>
        <w:t xml:space="preserve"> проекту. Разом з тим, значна частина особливостей </w:t>
      </w:r>
      <w:r w:rsidRPr="001876BD">
        <w:rPr>
          <w:rFonts w:eastAsia="Calibri"/>
          <w:szCs w:val="28"/>
        </w:rPr>
        <w:t>державного нагляду (контролю) у сфері</w:t>
      </w:r>
      <w:r w:rsidRPr="001876BD">
        <w:rPr>
          <w:rFonts w:eastAsia="Calibri"/>
          <w:bCs/>
          <w:szCs w:val="28"/>
        </w:rPr>
        <w:t xml:space="preserve"> </w:t>
      </w:r>
      <w:r w:rsidRPr="001876BD">
        <w:rPr>
          <w:rFonts w:eastAsia="Calibri"/>
          <w:szCs w:val="28"/>
        </w:rPr>
        <w:t>надання універсальних послуг поштового зв’язку у ст. 9 проекту безпосередньо пов’язана з Законом України «Про основні засади державного нагляду (контролю) у сфері господарської діяльності».</w:t>
      </w:r>
      <w:r w:rsidRPr="001876BD">
        <w:rPr>
          <w:rFonts w:eastAsia="Calibri"/>
          <w:bCs/>
          <w:szCs w:val="28"/>
        </w:rPr>
        <w:t xml:space="preserve"> </w:t>
      </w:r>
    </w:p>
    <w:p w14:paraId="3AC72E16" w14:textId="706CD768" w:rsidR="00591F31" w:rsidRPr="001876BD" w:rsidRDefault="00591F31" w:rsidP="00591F31">
      <w:pPr>
        <w:numPr>
          <w:ilvl w:val="0"/>
          <w:numId w:val="7"/>
        </w:numPr>
        <w:suppressAutoHyphens w:val="0"/>
        <w:ind w:firstLine="709"/>
        <w:contextualSpacing/>
        <w:jc w:val="both"/>
        <w:rPr>
          <w:rFonts w:eastAsia="Calibri"/>
          <w:szCs w:val="28"/>
        </w:rPr>
      </w:pPr>
      <w:r w:rsidRPr="001876BD">
        <w:rPr>
          <w:rFonts w:eastAsia="Calibri"/>
          <w:b/>
          <w:szCs w:val="28"/>
        </w:rPr>
        <w:t>1</w:t>
      </w:r>
      <w:r w:rsidR="00D25801" w:rsidRPr="001876BD">
        <w:rPr>
          <w:rFonts w:eastAsia="Calibri"/>
          <w:b/>
          <w:szCs w:val="28"/>
          <w:lang w:val="ru-RU"/>
        </w:rPr>
        <w:t>0</w:t>
      </w:r>
      <w:r w:rsidRPr="001876BD">
        <w:rPr>
          <w:rFonts w:eastAsia="Calibri"/>
          <w:b/>
          <w:szCs w:val="28"/>
        </w:rPr>
        <w:t>.</w:t>
      </w:r>
      <w:r w:rsidRPr="001876BD">
        <w:rPr>
          <w:rFonts w:eastAsia="Calibri"/>
          <w:szCs w:val="28"/>
        </w:rPr>
        <w:t xml:space="preserve"> У ст. 12 проекту, яка присвячена питанням розвитку мереж і засобів поштового зв’язку, пропонується передбачити, що такий розвиток здійснюватиметься в тому числі й за рахунок «залучених або запозичених в установленому законодавством порядку коштів фізичних і юридичних осіб». Проте ні текст проекту</w:t>
      </w:r>
      <w:r w:rsidR="00CD087E" w:rsidRPr="001876BD">
        <w:rPr>
          <w:rFonts w:eastAsia="Calibri"/>
          <w:szCs w:val="28"/>
        </w:rPr>
        <w:t>,</w:t>
      </w:r>
      <w:r w:rsidRPr="001876BD">
        <w:rPr>
          <w:rFonts w:eastAsia="Calibri"/>
          <w:szCs w:val="28"/>
        </w:rPr>
        <w:t xml:space="preserve"> ні супровідні матеріали до нього не містять належного обґрунтування та деталізації такої пропозиції.</w:t>
      </w:r>
    </w:p>
    <w:p w14:paraId="063FCD99" w14:textId="7C14C363" w:rsidR="00591F31" w:rsidRPr="004F0DEB" w:rsidRDefault="00591F31" w:rsidP="00591F31">
      <w:pPr>
        <w:numPr>
          <w:ilvl w:val="0"/>
          <w:numId w:val="7"/>
        </w:numPr>
        <w:suppressAutoHyphens w:val="0"/>
        <w:ind w:firstLine="709"/>
        <w:contextualSpacing/>
        <w:jc w:val="both"/>
        <w:rPr>
          <w:rFonts w:eastAsia="Calibri"/>
          <w:szCs w:val="28"/>
        </w:rPr>
      </w:pPr>
      <w:r w:rsidRPr="001876BD">
        <w:rPr>
          <w:rFonts w:eastAsia="Calibri"/>
          <w:b/>
          <w:szCs w:val="28"/>
        </w:rPr>
        <w:t>1</w:t>
      </w:r>
      <w:r w:rsidR="00D25801" w:rsidRPr="001876BD">
        <w:rPr>
          <w:rFonts w:eastAsia="Calibri"/>
          <w:b/>
          <w:szCs w:val="28"/>
          <w:lang w:val="ru-RU"/>
        </w:rPr>
        <w:t>1</w:t>
      </w:r>
      <w:r w:rsidRPr="001876BD">
        <w:rPr>
          <w:rFonts w:eastAsia="Calibri"/>
          <w:b/>
          <w:szCs w:val="28"/>
        </w:rPr>
        <w:t>.</w:t>
      </w:r>
      <w:r w:rsidRPr="001876BD">
        <w:rPr>
          <w:rFonts w:eastAsia="Calibri"/>
          <w:szCs w:val="28"/>
        </w:rPr>
        <w:t xml:space="preserve"> У ст. 14 проекту, якою фактично унормовуються питання загального дозволу на провадження діяльності господарюючих суб’єктів у сфері поштових послуг, виклика</w:t>
      </w:r>
      <w:r w:rsidR="00CD087E" w:rsidRPr="001876BD">
        <w:rPr>
          <w:rFonts w:eastAsia="Calibri"/>
          <w:szCs w:val="28"/>
        </w:rPr>
        <w:t>є</w:t>
      </w:r>
      <w:r w:rsidRPr="001876BD">
        <w:rPr>
          <w:rFonts w:eastAsia="Calibri"/>
          <w:szCs w:val="28"/>
        </w:rPr>
        <w:t xml:space="preserve"> зауваження запропонована правова конструкція, за якою, у разі неотримання у встановлений строк національним регулятором від оператора поштового зв’язку</w:t>
      </w:r>
      <w:r w:rsidRPr="004F0DEB">
        <w:rPr>
          <w:rFonts w:eastAsia="Calibri"/>
          <w:szCs w:val="28"/>
        </w:rPr>
        <w:t xml:space="preserve"> повідомлення про підтвердження відомостей про такого оператора, до реєстру операторів поштового зв’язку вноситься інформація про припинення здійснення господарської діяльності у сфері надання послуг поштового зв’язку таким оператором поштового зв’язку (ч. 6). На нашу думку, такі норми </w:t>
      </w:r>
      <w:r w:rsidRPr="004F0DEB">
        <w:rPr>
          <w:rFonts w:eastAsia="Calibri"/>
          <w:i/>
          <w:iCs/>
          <w:szCs w:val="28"/>
        </w:rPr>
        <w:t>є непропорційними</w:t>
      </w:r>
      <w:r w:rsidRPr="004F0DEB">
        <w:rPr>
          <w:rFonts w:eastAsia="Calibri"/>
          <w:szCs w:val="28"/>
        </w:rPr>
        <w:t>, та їм мало б передувати проведення відповідної перевірки. При цьому, в проекті відсутня регламентація порядку надсилання такого повідомлення. Аналогічні зауваження в повній мірі стосуються й положень ч. 1 ст. 30 проекту.</w:t>
      </w:r>
    </w:p>
    <w:p w14:paraId="58BF249F" w14:textId="44319B79" w:rsidR="00591F31" w:rsidRPr="004F0DEB" w:rsidRDefault="00591F31" w:rsidP="00591F31">
      <w:pPr>
        <w:numPr>
          <w:ilvl w:val="0"/>
          <w:numId w:val="7"/>
        </w:numPr>
        <w:suppressAutoHyphens w:val="0"/>
        <w:ind w:firstLine="709"/>
        <w:contextualSpacing/>
        <w:jc w:val="both"/>
        <w:rPr>
          <w:rFonts w:eastAsia="Calibri"/>
          <w:szCs w:val="28"/>
        </w:rPr>
      </w:pPr>
      <w:r w:rsidRPr="004F0DEB">
        <w:rPr>
          <w:rFonts w:eastAsia="Calibri"/>
          <w:szCs w:val="28"/>
        </w:rPr>
        <w:t xml:space="preserve">Принагідно звертаємо увагу на припис ч. 5 ст. 4 </w:t>
      </w:r>
      <w:r w:rsidR="001876BD">
        <w:rPr>
          <w:rFonts w:eastAsia="Calibri"/>
          <w:szCs w:val="28"/>
        </w:rPr>
        <w:t>Закону України</w:t>
      </w:r>
      <w:r w:rsidR="001876BD" w:rsidRPr="001876BD">
        <w:rPr>
          <w:rFonts w:eastAsia="Calibri"/>
          <w:szCs w:val="28"/>
        </w:rPr>
        <w:br/>
      </w:r>
      <w:r w:rsidRPr="004F0DEB">
        <w:rPr>
          <w:rFonts w:eastAsia="Calibri"/>
          <w:szCs w:val="28"/>
        </w:rPr>
        <w:t xml:space="preserve">«Про основні засади державного нагляду (контролю) у сфері господарської діяльності», згідно із якими «надання послуг суб’єктами господарювання можуть бути зупинені повністю або частково </w:t>
      </w:r>
      <w:r w:rsidRPr="004F0DEB">
        <w:rPr>
          <w:rFonts w:eastAsia="Calibri"/>
          <w:i/>
          <w:iCs/>
          <w:szCs w:val="28"/>
        </w:rPr>
        <w:t>виключно за рішенням суду</w:t>
      </w:r>
      <w:r w:rsidRPr="004F0DEB">
        <w:rPr>
          <w:rFonts w:eastAsia="Calibri"/>
          <w:szCs w:val="28"/>
        </w:rPr>
        <w:t>».</w:t>
      </w:r>
    </w:p>
    <w:p w14:paraId="37ECD0E3" w14:textId="10F88610" w:rsidR="00591F31" w:rsidRPr="004F0DEB" w:rsidRDefault="00591F31" w:rsidP="00591F31">
      <w:pPr>
        <w:numPr>
          <w:ilvl w:val="0"/>
          <w:numId w:val="7"/>
        </w:numPr>
        <w:suppressAutoHyphens w:val="0"/>
        <w:ind w:firstLine="709"/>
        <w:contextualSpacing/>
        <w:jc w:val="both"/>
        <w:rPr>
          <w:rFonts w:eastAsia="Calibri"/>
          <w:szCs w:val="28"/>
        </w:rPr>
      </w:pPr>
      <w:r w:rsidRPr="004F0DEB">
        <w:rPr>
          <w:rFonts w:eastAsia="Calibri"/>
          <w:b/>
          <w:szCs w:val="28"/>
        </w:rPr>
        <w:t>1</w:t>
      </w:r>
      <w:r w:rsidR="00D25801" w:rsidRPr="004F0DEB">
        <w:rPr>
          <w:rFonts w:eastAsia="Calibri"/>
          <w:b/>
          <w:szCs w:val="28"/>
          <w:lang w:val="ru-RU"/>
        </w:rPr>
        <w:t>2</w:t>
      </w:r>
      <w:r w:rsidRPr="004F0DEB">
        <w:rPr>
          <w:rFonts w:eastAsia="Calibri"/>
          <w:b/>
          <w:szCs w:val="28"/>
        </w:rPr>
        <w:t>.</w:t>
      </w:r>
      <w:r w:rsidRPr="004F0DEB">
        <w:rPr>
          <w:rFonts w:eastAsia="Calibri"/>
          <w:szCs w:val="28"/>
        </w:rPr>
        <w:t xml:space="preserve"> Вбачається зайвим запропонований в ст. 17 проекту один з критеріїв, за яким визначатиметься призначений оператор поштового зв’язку, а саме – «здійснення обслуговування користувачів без будь-якої форми дискримінації, в тому числі без дискримінації, що є результатом політичних, релігійних або ідеологічних поглядів». Адже приписи ч. 1 ст. 24 Конституції України вже передбачають, що «не може бути привілеїв чи обмежень за ознаками раси, кольору шкіри, політичних, релігійних та інших переконань, статі, етнічного та соціального походження, майнового стану, місця проживання, за </w:t>
      </w:r>
      <w:proofErr w:type="spellStart"/>
      <w:r w:rsidRPr="004F0DEB">
        <w:rPr>
          <w:rFonts w:eastAsia="Calibri"/>
          <w:szCs w:val="28"/>
        </w:rPr>
        <w:t>мовними</w:t>
      </w:r>
      <w:proofErr w:type="spellEnd"/>
      <w:r w:rsidRPr="004F0DEB">
        <w:rPr>
          <w:rFonts w:eastAsia="Calibri"/>
          <w:szCs w:val="28"/>
        </w:rPr>
        <w:t xml:space="preserve"> або іншими ознаками».</w:t>
      </w:r>
    </w:p>
    <w:p w14:paraId="1316683D" w14:textId="77777777" w:rsidR="00591F31" w:rsidRPr="001876BD" w:rsidRDefault="00591F31" w:rsidP="00591F31">
      <w:pPr>
        <w:ind w:firstLine="708"/>
        <w:jc w:val="both"/>
        <w:rPr>
          <w:rFonts w:eastAsia="Calibri"/>
          <w:szCs w:val="28"/>
          <w:shd w:val="clear" w:color="auto" w:fill="FFFFFF"/>
        </w:rPr>
      </w:pPr>
      <w:r w:rsidRPr="004F0DEB">
        <w:rPr>
          <w:rFonts w:eastAsia="Calibri"/>
          <w:szCs w:val="28"/>
        </w:rPr>
        <w:t xml:space="preserve">Також положення ч. 5 ст. 21 проекту відповідно до яких «оператор поштового зв’язку виділяє та створює робочі місця для працевлаштування осіб з інвалідністю у кількості, не меншій, ніж передбачено статтею 19 Закону України «Про основи соціальної захищеності осіб з інвалідністю в Україні» для виконання нормативу робочих місць, призначених для працевлаштування осіб з </w:t>
      </w:r>
      <w:r w:rsidRPr="004F0DEB">
        <w:rPr>
          <w:rFonts w:eastAsia="Calibri"/>
          <w:szCs w:val="28"/>
        </w:rPr>
        <w:lastRenderedPageBreak/>
        <w:t xml:space="preserve">інвалідністю», на нашу думку, є зайвим, з огляду на те, що зазначений Закон поширює свою дію на </w:t>
      </w:r>
      <w:r w:rsidRPr="004F0DEB">
        <w:rPr>
          <w:rFonts w:eastAsia="Calibri"/>
          <w:szCs w:val="28"/>
          <w:shd w:val="clear" w:color="auto" w:fill="FFFFFF"/>
        </w:rPr>
        <w:t xml:space="preserve">всі підприємства, установи, організації та фізичних осіб, які використовують найману працю, щодо обов’язку виділяти та створювати </w:t>
      </w:r>
      <w:r w:rsidRPr="001876BD">
        <w:rPr>
          <w:rFonts w:eastAsia="Calibri"/>
          <w:szCs w:val="28"/>
          <w:shd w:val="clear" w:color="auto" w:fill="FFFFFF"/>
        </w:rPr>
        <w:t>робочі місця для працевлаштування осіб з інвалідністю відповідно до встановлених нормативів.</w:t>
      </w:r>
    </w:p>
    <w:p w14:paraId="5DA9A27B" w14:textId="77777777" w:rsidR="00591F31" w:rsidRPr="001876BD" w:rsidRDefault="00591F31" w:rsidP="00591F31">
      <w:pPr>
        <w:ind w:firstLine="708"/>
        <w:jc w:val="both"/>
        <w:rPr>
          <w:rFonts w:eastAsia="Calibri"/>
          <w:bCs/>
          <w:szCs w:val="28"/>
        </w:rPr>
      </w:pPr>
      <w:r w:rsidRPr="001876BD">
        <w:rPr>
          <w:rFonts w:eastAsia="Calibri"/>
          <w:szCs w:val="28"/>
          <w:shd w:val="clear" w:color="auto" w:fill="FFFFFF"/>
        </w:rPr>
        <w:t>Крім того,  дублювання чинних положень законів допущено в</w:t>
      </w:r>
      <w:r w:rsidRPr="001876BD">
        <w:rPr>
          <w:rFonts w:eastAsia="Calibri"/>
          <w:bCs/>
          <w:szCs w:val="28"/>
        </w:rPr>
        <w:t xml:space="preserve"> положеннях ст. 4 проекту (дублюють приписи ст. 35 «Державна мова у сфері телекомунікацій та поштового зв’язку» Закону України «Про забезпечення функціонування української мови як державної»). </w:t>
      </w:r>
    </w:p>
    <w:p w14:paraId="4FCB3CF9" w14:textId="7CF9D1F4" w:rsidR="00591F31" w:rsidRPr="004F0DEB" w:rsidRDefault="00591F31" w:rsidP="00591F31">
      <w:pPr>
        <w:ind w:firstLine="708"/>
        <w:jc w:val="both"/>
        <w:rPr>
          <w:rFonts w:eastAsia="Calibri"/>
          <w:szCs w:val="28"/>
        </w:rPr>
      </w:pPr>
      <w:r w:rsidRPr="001876BD">
        <w:rPr>
          <w:rFonts w:eastAsia="Calibri"/>
          <w:b/>
          <w:bCs/>
          <w:szCs w:val="28"/>
        </w:rPr>
        <w:t>1</w:t>
      </w:r>
      <w:r w:rsidR="00D25801" w:rsidRPr="001876BD">
        <w:rPr>
          <w:rFonts w:eastAsia="Calibri"/>
          <w:b/>
          <w:bCs/>
          <w:szCs w:val="28"/>
        </w:rPr>
        <w:t>3</w:t>
      </w:r>
      <w:r w:rsidRPr="001876BD">
        <w:rPr>
          <w:rFonts w:eastAsia="Calibri"/>
          <w:b/>
          <w:bCs/>
          <w:szCs w:val="28"/>
        </w:rPr>
        <w:t xml:space="preserve">. </w:t>
      </w:r>
      <w:r w:rsidRPr="001876BD">
        <w:rPr>
          <w:rFonts w:eastAsia="Calibri"/>
          <w:szCs w:val="28"/>
        </w:rPr>
        <w:t>Передбачена у проекті модель регулювання діяльності персоналу, як і у чинному Законі</w:t>
      </w:r>
      <w:r w:rsidR="001876BD" w:rsidRPr="001876BD">
        <w:rPr>
          <w:rFonts w:eastAsia="Calibri"/>
          <w:szCs w:val="28"/>
        </w:rPr>
        <w:t xml:space="preserve"> України «Про поштовий зв'язок»</w:t>
      </w:r>
      <w:r w:rsidRPr="001876BD">
        <w:rPr>
          <w:rFonts w:eastAsia="Calibri"/>
          <w:szCs w:val="28"/>
        </w:rPr>
        <w:t>, не дає чіткого уявлення про правовий статус працівників, які забезпечують надання послуг поштового зв’язку – не вказано обсяг їх прав і обов’язків чи документ, який має визначати конкретну трудову функцію працівника, за виконання якої він нестиме відповідальність (трудовий договір, посадова інструкція). При цьому</w:t>
      </w:r>
      <w:r w:rsidR="00CD087E" w:rsidRPr="001876BD">
        <w:rPr>
          <w:rFonts w:eastAsia="Calibri"/>
          <w:szCs w:val="28"/>
        </w:rPr>
        <w:t>,</w:t>
      </w:r>
      <w:r w:rsidRPr="001876BD">
        <w:rPr>
          <w:rFonts w:eastAsia="Calibri"/>
          <w:szCs w:val="28"/>
        </w:rPr>
        <w:t xml:space="preserve"> у проекті</w:t>
      </w:r>
      <w:r w:rsidRPr="004F0DEB">
        <w:rPr>
          <w:rFonts w:eastAsia="Calibri"/>
          <w:szCs w:val="28"/>
        </w:rPr>
        <w:t xml:space="preserve"> пропонується виключити чинну норму, у якій вказано, що «трудові відносини персоналу оператора регулюються законодавством України про працю та правилами внутрішнього трудового розпорядку».</w:t>
      </w:r>
    </w:p>
    <w:p w14:paraId="42EEF2B3" w14:textId="77777777" w:rsidR="00591F31" w:rsidRPr="004F0DEB" w:rsidRDefault="00591F31" w:rsidP="00591F31">
      <w:pPr>
        <w:suppressAutoHyphens w:val="0"/>
        <w:ind w:firstLine="709"/>
        <w:jc w:val="both"/>
        <w:rPr>
          <w:rFonts w:eastAsia="Calibri"/>
          <w:szCs w:val="28"/>
        </w:rPr>
      </w:pPr>
      <w:r w:rsidRPr="004F0DEB">
        <w:rPr>
          <w:rFonts w:eastAsia="Calibri"/>
          <w:szCs w:val="28"/>
        </w:rPr>
        <w:t>Зазначено лише, що «персонал оператора поштового зв’язку, який задіяний для обслуговування користувачів, зобов’язаний дотримуватись загальноприйнятих правил поведінки, культури спілкування та етики під час обслуговування користувачів. У разі звернення осіб з інвалідністю, пенсіонерів та осіб, які потребують сторонньої допомоги, надає допомогу під час їх обслуговування в об’єктах поштового зв’язку» та обов’язок оператора поштового зв’язку організовувати навчання персоналу, який задіяний до обслуговування користувачів, з урахуванням потреб осіб з інвалідністю (ст. 21 проекту).</w:t>
      </w:r>
    </w:p>
    <w:p w14:paraId="63E1997D" w14:textId="783CB4FF" w:rsidR="00591F31" w:rsidRPr="004F0DEB" w:rsidRDefault="00591F31" w:rsidP="00591F31">
      <w:pPr>
        <w:numPr>
          <w:ilvl w:val="0"/>
          <w:numId w:val="7"/>
        </w:numPr>
        <w:suppressAutoHyphens w:val="0"/>
        <w:ind w:firstLine="709"/>
        <w:contextualSpacing/>
        <w:jc w:val="both"/>
        <w:rPr>
          <w:rFonts w:eastAsia="Calibri"/>
          <w:szCs w:val="28"/>
        </w:rPr>
      </w:pPr>
      <w:r w:rsidRPr="001876BD">
        <w:rPr>
          <w:rFonts w:eastAsia="Calibri"/>
          <w:b/>
          <w:szCs w:val="28"/>
        </w:rPr>
        <w:t>1</w:t>
      </w:r>
      <w:r w:rsidR="00D25801" w:rsidRPr="001876BD">
        <w:rPr>
          <w:rFonts w:eastAsia="Calibri"/>
          <w:b/>
          <w:szCs w:val="28"/>
        </w:rPr>
        <w:t>4</w:t>
      </w:r>
      <w:r w:rsidRPr="001876BD">
        <w:rPr>
          <w:rFonts w:eastAsia="Calibri"/>
          <w:b/>
          <w:szCs w:val="28"/>
        </w:rPr>
        <w:t>.</w:t>
      </w:r>
      <w:r w:rsidRPr="001876BD">
        <w:rPr>
          <w:rFonts w:eastAsia="Calibri"/>
          <w:szCs w:val="28"/>
        </w:rPr>
        <w:t xml:space="preserve"> З метою узгодження положень ч. 3 ст. 25 проекту з термінологією чинного Закону України «Про автомобільний транспорт» доцільно замість терміну «транспортні засоби </w:t>
      </w:r>
      <w:r w:rsidRPr="001876BD">
        <w:rPr>
          <w:rFonts w:eastAsia="Calibri"/>
          <w:i/>
          <w:szCs w:val="28"/>
        </w:rPr>
        <w:t>спеціального</w:t>
      </w:r>
      <w:r w:rsidRPr="001876BD">
        <w:rPr>
          <w:rFonts w:eastAsia="Calibri"/>
          <w:szCs w:val="28"/>
        </w:rPr>
        <w:t xml:space="preserve"> призначення» вживати термін «транспорті засоби </w:t>
      </w:r>
      <w:r w:rsidRPr="001876BD">
        <w:rPr>
          <w:rFonts w:eastAsia="Calibri"/>
          <w:i/>
          <w:szCs w:val="28"/>
        </w:rPr>
        <w:t>спеціалізованого</w:t>
      </w:r>
      <w:r w:rsidRPr="001876BD">
        <w:rPr>
          <w:rFonts w:eastAsia="Calibri"/>
          <w:szCs w:val="28"/>
        </w:rPr>
        <w:t xml:space="preserve"> призначення», </w:t>
      </w:r>
      <w:r w:rsidRPr="001876BD">
        <w:rPr>
          <w:rFonts w:eastAsia="Calibri"/>
          <w:bCs/>
          <w:szCs w:val="28"/>
        </w:rPr>
        <w:t xml:space="preserve">до яких, згідно із визначенням </w:t>
      </w:r>
      <w:r w:rsidR="00CD087E" w:rsidRPr="001876BD">
        <w:rPr>
          <w:rFonts w:eastAsia="Calibri"/>
          <w:bCs/>
          <w:szCs w:val="28"/>
        </w:rPr>
        <w:t>у</w:t>
      </w:r>
      <w:r w:rsidR="001876BD" w:rsidRPr="001876BD">
        <w:rPr>
          <w:rFonts w:eastAsia="Calibri"/>
          <w:bCs/>
          <w:szCs w:val="28"/>
        </w:rPr>
        <w:t xml:space="preserve"> </w:t>
      </w:r>
      <w:r w:rsidRPr="001876BD">
        <w:rPr>
          <w:rFonts w:eastAsia="Calibri"/>
          <w:bCs/>
          <w:szCs w:val="28"/>
        </w:rPr>
        <w:t>ст. 1 згаданого Закону, слід відносити транспортні засоби, які призначені для перевезення певних категорій пасажирів чи вантажів (автобус для перевезення дітей, осіб</w:t>
      </w:r>
      <w:r w:rsidRPr="004F0DEB">
        <w:rPr>
          <w:rFonts w:eastAsia="Calibri"/>
          <w:bCs/>
          <w:szCs w:val="28"/>
        </w:rPr>
        <w:t xml:space="preserve"> з інвалідністю, пасажирів певних професій, самоскид, цистерна, сідельний тягач, фургон, спеціалізований санітарний автомобіль екстреної медичної допомоги, автомобіль інкасації, ритуальний автомобіль тощо) та мають спеціальне обладнання (таксі, броньований, обладнаний спеціальними світловими і звуковими сигнальними пристроями тощо).</w:t>
      </w:r>
    </w:p>
    <w:p w14:paraId="60CA2FCB" w14:textId="7AEB4D47" w:rsidR="00591F31" w:rsidRDefault="00591F31" w:rsidP="00591F31">
      <w:pPr>
        <w:numPr>
          <w:ilvl w:val="0"/>
          <w:numId w:val="7"/>
        </w:numPr>
        <w:suppressAutoHyphens w:val="0"/>
        <w:ind w:firstLine="709"/>
        <w:contextualSpacing/>
        <w:jc w:val="both"/>
        <w:rPr>
          <w:rFonts w:eastAsia="Calibri"/>
          <w:szCs w:val="28"/>
        </w:rPr>
      </w:pPr>
      <w:r w:rsidRPr="004F0DEB">
        <w:rPr>
          <w:rFonts w:eastAsia="Calibri"/>
          <w:b/>
          <w:szCs w:val="28"/>
        </w:rPr>
        <w:t>1</w:t>
      </w:r>
      <w:r w:rsidR="00D25801" w:rsidRPr="004F0DEB">
        <w:rPr>
          <w:rFonts w:eastAsia="Calibri"/>
          <w:b/>
          <w:szCs w:val="28"/>
          <w:lang w:val="ru-RU"/>
        </w:rPr>
        <w:t>5</w:t>
      </w:r>
      <w:r w:rsidRPr="004F0DEB">
        <w:rPr>
          <w:rFonts w:eastAsia="Calibri"/>
          <w:b/>
          <w:szCs w:val="28"/>
        </w:rPr>
        <w:t>.</w:t>
      </w:r>
      <w:r w:rsidRPr="004F0DEB">
        <w:rPr>
          <w:rFonts w:eastAsia="Calibri"/>
          <w:szCs w:val="28"/>
        </w:rPr>
        <w:t xml:space="preserve"> У прикінцевих положеннях проекту пропонується доручити центральному органу виконавчої влади, що забезпечує формування та реалізує державну </w:t>
      </w:r>
      <w:r w:rsidRPr="001876BD">
        <w:rPr>
          <w:rFonts w:eastAsia="Calibri"/>
          <w:szCs w:val="28"/>
        </w:rPr>
        <w:t xml:space="preserve">політику у сфері надання послуг поштового зв’язку до дня введення в дію цього Закону забезпечити прийняття нормативно-правових актів, необхідних для реалізації цього Закону. Звертаємо увагу, що надання доручень центральним органам виконавчої влади не віднесено до повноважень Верховної Ради України, визначених </w:t>
      </w:r>
      <w:r w:rsidR="00CD087E" w:rsidRPr="001876BD">
        <w:rPr>
          <w:rFonts w:eastAsia="Calibri"/>
          <w:szCs w:val="28"/>
        </w:rPr>
        <w:t>у</w:t>
      </w:r>
      <w:r w:rsidRPr="001876BD">
        <w:rPr>
          <w:rFonts w:eastAsia="Calibri"/>
          <w:szCs w:val="28"/>
        </w:rPr>
        <w:t xml:space="preserve"> ст. 85 Конституції України.</w:t>
      </w:r>
    </w:p>
    <w:p w14:paraId="4798615A" w14:textId="273F4940" w:rsidR="00591F31" w:rsidRPr="004F0DEB" w:rsidRDefault="00591F31" w:rsidP="00591F31">
      <w:pPr>
        <w:numPr>
          <w:ilvl w:val="0"/>
          <w:numId w:val="7"/>
        </w:numPr>
        <w:suppressAutoHyphens w:val="0"/>
        <w:ind w:firstLine="709"/>
        <w:contextualSpacing/>
        <w:jc w:val="both"/>
        <w:rPr>
          <w:rFonts w:eastAsia="Calibri"/>
          <w:bCs/>
          <w:szCs w:val="28"/>
        </w:rPr>
      </w:pPr>
      <w:bookmarkStart w:id="0" w:name="_GoBack"/>
      <w:bookmarkEnd w:id="0"/>
      <w:r w:rsidRPr="001876BD">
        <w:rPr>
          <w:rFonts w:eastAsia="Calibri"/>
          <w:b/>
          <w:bCs/>
          <w:szCs w:val="28"/>
        </w:rPr>
        <w:lastRenderedPageBreak/>
        <w:t>1</w:t>
      </w:r>
      <w:r w:rsidR="00D25801" w:rsidRPr="001876BD">
        <w:rPr>
          <w:rFonts w:eastAsia="Calibri"/>
          <w:b/>
          <w:bCs/>
          <w:szCs w:val="28"/>
        </w:rPr>
        <w:t>6</w:t>
      </w:r>
      <w:r w:rsidRPr="001876BD">
        <w:rPr>
          <w:rFonts w:eastAsia="Calibri"/>
          <w:b/>
          <w:bCs/>
          <w:szCs w:val="28"/>
        </w:rPr>
        <w:t>.</w:t>
      </w:r>
      <w:r w:rsidRPr="001876BD">
        <w:rPr>
          <w:rFonts w:eastAsia="Calibri"/>
          <w:bCs/>
          <w:szCs w:val="28"/>
        </w:rPr>
        <w:t xml:space="preserve"> Крім вищезазначеного, на нашу думку, в проекті Закону доцільно було б детальніше приділити також</w:t>
      </w:r>
      <w:r w:rsidRPr="004F0DEB">
        <w:rPr>
          <w:rFonts w:eastAsia="Calibri"/>
          <w:bCs/>
          <w:szCs w:val="28"/>
        </w:rPr>
        <w:t xml:space="preserve"> увагу питанням: деталізації повноважень національного регулятора щодо засобів забезпечення правил конкуренції в сфері послуг поштового зв’язку (в контексті аналізу ситуації на ринку поштових послуг, вимог щодо звітності операторів поштових послуг тощо); забезпечення користувачів та господарюючих суб’єктів ефективними механізмами подання та розгляду скарг; впровадження вичерпного переліку прав та обов’язків поштових операторів; механізмів фінансового забезпечення надання універсальної послуги на всій території України (зокрема – у віддалених районах з невеликою кількістю населення).</w:t>
      </w:r>
    </w:p>
    <w:p w14:paraId="3BDB9509" w14:textId="77777777" w:rsidR="00591F31" w:rsidRPr="004F0DEB" w:rsidRDefault="00591F31" w:rsidP="00591F31">
      <w:pPr>
        <w:widowControl w:val="0"/>
        <w:suppressAutoHyphens w:val="0"/>
        <w:overflowPunct w:val="0"/>
        <w:ind w:right="-2" w:firstLine="709"/>
        <w:contextualSpacing/>
        <w:jc w:val="both"/>
        <w:rPr>
          <w:rFonts w:eastAsia="Calibri"/>
          <w:szCs w:val="28"/>
        </w:rPr>
      </w:pPr>
    </w:p>
    <w:p w14:paraId="71F13DDA" w14:textId="77777777" w:rsidR="00591F31" w:rsidRPr="004F0DEB" w:rsidRDefault="00591F31" w:rsidP="00591F31">
      <w:pPr>
        <w:widowControl w:val="0"/>
        <w:suppressAutoHyphens w:val="0"/>
        <w:overflowPunct w:val="0"/>
        <w:ind w:right="-2" w:firstLine="709"/>
        <w:contextualSpacing/>
        <w:jc w:val="both"/>
        <w:rPr>
          <w:rFonts w:eastAsia="Calibri"/>
          <w:szCs w:val="28"/>
        </w:rPr>
      </w:pPr>
    </w:p>
    <w:p w14:paraId="4EDECE41" w14:textId="5BF4010E" w:rsidR="00591F31" w:rsidRPr="004F0DEB" w:rsidRDefault="00591F31" w:rsidP="00591F31">
      <w:pPr>
        <w:tabs>
          <w:tab w:val="left" w:pos="0"/>
        </w:tabs>
        <w:ind w:right="-2" w:firstLine="709"/>
        <w:jc w:val="both"/>
        <w:rPr>
          <w:rFonts w:eastAsia="Calibri"/>
          <w:szCs w:val="28"/>
        </w:rPr>
      </w:pPr>
      <w:r w:rsidRPr="004F0DEB">
        <w:rPr>
          <w:rFonts w:eastAsia="Calibri"/>
          <w:szCs w:val="28"/>
        </w:rPr>
        <w:t xml:space="preserve">Керівник Головного управління                                             </w:t>
      </w:r>
      <w:r w:rsidR="00DD3D59">
        <w:rPr>
          <w:rFonts w:eastAsia="Calibri"/>
          <w:szCs w:val="28"/>
        </w:rPr>
        <w:t xml:space="preserve">     </w:t>
      </w:r>
      <w:r w:rsidRPr="004F0DEB">
        <w:rPr>
          <w:rFonts w:eastAsia="Calibri"/>
          <w:szCs w:val="28"/>
        </w:rPr>
        <w:t xml:space="preserve"> С. Тихонюк</w:t>
      </w:r>
      <w:bookmarkStart w:id="1" w:name="_GoBack1"/>
      <w:bookmarkEnd w:id="1"/>
    </w:p>
    <w:p w14:paraId="549B6968" w14:textId="77777777" w:rsidR="00591F31" w:rsidRPr="004F0DEB" w:rsidRDefault="00591F31" w:rsidP="00591F31">
      <w:pPr>
        <w:tabs>
          <w:tab w:val="left" w:pos="0"/>
        </w:tabs>
        <w:ind w:right="-2" w:firstLine="709"/>
        <w:jc w:val="both"/>
        <w:rPr>
          <w:rFonts w:eastAsia="Calibri"/>
          <w:color w:val="000000" w:themeColor="text1"/>
          <w:szCs w:val="28"/>
        </w:rPr>
      </w:pPr>
    </w:p>
    <w:p w14:paraId="473139F1" w14:textId="77777777" w:rsidR="004F0DEB" w:rsidRPr="004F0DEB" w:rsidRDefault="004F0DEB" w:rsidP="00591F31">
      <w:pPr>
        <w:tabs>
          <w:tab w:val="left" w:pos="0"/>
        </w:tabs>
        <w:ind w:right="-2" w:firstLine="709"/>
        <w:jc w:val="both"/>
        <w:rPr>
          <w:rFonts w:eastAsia="Calibri"/>
          <w:color w:val="000000" w:themeColor="text1"/>
          <w:szCs w:val="28"/>
        </w:rPr>
      </w:pPr>
    </w:p>
    <w:p w14:paraId="2E5DCADC" w14:textId="571AB0DD" w:rsidR="00591F31" w:rsidRPr="00591F31" w:rsidRDefault="00591F31" w:rsidP="00F60AD1">
      <w:pPr>
        <w:tabs>
          <w:tab w:val="left" w:pos="0"/>
        </w:tabs>
        <w:ind w:firstLine="709"/>
        <w:jc w:val="both"/>
        <w:rPr>
          <w:rFonts w:eastAsia="Calibri"/>
          <w:szCs w:val="28"/>
        </w:rPr>
      </w:pPr>
      <w:proofErr w:type="spellStart"/>
      <w:r w:rsidRPr="00591F31">
        <w:rPr>
          <w:rFonts w:eastAsia="Calibri"/>
          <w:color w:val="000000" w:themeColor="text1"/>
          <w:sz w:val="20"/>
          <w:szCs w:val="28"/>
        </w:rPr>
        <w:t>Вик</w:t>
      </w:r>
      <w:proofErr w:type="spellEnd"/>
      <w:r w:rsidRPr="00591F31">
        <w:rPr>
          <w:rFonts w:eastAsia="Calibri"/>
          <w:color w:val="000000" w:themeColor="text1"/>
          <w:sz w:val="20"/>
          <w:szCs w:val="28"/>
        </w:rPr>
        <w:t xml:space="preserve">.: О. Макаренко, В. Грицак, </w:t>
      </w:r>
      <w:r w:rsidRPr="00591F31">
        <w:rPr>
          <w:rFonts w:eastAsia="Calibri"/>
          <w:sz w:val="20"/>
          <w:szCs w:val="20"/>
        </w:rPr>
        <w:t>Л. Демчук</w:t>
      </w:r>
      <w:r w:rsidRPr="00591F31">
        <w:rPr>
          <w:rFonts w:eastAsia="Calibri"/>
          <w:sz w:val="20"/>
          <w:szCs w:val="20"/>
          <w:lang w:val="ru-RU"/>
        </w:rPr>
        <w:t xml:space="preserve">, </w:t>
      </w:r>
      <w:r w:rsidRPr="00591F31">
        <w:rPr>
          <w:rFonts w:eastAsia="Calibri"/>
          <w:sz w:val="20"/>
          <w:szCs w:val="20"/>
        </w:rPr>
        <w:t xml:space="preserve">Т. Макійчук, </w:t>
      </w:r>
      <w:r w:rsidRPr="00591F31">
        <w:rPr>
          <w:rFonts w:eastAsia="Calibri"/>
          <w:color w:val="000000" w:themeColor="text1"/>
          <w:sz w:val="20"/>
          <w:szCs w:val="28"/>
        </w:rPr>
        <w:t>Е. Вальковський</w:t>
      </w:r>
    </w:p>
    <w:p w14:paraId="19230866" w14:textId="77777777" w:rsidR="00591F31" w:rsidRPr="00B44E75" w:rsidRDefault="00591F31" w:rsidP="00E7387C">
      <w:pPr>
        <w:ind w:firstLine="709"/>
        <w:jc w:val="both"/>
        <w:rPr>
          <w:rStyle w:val="st1"/>
          <w:bCs/>
          <w:szCs w:val="28"/>
          <w:lang w:val="ru-RU"/>
        </w:rPr>
      </w:pPr>
    </w:p>
    <w:sectPr w:rsidR="00591F31" w:rsidRPr="00B44E75" w:rsidSect="00F60AD1">
      <w:headerReference w:type="default" r:id="rId8"/>
      <w:headerReference w:type="first" r:id="rId9"/>
      <w:pgSz w:w="11906" w:h="16838"/>
      <w:pgMar w:top="1134" w:right="567" w:bottom="1134" w:left="1701" w:header="709" w:footer="0" w:gutter="0"/>
      <w:cols w:space="720"/>
      <w:formProt w:val="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9D1835" w14:textId="77777777" w:rsidR="00FD0987" w:rsidRDefault="00FD0987">
      <w:r>
        <w:separator/>
      </w:r>
    </w:p>
  </w:endnote>
  <w:endnote w:type="continuationSeparator" w:id="0">
    <w:p w14:paraId="4B867553" w14:textId="77777777" w:rsidR="00FD0987" w:rsidRDefault="00FD09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20002A87"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4BB24E" w14:textId="77777777" w:rsidR="00FD0987" w:rsidRDefault="00FD0987">
      <w:pPr>
        <w:rPr>
          <w:sz w:val="12"/>
        </w:rPr>
      </w:pPr>
      <w:r>
        <w:separator/>
      </w:r>
    </w:p>
  </w:footnote>
  <w:footnote w:type="continuationSeparator" w:id="0">
    <w:p w14:paraId="1FC33D05" w14:textId="77777777" w:rsidR="00FD0987" w:rsidRDefault="00FD0987">
      <w:pPr>
        <w:rPr>
          <w:sz w:val="12"/>
        </w:rPr>
      </w:pPr>
      <w:r>
        <w:continuationSeparator/>
      </w:r>
    </w:p>
  </w:footnote>
  <w:footnote w:id="1">
    <w:p w14:paraId="0918450E" w14:textId="250D2443" w:rsidR="00E7387C" w:rsidRPr="00650AA2" w:rsidRDefault="00650AA2" w:rsidP="00650AA2">
      <w:pPr>
        <w:pStyle w:val="af3"/>
        <w:ind w:left="0" w:firstLine="0"/>
      </w:pPr>
      <w:r w:rsidRPr="00650AA2">
        <w:t xml:space="preserve">      </w:t>
      </w:r>
      <w:r w:rsidR="00E7387C" w:rsidRPr="00650AA2">
        <w:rPr>
          <w:rStyle w:val="af7"/>
        </w:rPr>
        <w:footnoteRef/>
      </w:r>
      <w:r w:rsidR="00E7387C" w:rsidRPr="00650AA2">
        <w:t xml:space="preserve"> </w:t>
      </w:r>
      <w:r w:rsidR="001E053E" w:rsidRPr="00650AA2">
        <w:rPr>
          <w:lang w:val="en-US"/>
        </w:rPr>
        <w:t xml:space="preserve">URL: </w:t>
      </w:r>
      <w:r w:rsidR="00E7387C" w:rsidRPr="00650AA2">
        <w:t>http://curia.europa.eu/juris/showPdf.jsf?text=&amp;docid=69866&amp;pageIndex=0&amp;doclang=EN&amp;mode=lst&amp;dir=&amp;occ=first&amp;part=1&amp;cid=19176635</w:t>
      </w:r>
    </w:p>
  </w:footnote>
  <w:footnote w:id="2">
    <w:p w14:paraId="5F3C13EA" w14:textId="77777777" w:rsidR="00591F31" w:rsidRDefault="00591F31" w:rsidP="00591F31">
      <w:pPr>
        <w:pStyle w:val="af3"/>
        <w:ind w:left="0" w:firstLine="709"/>
      </w:pPr>
      <w:r>
        <w:rPr>
          <w:rStyle w:val="af7"/>
        </w:rPr>
        <w:footnoteRef/>
      </w:r>
      <w:r>
        <w:t xml:space="preserve"> </w:t>
      </w:r>
      <w:r>
        <w:rPr>
          <w:lang w:val="en-US"/>
        </w:rPr>
        <w:t>URL</w:t>
      </w:r>
      <w:r>
        <w:t>: http://curia.europa.eu/juris/document/document.jsf?text=&amp;docid=170311&amp;pageIndex=0&amp;doclang=en&amp;mode=lst&amp;dir=&amp;occ=first&amp;part=1&amp;cid=290318</w:t>
      </w:r>
    </w:p>
  </w:footnote>
  <w:footnote w:id="3">
    <w:p w14:paraId="1ED4E87A" w14:textId="77777777" w:rsidR="00591F31" w:rsidRDefault="00591F31" w:rsidP="00591F31">
      <w:pPr>
        <w:pStyle w:val="af3"/>
        <w:tabs>
          <w:tab w:val="left" w:pos="142"/>
        </w:tabs>
        <w:ind w:left="0" w:right="140" w:firstLine="709"/>
      </w:pPr>
      <w:r>
        <w:rPr>
          <w:rStyle w:val="af7"/>
        </w:rPr>
        <w:footnoteRef/>
      </w:r>
      <w:r>
        <w:t xml:space="preserve"> </w:t>
      </w:r>
      <w:r>
        <w:rPr>
          <w:lang w:val="en-US"/>
        </w:rPr>
        <w:t>URL</w:t>
      </w:r>
      <w:r>
        <w:t>: http://curia.europa.eu/juris/showPdf.jsf?text=&amp;docid=69866&amp;pageIndex=0&amp;doclang=EN&amp;mode=lst&amp;dir=&amp;occ=first&amp;part=1&amp;cid=19176635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D8A3BC" w14:textId="2963705B" w:rsidR="00BC10B4" w:rsidRDefault="007E50B5" w:rsidP="00946F34">
    <w:pPr>
      <w:pStyle w:val="af0"/>
      <w:jc w:val="center"/>
    </w:pPr>
    <w:r>
      <w:fldChar w:fldCharType="begin"/>
    </w:r>
    <w:r>
      <w:instrText>PAGE</w:instrText>
    </w:r>
    <w:r>
      <w:fldChar w:fldCharType="separate"/>
    </w:r>
    <w:r w:rsidR="00DD3D59">
      <w:rPr>
        <w:noProof/>
      </w:rPr>
      <w:t>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4F7047" w14:textId="3B6A777C" w:rsidR="00BC10B4" w:rsidRPr="00A413FE" w:rsidRDefault="007E50B5">
    <w:pPr>
      <w:pStyle w:val="af0"/>
      <w:tabs>
        <w:tab w:val="clear" w:pos="4819"/>
        <w:tab w:val="clear" w:pos="9639"/>
        <w:tab w:val="center" w:pos="4677"/>
        <w:tab w:val="right" w:pos="10179"/>
      </w:tabs>
      <w:ind w:right="-2"/>
      <w:jc w:val="right"/>
      <w:rPr>
        <w:sz w:val="20"/>
        <w:szCs w:val="20"/>
      </w:rPr>
    </w:pPr>
    <w:r w:rsidRPr="00A413FE">
      <w:rPr>
        <w:sz w:val="20"/>
        <w:szCs w:val="20"/>
      </w:rPr>
      <w:t xml:space="preserve">До реєстр. № </w:t>
    </w:r>
    <w:r w:rsidR="008A64C1">
      <w:rPr>
        <w:sz w:val="20"/>
        <w:szCs w:val="20"/>
      </w:rPr>
      <w:t>4353</w:t>
    </w:r>
    <w:r w:rsidR="008C07CB">
      <w:rPr>
        <w:sz w:val="20"/>
        <w:szCs w:val="20"/>
        <w:lang w:val="ru-RU"/>
      </w:rPr>
      <w:t>-</w:t>
    </w:r>
    <w:r w:rsidR="003D1198" w:rsidRPr="00004A7C">
      <w:rPr>
        <w:sz w:val="20"/>
        <w:szCs w:val="20"/>
        <w:lang w:val="ru-RU"/>
      </w:rPr>
      <w:t>2</w:t>
    </w:r>
    <w:r w:rsidRPr="00A413FE">
      <w:rPr>
        <w:sz w:val="20"/>
        <w:szCs w:val="20"/>
      </w:rPr>
      <w:t xml:space="preserve"> від </w:t>
    </w:r>
    <w:r w:rsidR="008C07CB">
      <w:rPr>
        <w:rFonts w:eastAsia="Times New Roman"/>
        <w:color w:val="000000"/>
        <w:sz w:val="20"/>
        <w:szCs w:val="20"/>
        <w:lang w:val="ru-RU" w:eastAsia="zh-CN"/>
      </w:rPr>
      <w:t>2</w:t>
    </w:r>
    <w:r w:rsidR="003D1198" w:rsidRPr="00004A7C">
      <w:rPr>
        <w:rFonts w:eastAsia="Times New Roman"/>
        <w:color w:val="000000"/>
        <w:sz w:val="20"/>
        <w:szCs w:val="20"/>
        <w:lang w:val="ru-RU" w:eastAsia="zh-CN"/>
      </w:rPr>
      <w:t>6</w:t>
    </w:r>
    <w:r w:rsidRPr="00A413FE">
      <w:rPr>
        <w:sz w:val="20"/>
        <w:szCs w:val="20"/>
      </w:rPr>
      <w:t>.</w:t>
    </w:r>
    <w:r w:rsidR="00BD56DA" w:rsidRPr="00A413FE">
      <w:rPr>
        <w:sz w:val="20"/>
        <w:szCs w:val="20"/>
      </w:rPr>
      <w:t>1</w:t>
    </w:r>
    <w:r w:rsidR="008A64C1">
      <w:rPr>
        <w:sz w:val="20"/>
        <w:szCs w:val="20"/>
      </w:rPr>
      <w:t>1</w:t>
    </w:r>
    <w:r w:rsidRPr="00A413FE">
      <w:rPr>
        <w:sz w:val="20"/>
        <w:szCs w:val="20"/>
      </w:rPr>
      <w:t>.2020</w:t>
    </w:r>
  </w:p>
  <w:p w14:paraId="2615C7A7" w14:textId="7992BD2A" w:rsidR="00702F09" w:rsidRDefault="007E50B5" w:rsidP="00267681">
    <w:pPr>
      <w:pStyle w:val="af0"/>
      <w:jc w:val="right"/>
      <w:rPr>
        <w:sz w:val="20"/>
        <w:szCs w:val="20"/>
      </w:rPr>
    </w:pPr>
    <w:r w:rsidRPr="00A413FE">
      <w:rPr>
        <w:sz w:val="20"/>
        <w:szCs w:val="20"/>
      </w:rPr>
      <w:t>Н</w:t>
    </w:r>
    <w:r w:rsidR="00A70CEB" w:rsidRPr="00A413FE">
      <w:rPr>
        <w:sz w:val="20"/>
        <w:szCs w:val="20"/>
      </w:rPr>
      <w:t>ародн</w:t>
    </w:r>
    <w:r w:rsidR="001E053E">
      <w:rPr>
        <w:sz w:val="20"/>
        <w:szCs w:val="20"/>
      </w:rPr>
      <w:t>і</w:t>
    </w:r>
    <w:r w:rsidR="00A70CEB" w:rsidRPr="00A413FE">
      <w:rPr>
        <w:sz w:val="20"/>
        <w:szCs w:val="20"/>
      </w:rPr>
      <w:t xml:space="preserve"> депутат</w:t>
    </w:r>
    <w:r w:rsidR="001E053E">
      <w:rPr>
        <w:sz w:val="20"/>
        <w:szCs w:val="20"/>
      </w:rPr>
      <w:t>и</w:t>
    </w:r>
    <w:r w:rsidR="00A70CEB" w:rsidRPr="00A413FE">
      <w:rPr>
        <w:sz w:val="20"/>
        <w:szCs w:val="20"/>
      </w:rPr>
      <w:t xml:space="preserve"> </w:t>
    </w:r>
    <w:r w:rsidRPr="00A413FE">
      <w:rPr>
        <w:sz w:val="20"/>
        <w:szCs w:val="20"/>
      </w:rPr>
      <w:t xml:space="preserve">України </w:t>
    </w:r>
  </w:p>
  <w:p w14:paraId="01038BA4" w14:textId="576A4D8C" w:rsidR="00267681" w:rsidRPr="00267681" w:rsidRDefault="008A64C1" w:rsidP="00267681">
    <w:pPr>
      <w:pStyle w:val="af0"/>
      <w:jc w:val="right"/>
      <w:rPr>
        <w:rFonts w:eastAsia="Times New Roman"/>
        <w:color w:val="000000"/>
        <w:sz w:val="20"/>
        <w:szCs w:val="20"/>
        <w:lang w:eastAsia="zh-CN"/>
      </w:rPr>
    </w:pPr>
    <w:r>
      <w:rPr>
        <w:sz w:val="20"/>
        <w:szCs w:val="20"/>
      </w:rPr>
      <w:t xml:space="preserve">М. </w:t>
    </w:r>
    <w:proofErr w:type="spellStart"/>
    <w:r w:rsidR="003D1198">
      <w:rPr>
        <w:sz w:val="20"/>
        <w:szCs w:val="20"/>
      </w:rPr>
      <w:t>Заблоцький</w:t>
    </w:r>
    <w:proofErr w:type="spellEnd"/>
    <w:r w:rsidR="001E053E">
      <w:rPr>
        <w:sz w:val="20"/>
        <w:szCs w:val="20"/>
      </w:rPr>
      <w:t xml:space="preserve">, Р. </w:t>
    </w:r>
    <w:proofErr w:type="spellStart"/>
    <w:r w:rsidR="001E053E">
      <w:rPr>
        <w:sz w:val="20"/>
        <w:szCs w:val="20"/>
      </w:rPr>
      <w:t>Тістик</w:t>
    </w:r>
    <w:proofErr w:type="spellEnd"/>
  </w:p>
  <w:p w14:paraId="7C4D5164" w14:textId="77777777" w:rsidR="00BC10B4" w:rsidRDefault="00BC10B4">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0056E"/>
    <w:multiLevelType w:val="hybridMultilevel"/>
    <w:tmpl w:val="B3D216D8"/>
    <w:lvl w:ilvl="0" w:tplc="A5F65330">
      <w:start w:val="1"/>
      <w:numFmt w:val="decimal"/>
      <w:lvlText w:val="%1."/>
      <w:lvlJc w:val="left"/>
      <w:pPr>
        <w:ind w:left="1069" w:hanging="360"/>
      </w:pPr>
      <w:rPr>
        <w:rFonts w:cs="Times New Roman"/>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1" w15:restartNumberingAfterBreak="0">
    <w:nsid w:val="25666F90"/>
    <w:multiLevelType w:val="multilevel"/>
    <w:tmpl w:val="83DC0EC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pStyle w:val="4"/>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3FF71A77"/>
    <w:multiLevelType w:val="multilevel"/>
    <w:tmpl w:val="1298D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CD11CB"/>
    <w:multiLevelType w:val="multilevel"/>
    <w:tmpl w:val="AFB2CA2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700836CA"/>
    <w:multiLevelType w:val="hybridMultilevel"/>
    <w:tmpl w:val="63D8D36A"/>
    <w:lvl w:ilvl="0" w:tplc="34D40368">
      <w:start w:val="1"/>
      <w:numFmt w:val="decimal"/>
      <w:lvlText w:val="%1."/>
      <w:lvlJc w:val="left"/>
      <w:pPr>
        <w:ind w:left="1068" w:hanging="360"/>
      </w:pPr>
      <w:rPr>
        <w:b/>
      </w:r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abstractNum w:abstractNumId="5" w15:restartNumberingAfterBreak="0">
    <w:nsid w:val="7BD44752"/>
    <w:multiLevelType w:val="multilevel"/>
    <w:tmpl w:val="B7247CC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
  </w:num>
  <w:num w:numId="2">
    <w:abstractNumId w:val="5"/>
  </w:num>
  <w:num w:numId="3">
    <w:abstractNumId w:val="3"/>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0B4"/>
    <w:rsid w:val="00004A7C"/>
    <w:rsid w:val="000114B1"/>
    <w:rsid w:val="00011B26"/>
    <w:rsid w:val="00011F0A"/>
    <w:rsid w:val="0002022B"/>
    <w:rsid w:val="0003525B"/>
    <w:rsid w:val="00040625"/>
    <w:rsid w:val="00047ADF"/>
    <w:rsid w:val="0007078A"/>
    <w:rsid w:val="000729ED"/>
    <w:rsid w:val="00072CA5"/>
    <w:rsid w:val="00083CF5"/>
    <w:rsid w:val="000876F1"/>
    <w:rsid w:val="000A39C8"/>
    <w:rsid w:val="000E63A3"/>
    <w:rsid w:val="000F3834"/>
    <w:rsid w:val="0010366B"/>
    <w:rsid w:val="00110291"/>
    <w:rsid w:val="00173F94"/>
    <w:rsid w:val="00174A56"/>
    <w:rsid w:val="00183E30"/>
    <w:rsid w:val="001876BD"/>
    <w:rsid w:val="001B6093"/>
    <w:rsid w:val="001B639D"/>
    <w:rsid w:val="001B7C62"/>
    <w:rsid w:val="001C7AF4"/>
    <w:rsid w:val="001E053E"/>
    <w:rsid w:val="001E55F0"/>
    <w:rsid w:val="00202534"/>
    <w:rsid w:val="00202729"/>
    <w:rsid w:val="00256164"/>
    <w:rsid w:val="00260228"/>
    <w:rsid w:val="0026389F"/>
    <w:rsid w:val="00266D59"/>
    <w:rsid w:val="00267681"/>
    <w:rsid w:val="00285789"/>
    <w:rsid w:val="002A7A9A"/>
    <w:rsid w:val="002B1905"/>
    <w:rsid w:val="002D083D"/>
    <w:rsid w:val="002E1BD6"/>
    <w:rsid w:val="002E3CF9"/>
    <w:rsid w:val="002E4168"/>
    <w:rsid w:val="0033589B"/>
    <w:rsid w:val="0035661C"/>
    <w:rsid w:val="00363206"/>
    <w:rsid w:val="00372D87"/>
    <w:rsid w:val="00386611"/>
    <w:rsid w:val="003A4661"/>
    <w:rsid w:val="003D1198"/>
    <w:rsid w:val="003E1312"/>
    <w:rsid w:val="004163CA"/>
    <w:rsid w:val="00416A83"/>
    <w:rsid w:val="00477BB6"/>
    <w:rsid w:val="00496054"/>
    <w:rsid w:val="004974D4"/>
    <w:rsid w:val="004A68E9"/>
    <w:rsid w:val="004A76F0"/>
    <w:rsid w:val="004C1BE5"/>
    <w:rsid w:val="004E74E4"/>
    <w:rsid w:val="004F0DEB"/>
    <w:rsid w:val="004F529C"/>
    <w:rsid w:val="00513D5A"/>
    <w:rsid w:val="00522BD9"/>
    <w:rsid w:val="00542FF7"/>
    <w:rsid w:val="00572C24"/>
    <w:rsid w:val="00591F31"/>
    <w:rsid w:val="005A121D"/>
    <w:rsid w:val="005B5264"/>
    <w:rsid w:val="005D31BA"/>
    <w:rsid w:val="00612910"/>
    <w:rsid w:val="00650AA2"/>
    <w:rsid w:val="00655729"/>
    <w:rsid w:val="00663039"/>
    <w:rsid w:val="006644C1"/>
    <w:rsid w:val="00664DC0"/>
    <w:rsid w:val="00676ABC"/>
    <w:rsid w:val="00684972"/>
    <w:rsid w:val="006E734B"/>
    <w:rsid w:val="006F5454"/>
    <w:rsid w:val="00702F09"/>
    <w:rsid w:val="00706103"/>
    <w:rsid w:val="00725478"/>
    <w:rsid w:val="007334F6"/>
    <w:rsid w:val="00735F35"/>
    <w:rsid w:val="00745F30"/>
    <w:rsid w:val="00750273"/>
    <w:rsid w:val="00764036"/>
    <w:rsid w:val="00783B1A"/>
    <w:rsid w:val="00787204"/>
    <w:rsid w:val="0079655F"/>
    <w:rsid w:val="007A1C2C"/>
    <w:rsid w:val="007A72B9"/>
    <w:rsid w:val="007C3EED"/>
    <w:rsid w:val="007C5932"/>
    <w:rsid w:val="007D4BA5"/>
    <w:rsid w:val="007D683B"/>
    <w:rsid w:val="007E50B5"/>
    <w:rsid w:val="007F355D"/>
    <w:rsid w:val="007F405F"/>
    <w:rsid w:val="007F653B"/>
    <w:rsid w:val="007F6719"/>
    <w:rsid w:val="008167EA"/>
    <w:rsid w:val="0082292D"/>
    <w:rsid w:val="0083303E"/>
    <w:rsid w:val="0086779D"/>
    <w:rsid w:val="00872CA1"/>
    <w:rsid w:val="00882EFE"/>
    <w:rsid w:val="008A64C1"/>
    <w:rsid w:val="008C07CB"/>
    <w:rsid w:val="008E09FF"/>
    <w:rsid w:val="009102D2"/>
    <w:rsid w:val="0093439B"/>
    <w:rsid w:val="00946F34"/>
    <w:rsid w:val="00947FDB"/>
    <w:rsid w:val="00962CB8"/>
    <w:rsid w:val="0096617B"/>
    <w:rsid w:val="00970CE1"/>
    <w:rsid w:val="00976877"/>
    <w:rsid w:val="009776B7"/>
    <w:rsid w:val="00982D67"/>
    <w:rsid w:val="009919F7"/>
    <w:rsid w:val="009A6075"/>
    <w:rsid w:val="009D566C"/>
    <w:rsid w:val="009F40DC"/>
    <w:rsid w:val="00A1652B"/>
    <w:rsid w:val="00A413FE"/>
    <w:rsid w:val="00A4651A"/>
    <w:rsid w:val="00A46824"/>
    <w:rsid w:val="00A61286"/>
    <w:rsid w:val="00A70CEB"/>
    <w:rsid w:val="00AA1931"/>
    <w:rsid w:val="00AC45D7"/>
    <w:rsid w:val="00AD13E2"/>
    <w:rsid w:val="00B11421"/>
    <w:rsid w:val="00B145AC"/>
    <w:rsid w:val="00B34114"/>
    <w:rsid w:val="00B352CD"/>
    <w:rsid w:val="00B404A2"/>
    <w:rsid w:val="00B41C88"/>
    <w:rsid w:val="00B44E75"/>
    <w:rsid w:val="00B55981"/>
    <w:rsid w:val="00B71AEC"/>
    <w:rsid w:val="00BB34F2"/>
    <w:rsid w:val="00BC10B4"/>
    <w:rsid w:val="00BD0834"/>
    <w:rsid w:val="00BD56DA"/>
    <w:rsid w:val="00BE7D4E"/>
    <w:rsid w:val="00C03764"/>
    <w:rsid w:val="00C119A8"/>
    <w:rsid w:val="00C24609"/>
    <w:rsid w:val="00C2537D"/>
    <w:rsid w:val="00C33FFD"/>
    <w:rsid w:val="00C45115"/>
    <w:rsid w:val="00C705E3"/>
    <w:rsid w:val="00C72930"/>
    <w:rsid w:val="00CD087E"/>
    <w:rsid w:val="00D056E7"/>
    <w:rsid w:val="00D05D6F"/>
    <w:rsid w:val="00D06109"/>
    <w:rsid w:val="00D06218"/>
    <w:rsid w:val="00D06463"/>
    <w:rsid w:val="00D106B0"/>
    <w:rsid w:val="00D12448"/>
    <w:rsid w:val="00D25801"/>
    <w:rsid w:val="00D26E77"/>
    <w:rsid w:val="00D546DA"/>
    <w:rsid w:val="00D83C22"/>
    <w:rsid w:val="00D93F6B"/>
    <w:rsid w:val="00DA5A5D"/>
    <w:rsid w:val="00DA745F"/>
    <w:rsid w:val="00DD2CA2"/>
    <w:rsid w:val="00DD3D59"/>
    <w:rsid w:val="00DD56AF"/>
    <w:rsid w:val="00DD63DB"/>
    <w:rsid w:val="00E07180"/>
    <w:rsid w:val="00E246B4"/>
    <w:rsid w:val="00E43C2C"/>
    <w:rsid w:val="00E6150E"/>
    <w:rsid w:val="00E63195"/>
    <w:rsid w:val="00E71014"/>
    <w:rsid w:val="00E7387C"/>
    <w:rsid w:val="00E81121"/>
    <w:rsid w:val="00E862BB"/>
    <w:rsid w:val="00E90C77"/>
    <w:rsid w:val="00E92017"/>
    <w:rsid w:val="00E930BA"/>
    <w:rsid w:val="00E940D5"/>
    <w:rsid w:val="00E94384"/>
    <w:rsid w:val="00EB3F71"/>
    <w:rsid w:val="00EC1114"/>
    <w:rsid w:val="00EC2103"/>
    <w:rsid w:val="00ED10D2"/>
    <w:rsid w:val="00ED159E"/>
    <w:rsid w:val="00EE2F91"/>
    <w:rsid w:val="00EF62D3"/>
    <w:rsid w:val="00F0071A"/>
    <w:rsid w:val="00F009BA"/>
    <w:rsid w:val="00F11DFD"/>
    <w:rsid w:val="00F121E5"/>
    <w:rsid w:val="00F323AF"/>
    <w:rsid w:val="00F35AA9"/>
    <w:rsid w:val="00F46551"/>
    <w:rsid w:val="00F47AF4"/>
    <w:rsid w:val="00F5666E"/>
    <w:rsid w:val="00F60AD1"/>
    <w:rsid w:val="00F76B30"/>
    <w:rsid w:val="00F94006"/>
    <w:rsid w:val="00FA5466"/>
    <w:rsid w:val="00FB05C7"/>
    <w:rsid w:val="00FD0987"/>
    <w:rsid w:val="00FD22DC"/>
    <w:rsid w:val="00FE6E63"/>
    <w:rsid w:val="00FF134B"/>
    <w:rsid w:val="00FF36EF"/>
    <w:rsid w:val="00FF7124"/>
  </w:rsids>
  <m:mathPr>
    <m:mathFont m:val="Cambria Math"/>
    <m:brkBin m:val="before"/>
    <m:brkBinSub m:val="--"/>
    <m:smallFrac m:val="0"/>
    <m:dispDef/>
    <m:lMargin m:val="0"/>
    <m:rMargin m:val="0"/>
    <m:defJc m:val="centerGroup"/>
    <m:wrapIndent m:val="1440"/>
    <m:intLim m:val="subSup"/>
    <m:naryLim m:val="undOvr"/>
  </m:mathPr>
  <w:themeFontLang w:val="uk-UA"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51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Cs w:val="22"/>
        <w:lang w:val="uk-UA"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0230"/>
    <w:rPr>
      <w:rFonts w:cs="Times New Roman"/>
      <w:sz w:val="28"/>
    </w:rPr>
  </w:style>
  <w:style w:type="paragraph" w:styleId="1">
    <w:name w:val="heading 1"/>
    <w:basedOn w:val="a"/>
    <w:link w:val="10"/>
    <w:qFormat/>
    <w:rsid w:val="00D05D6F"/>
    <w:pPr>
      <w:keepNext/>
      <w:keepLines/>
      <w:spacing w:before="480" w:after="120" w:line="276" w:lineRule="auto"/>
      <w:ind w:left="432" w:hanging="432"/>
      <w:contextualSpacing/>
      <w:outlineLvl w:val="0"/>
    </w:pPr>
    <w:rPr>
      <w:rFonts w:eastAsia="Times New Roman" w:cs="Arial"/>
      <w:b/>
      <w:color w:val="000000"/>
      <w:sz w:val="48"/>
      <w:szCs w:val="48"/>
      <w:lang w:eastAsia="zh-CN"/>
    </w:rPr>
  </w:style>
  <w:style w:type="paragraph" w:styleId="2">
    <w:name w:val="heading 2"/>
    <w:basedOn w:val="a"/>
    <w:next w:val="a"/>
    <w:link w:val="20"/>
    <w:unhideWhenUsed/>
    <w:qFormat/>
    <w:rsid w:val="00D05D6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qFormat/>
    <w:rsid w:val="00F03A4B"/>
    <w:pPr>
      <w:spacing w:beforeAutospacing="1" w:afterAutospacing="1"/>
      <w:outlineLvl w:val="2"/>
    </w:pPr>
    <w:rPr>
      <w:rFonts w:eastAsia="Times New Roman"/>
      <w:b/>
      <w:bCs/>
      <w:sz w:val="27"/>
      <w:szCs w:val="27"/>
      <w:lang w:eastAsia="uk-UA"/>
    </w:rPr>
  </w:style>
  <w:style w:type="paragraph" w:styleId="4">
    <w:name w:val="heading 4"/>
    <w:basedOn w:val="a"/>
    <w:next w:val="a0"/>
    <w:qFormat/>
    <w:pPr>
      <w:keepNext/>
      <w:keepLines/>
      <w:numPr>
        <w:ilvl w:val="3"/>
        <w:numId w:val="1"/>
      </w:numPr>
      <w:spacing w:before="240" w:after="40" w:line="276" w:lineRule="auto"/>
      <w:contextualSpacing/>
      <w:outlineLvl w:val="3"/>
    </w:pPr>
    <w:rPr>
      <w:b/>
      <w:sz w:val="22"/>
      <w:lang w:eastAsia="zh-CN"/>
    </w:rPr>
  </w:style>
  <w:style w:type="paragraph" w:styleId="5">
    <w:name w:val="heading 5"/>
    <w:basedOn w:val="a"/>
    <w:link w:val="50"/>
    <w:qFormat/>
    <w:rsid w:val="00D05D6F"/>
    <w:pPr>
      <w:keepNext/>
      <w:keepLines/>
      <w:spacing w:before="220" w:after="40" w:line="276" w:lineRule="auto"/>
      <w:ind w:left="1008" w:hanging="1008"/>
      <w:contextualSpacing/>
      <w:outlineLvl w:val="4"/>
    </w:pPr>
    <w:rPr>
      <w:rFonts w:eastAsia="Times New Roman" w:cs="Arial"/>
      <w:color w:val="000000"/>
      <w:sz w:val="20"/>
      <w:lang w:eastAsia="zh-CN"/>
    </w:rPr>
  </w:style>
  <w:style w:type="paragraph" w:styleId="6">
    <w:name w:val="heading 6"/>
    <w:basedOn w:val="a"/>
    <w:link w:val="60"/>
    <w:qFormat/>
    <w:rsid w:val="00D05D6F"/>
    <w:pPr>
      <w:keepNext/>
      <w:keepLines/>
      <w:spacing w:before="200" w:after="40" w:line="276" w:lineRule="auto"/>
      <w:ind w:left="1152" w:hanging="1152"/>
      <w:contextualSpacing/>
      <w:outlineLvl w:val="5"/>
    </w:pPr>
    <w:rPr>
      <w:rFonts w:eastAsia="Times New Roman" w:cs="Arial"/>
      <w:b/>
      <w:color w:val="000000"/>
      <w:sz w:val="20"/>
      <w:szCs w:val="20"/>
      <w:lang w:eastAsia="zh-CN"/>
    </w:rPr>
  </w:style>
  <w:style w:type="paragraph" w:styleId="7">
    <w:name w:val="heading 7"/>
    <w:basedOn w:val="a1"/>
    <w:link w:val="70"/>
    <w:qFormat/>
    <w:rsid w:val="00D05D6F"/>
    <w:pPr>
      <w:keepLines/>
      <w:spacing w:before="60" w:after="60" w:line="276" w:lineRule="auto"/>
      <w:contextualSpacing/>
      <w:outlineLvl w:val="6"/>
    </w:pPr>
    <w:rPr>
      <w:rFonts w:eastAsia="Times New Roman" w:cs="Arial"/>
      <w:b/>
      <w:bCs/>
      <w:color w:val="000000"/>
      <w:sz w:val="58"/>
      <w:szCs w:val="58"/>
      <w:lang w:eastAsia="zh-CN"/>
    </w:rPr>
  </w:style>
  <w:style w:type="paragraph" w:styleId="8">
    <w:name w:val="heading 8"/>
    <w:basedOn w:val="a1"/>
    <w:link w:val="80"/>
    <w:qFormat/>
    <w:rsid w:val="00D05D6F"/>
    <w:pPr>
      <w:keepLines/>
      <w:spacing w:before="60" w:after="60" w:line="276" w:lineRule="auto"/>
      <w:contextualSpacing/>
      <w:outlineLvl w:val="7"/>
    </w:pPr>
    <w:rPr>
      <w:rFonts w:eastAsia="Times New Roman" w:cs="Arial"/>
      <w:b/>
      <w:bCs/>
      <w:i/>
      <w:iCs/>
      <w:color w:val="000000"/>
      <w:sz w:val="58"/>
      <w:szCs w:val="58"/>
      <w:lang w:eastAsia="zh-CN"/>
    </w:rPr>
  </w:style>
  <w:style w:type="paragraph" w:styleId="9">
    <w:name w:val="heading 9"/>
    <w:basedOn w:val="a1"/>
    <w:link w:val="90"/>
    <w:qFormat/>
    <w:rsid w:val="00D05D6F"/>
    <w:pPr>
      <w:keepLines/>
      <w:spacing w:before="60" w:after="60" w:line="276" w:lineRule="auto"/>
      <w:contextualSpacing/>
      <w:outlineLvl w:val="8"/>
    </w:pPr>
    <w:rPr>
      <w:rFonts w:eastAsia="Times New Roman" w:cs="Arial"/>
      <w:b/>
      <w:bCs/>
      <w:color w:val="000000"/>
      <w:sz w:val="54"/>
      <w:szCs w:val="54"/>
      <w:lang w:eastAsia="zh-C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a5">
    <w:name w:val="Верхній колонтитул Знак"/>
    <w:basedOn w:val="a2"/>
    <w:uiPriority w:val="99"/>
    <w:qFormat/>
    <w:rsid w:val="00340230"/>
    <w:rPr>
      <w:rFonts w:eastAsia="Calibri" w:cs="Times New Roman"/>
    </w:rPr>
  </w:style>
  <w:style w:type="character" w:customStyle="1" w:styleId="a6">
    <w:name w:val="Нижній колонтитул Знак"/>
    <w:basedOn w:val="a2"/>
    <w:uiPriority w:val="99"/>
    <w:qFormat/>
    <w:rsid w:val="002D59CC"/>
    <w:rPr>
      <w:rFonts w:eastAsia="Calibri" w:cs="Times New Roman"/>
    </w:rPr>
  </w:style>
  <w:style w:type="character" w:customStyle="1" w:styleId="30">
    <w:name w:val="Заголовок 3 Знак"/>
    <w:basedOn w:val="a2"/>
    <w:link w:val="3"/>
    <w:uiPriority w:val="9"/>
    <w:qFormat/>
    <w:rsid w:val="00F03A4B"/>
    <w:rPr>
      <w:rFonts w:eastAsia="Times New Roman" w:cs="Times New Roman"/>
      <w:b/>
      <w:bCs/>
      <w:sz w:val="27"/>
      <w:szCs w:val="27"/>
      <w:lang w:eastAsia="uk-UA"/>
    </w:rPr>
  </w:style>
  <w:style w:type="character" w:customStyle="1" w:styleId="-">
    <w:name w:val="Интернет-ссылка"/>
    <w:basedOn w:val="a2"/>
    <w:uiPriority w:val="99"/>
    <w:semiHidden/>
    <w:unhideWhenUsed/>
    <w:rsid w:val="00D621F9"/>
    <w:rPr>
      <w:color w:val="0563C1" w:themeColor="hyperlink"/>
      <w:u w:val="single"/>
    </w:rPr>
  </w:style>
  <w:style w:type="character" w:customStyle="1" w:styleId="a7">
    <w:name w:val="Символ сноски"/>
    <w:qFormat/>
    <w:rsid w:val="00D621F9"/>
  </w:style>
  <w:style w:type="character" w:customStyle="1" w:styleId="a8">
    <w:name w:val="Привязка сноски"/>
    <w:rsid w:val="00D621F9"/>
    <w:rPr>
      <w:vertAlign w:val="superscript"/>
    </w:rPr>
  </w:style>
  <w:style w:type="character" w:customStyle="1" w:styleId="a9">
    <w:name w:val="Посещённая гиперссылка"/>
    <w:basedOn w:val="a2"/>
    <w:uiPriority w:val="99"/>
    <w:semiHidden/>
    <w:unhideWhenUsed/>
    <w:rsid w:val="00D621F9"/>
    <w:rPr>
      <w:color w:val="954F72" w:themeColor="followedHyperlink"/>
      <w:u w:val="single"/>
    </w:rPr>
  </w:style>
  <w:style w:type="character" w:customStyle="1" w:styleId="aa">
    <w:name w:val="Привязка концевой сноски"/>
    <w:rPr>
      <w:vertAlign w:val="superscript"/>
    </w:rPr>
  </w:style>
  <w:style w:type="character" w:customStyle="1" w:styleId="ab">
    <w:name w:val="Символ концевой сноски"/>
    <w:qFormat/>
  </w:style>
  <w:style w:type="paragraph" w:styleId="a1">
    <w:name w:val="Title"/>
    <w:basedOn w:val="a"/>
    <w:next w:val="a0"/>
    <w:qFormat/>
    <w:pPr>
      <w:keepNext/>
      <w:spacing w:before="240" w:after="120"/>
    </w:pPr>
    <w:rPr>
      <w:rFonts w:eastAsia="Microsoft YaHei" w:cs="Lucida Sans"/>
      <w:szCs w:val="28"/>
    </w:rPr>
  </w:style>
  <w:style w:type="paragraph" w:styleId="a0">
    <w:name w:val="Body Text"/>
    <w:basedOn w:val="a"/>
    <w:pPr>
      <w:spacing w:after="140" w:line="276" w:lineRule="auto"/>
    </w:pPr>
  </w:style>
  <w:style w:type="paragraph" w:styleId="ac">
    <w:name w:val="List"/>
    <w:basedOn w:val="a0"/>
    <w:rPr>
      <w:rFonts w:cs="Lucida Sans"/>
    </w:rPr>
  </w:style>
  <w:style w:type="paragraph" w:styleId="ad">
    <w:name w:val="caption"/>
    <w:basedOn w:val="a"/>
    <w:qFormat/>
    <w:pPr>
      <w:suppressLineNumbers/>
      <w:spacing w:before="120" w:after="120"/>
    </w:pPr>
    <w:rPr>
      <w:rFonts w:cs="Lucida Sans"/>
      <w:i/>
      <w:iCs/>
      <w:szCs w:val="24"/>
    </w:rPr>
  </w:style>
  <w:style w:type="paragraph" w:styleId="ae">
    <w:name w:val="index heading"/>
    <w:basedOn w:val="a"/>
    <w:qFormat/>
    <w:pPr>
      <w:suppressLineNumbers/>
    </w:pPr>
    <w:rPr>
      <w:rFonts w:cs="Lucida Sans"/>
    </w:rPr>
  </w:style>
  <w:style w:type="paragraph" w:customStyle="1" w:styleId="af">
    <w:name w:val="Верхний и нижний колонтитулы"/>
    <w:basedOn w:val="a"/>
    <w:qFormat/>
  </w:style>
  <w:style w:type="paragraph" w:styleId="af0">
    <w:name w:val="header"/>
    <w:basedOn w:val="a"/>
    <w:link w:val="11"/>
    <w:uiPriority w:val="99"/>
    <w:unhideWhenUsed/>
    <w:rsid w:val="00340230"/>
    <w:pPr>
      <w:tabs>
        <w:tab w:val="center" w:pos="4819"/>
        <w:tab w:val="right" w:pos="9639"/>
      </w:tabs>
    </w:pPr>
  </w:style>
  <w:style w:type="paragraph" w:styleId="af1">
    <w:name w:val="footer"/>
    <w:basedOn w:val="a"/>
    <w:uiPriority w:val="99"/>
    <w:unhideWhenUsed/>
    <w:rsid w:val="002D59CC"/>
    <w:pPr>
      <w:tabs>
        <w:tab w:val="center" w:pos="4819"/>
        <w:tab w:val="right" w:pos="9639"/>
      </w:tabs>
    </w:pPr>
  </w:style>
  <w:style w:type="paragraph" w:customStyle="1" w:styleId="af2">
    <w:name w:val="Нормальний текст"/>
    <w:basedOn w:val="a"/>
    <w:qFormat/>
    <w:pPr>
      <w:spacing w:before="120"/>
      <w:ind w:firstLine="567"/>
      <w:jc w:val="both"/>
    </w:pPr>
  </w:style>
  <w:style w:type="paragraph" w:styleId="af3">
    <w:name w:val="footnote text"/>
    <w:basedOn w:val="a"/>
    <w:link w:val="af4"/>
    <w:uiPriority w:val="99"/>
    <w:pPr>
      <w:suppressLineNumbers/>
      <w:ind w:left="339" w:hanging="339"/>
    </w:pPr>
    <w:rPr>
      <w:sz w:val="20"/>
      <w:szCs w:val="20"/>
    </w:rPr>
  </w:style>
  <w:style w:type="character" w:customStyle="1" w:styleId="20">
    <w:name w:val="Заголовок 2 Знак"/>
    <w:basedOn w:val="a2"/>
    <w:link w:val="2"/>
    <w:rsid w:val="00D05D6F"/>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2"/>
    <w:link w:val="1"/>
    <w:rsid w:val="00D05D6F"/>
    <w:rPr>
      <w:rFonts w:eastAsia="Times New Roman" w:cs="Arial"/>
      <w:b/>
      <w:color w:val="000000"/>
      <w:sz w:val="48"/>
      <w:szCs w:val="48"/>
      <w:lang w:eastAsia="zh-CN"/>
    </w:rPr>
  </w:style>
  <w:style w:type="character" w:customStyle="1" w:styleId="50">
    <w:name w:val="Заголовок 5 Знак"/>
    <w:basedOn w:val="a2"/>
    <w:link w:val="5"/>
    <w:rsid w:val="00D05D6F"/>
    <w:rPr>
      <w:rFonts w:eastAsia="Times New Roman" w:cs="Arial"/>
      <w:color w:val="000000"/>
      <w:lang w:eastAsia="zh-CN"/>
    </w:rPr>
  </w:style>
  <w:style w:type="character" w:customStyle="1" w:styleId="60">
    <w:name w:val="Заголовок 6 Знак"/>
    <w:basedOn w:val="a2"/>
    <w:link w:val="6"/>
    <w:rsid w:val="00D05D6F"/>
    <w:rPr>
      <w:rFonts w:eastAsia="Times New Roman" w:cs="Arial"/>
      <w:b/>
      <w:color w:val="000000"/>
      <w:szCs w:val="20"/>
      <w:lang w:eastAsia="zh-CN"/>
    </w:rPr>
  </w:style>
  <w:style w:type="character" w:customStyle="1" w:styleId="70">
    <w:name w:val="Заголовок 7 Знак"/>
    <w:basedOn w:val="a2"/>
    <w:link w:val="7"/>
    <w:rsid w:val="00D05D6F"/>
    <w:rPr>
      <w:rFonts w:eastAsia="Times New Roman" w:cs="Arial"/>
      <w:b/>
      <w:bCs/>
      <w:color w:val="000000"/>
      <w:sz w:val="58"/>
      <w:szCs w:val="58"/>
      <w:lang w:eastAsia="zh-CN"/>
    </w:rPr>
  </w:style>
  <w:style w:type="character" w:customStyle="1" w:styleId="80">
    <w:name w:val="Заголовок 8 Знак"/>
    <w:basedOn w:val="a2"/>
    <w:link w:val="8"/>
    <w:rsid w:val="00D05D6F"/>
    <w:rPr>
      <w:rFonts w:eastAsia="Times New Roman" w:cs="Arial"/>
      <w:b/>
      <w:bCs/>
      <w:i/>
      <w:iCs/>
      <w:color w:val="000000"/>
      <w:sz w:val="58"/>
      <w:szCs w:val="58"/>
      <w:lang w:eastAsia="zh-CN"/>
    </w:rPr>
  </w:style>
  <w:style w:type="character" w:customStyle="1" w:styleId="90">
    <w:name w:val="Заголовок 9 Знак"/>
    <w:basedOn w:val="a2"/>
    <w:link w:val="9"/>
    <w:rsid w:val="00D05D6F"/>
    <w:rPr>
      <w:rFonts w:eastAsia="Times New Roman" w:cs="Arial"/>
      <w:b/>
      <w:bCs/>
      <w:color w:val="000000"/>
      <w:sz w:val="54"/>
      <w:szCs w:val="54"/>
      <w:lang w:eastAsia="zh-CN"/>
    </w:rPr>
  </w:style>
  <w:style w:type="paragraph" w:styleId="af5">
    <w:name w:val="List Paragraph"/>
    <w:basedOn w:val="a"/>
    <w:uiPriority w:val="34"/>
    <w:qFormat/>
    <w:rsid w:val="00D05D6F"/>
    <w:pPr>
      <w:suppressAutoHyphens w:val="0"/>
      <w:spacing w:after="160" w:line="259" w:lineRule="auto"/>
      <w:ind w:left="720"/>
      <w:contextualSpacing/>
    </w:pPr>
    <w:rPr>
      <w:rFonts w:asciiTheme="minorHAnsi" w:hAnsiTheme="minorHAnsi" w:cstheme="minorBidi"/>
      <w:sz w:val="22"/>
    </w:rPr>
  </w:style>
  <w:style w:type="character" w:customStyle="1" w:styleId="rvts0">
    <w:name w:val="rvts0"/>
    <w:basedOn w:val="a2"/>
    <w:rsid w:val="00D05D6F"/>
  </w:style>
  <w:style w:type="character" w:customStyle="1" w:styleId="rvts23">
    <w:name w:val="rvts23"/>
    <w:basedOn w:val="a2"/>
    <w:rsid w:val="00D05D6F"/>
  </w:style>
  <w:style w:type="character" w:customStyle="1" w:styleId="rvts9">
    <w:name w:val="rvts9"/>
    <w:basedOn w:val="a2"/>
    <w:rsid w:val="00D05D6F"/>
  </w:style>
  <w:style w:type="character" w:styleId="af6">
    <w:name w:val="Hyperlink"/>
    <w:basedOn w:val="a2"/>
    <w:uiPriority w:val="99"/>
    <w:unhideWhenUsed/>
    <w:rsid w:val="00B34114"/>
    <w:rPr>
      <w:color w:val="0563C1" w:themeColor="hyperlink"/>
      <w:u w:val="single"/>
    </w:rPr>
  </w:style>
  <w:style w:type="character" w:customStyle="1" w:styleId="st42">
    <w:name w:val="st42"/>
    <w:uiPriority w:val="99"/>
    <w:rsid w:val="00B34114"/>
    <w:rPr>
      <w:rFonts w:ascii="Times New Roman" w:hAnsi="Times New Roman" w:cs="Times New Roman" w:hint="default"/>
      <w:color w:val="000000"/>
      <w:sz w:val="30"/>
      <w:szCs w:val="30"/>
    </w:rPr>
  </w:style>
  <w:style w:type="character" w:customStyle="1" w:styleId="st24">
    <w:name w:val="st24"/>
    <w:uiPriority w:val="99"/>
    <w:rsid w:val="00DA745F"/>
    <w:rPr>
      <w:rFonts w:ascii="Times New Roman" w:hAnsi="Times New Roman" w:cs="Times New Roman" w:hint="default"/>
      <w:b/>
      <w:bCs/>
      <w:color w:val="000000"/>
      <w:sz w:val="38"/>
      <w:szCs w:val="38"/>
    </w:rPr>
  </w:style>
  <w:style w:type="paragraph" w:customStyle="1" w:styleId="4R444p">
    <w:name w:val="С4Rн4~о4ñ4・ê[?àp"/>
    <w:basedOn w:val="a"/>
    <w:uiPriority w:val="99"/>
    <w:rsid w:val="00DD2CA2"/>
    <w:pPr>
      <w:autoSpaceDE w:val="0"/>
      <w:autoSpaceDN w:val="0"/>
      <w:adjustRightInd w:val="0"/>
    </w:pPr>
    <w:rPr>
      <w:rFonts w:eastAsiaTheme="minorEastAsia"/>
      <w:kern w:val="2"/>
      <w:szCs w:val="28"/>
      <w:lang w:eastAsia="uk-UA" w:bidi="hi-IN"/>
    </w:rPr>
  </w:style>
  <w:style w:type="character" w:styleId="af7">
    <w:name w:val="footnote reference"/>
    <w:basedOn w:val="a2"/>
    <w:uiPriority w:val="99"/>
    <w:semiHidden/>
    <w:unhideWhenUsed/>
    <w:rsid w:val="00DD2CA2"/>
    <w:rPr>
      <w:rFonts w:ascii="Times New Roman" w:hAnsi="Times New Roman" w:cs="Times New Roman" w:hint="default"/>
      <w:vertAlign w:val="superscript"/>
    </w:rPr>
  </w:style>
  <w:style w:type="paragraph" w:customStyle="1" w:styleId="3f4O3f41E3f3f3f3fr3f3f3f3fz3f1E43f43f43f41E">
    <w:name w:val="Î3f4Oñ3f4 ・1E í3f~?î3f3f?â3fr?í3f~?î3f3f?é3fz ?ò3f ・1E4 å3f?4ê3f?4ñ3f4 ・1E"/>
    <w:basedOn w:val="a"/>
    <w:uiPriority w:val="99"/>
    <w:rsid w:val="00664DC0"/>
    <w:pPr>
      <w:autoSpaceDE w:val="0"/>
      <w:autoSpaceDN w:val="0"/>
      <w:adjustRightInd w:val="0"/>
      <w:spacing w:after="140" w:line="276" w:lineRule="auto"/>
    </w:pPr>
    <w:rPr>
      <w:rFonts w:ascii="Arial" w:eastAsia="Times New Roman" w:cs="Arial"/>
      <w:sz w:val="22"/>
      <w:lang w:eastAsia="uk-UA"/>
    </w:rPr>
  </w:style>
  <w:style w:type="character" w:customStyle="1" w:styleId="4B4B4Ettuuuuyyuu">
    <w:name w:val="В4B4Bы4・?・E?ätt??åuu??ë||??åuu??í~~??èyy??åuu"/>
    <w:uiPriority w:val="99"/>
    <w:rsid w:val="00664DC0"/>
    <w:rPr>
      <w:i/>
      <w:iCs w:val="0"/>
    </w:rPr>
  </w:style>
  <w:style w:type="character" w:customStyle="1" w:styleId="af4">
    <w:name w:val="Текст виноски Знак"/>
    <w:basedOn w:val="a2"/>
    <w:link w:val="af3"/>
    <w:uiPriority w:val="99"/>
    <w:rsid w:val="00BD56DA"/>
    <w:rPr>
      <w:rFonts w:cs="Times New Roman"/>
      <w:szCs w:val="20"/>
    </w:rPr>
  </w:style>
  <w:style w:type="paragraph" w:styleId="af8">
    <w:name w:val="Balloon Text"/>
    <w:basedOn w:val="a"/>
    <w:link w:val="af9"/>
    <w:uiPriority w:val="99"/>
    <w:semiHidden/>
    <w:unhideWhenUsed/>
    <w:rsid w:val="006644C1"/>
    <w:rPr>
      <w:rFonts w:ascii="Segoe UI" w:hAnsi="Segoe UI" w:cs="Segoe UI"/>
      <w:sz w:val="18"/>
      <w:szCs w:val="18"/>
    </w:rPr>
  </w:style>
  <w:style w:type="character" w:customStyle="1" w:styleId="af9">
    <w:name w:val="Текст у виносці Знак"/>
    <w:basedOn w:val="a2"/>
    <w:link w:val="af8"/>
    <w:uiPriority w:val="99"/>
    <w:semiHidden/>
    <w:rsid w:val="006644C1"/>
    <w:rPr>
      <w:rFonts w:ascii="Segoe UI" w:hAnsi="Segoe UI" w:cs="Segoe UI"/>
      <w:sz w:val="18"/>
      <w:szCs w:val="18"/>
    </w:rPr>
  </w:style>
  <w:style w:type="paragraph" w:customStyle="1" w:styleId="Igor15">
    <w:name w:val="Стиль Igor + Перший рядок:  15 см"/>
    <w:basedOn w:val="a"/>
    <w:rsid w:val="006644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6" w:firstLine="851"/>
      <w:jc w:val="both"/>
    </w:pPr>
    <w:rPr>
      <w:rFonts w:eastAsia="Times New Roman"/>
      <w:szCs w:val="20"/>
      <w:lang w:eastAsia="ru-RU"/>
    </w:rPr>
  </w:style>
  <w:style w:type="character" w:customStyle="1" w:styleId="viiyi">
    <w:name w:val="viiyi"/>
    <w:basedOn w:val="a2"/>
    <w:rsid w:val="00363206"/>
  </w:style>
  <w:style w:type="character" w:customStyle="1" w:styleId="jlqj4b">
    <w:name w:val="jlqj4b"/>
    <w:basedOn w:val="a2"/>
    <w:rsid w:val="00363206"/>
  </w:style>
  <w:style w:type="paragraph" w:styleId="HTML">
    <w:name w:val="HTML Preformatted"/>
    <w:basedOn w:val="a"/>
    <w:link w:val="HTML0"/>
    <w:uiPriority w:val="99"/>
    <w:semiHidden/>
    <w:unhideWhenUsed/>
    <w:rsid w:val="00363206"/>
    <w:rPr>
      <w:rFonts w:ascii="Consolas" w:hAnsi="Consolas"/>
      <w:sz w:val="20"/>
      <w:szCs w:val="20"/>
    </w:rPr>
  </w:style>
  <w:style w:type="character" w:customStyle="1" w:styleId="HTML0">
    <w:name w:val="Стандартний HTML Знак"/>
    <w:basedOn w:val="a2"/>
    <w:link w:val="HTML"/>
    <w:uiPriority w:val="99"/>
    <w:semiHidden/>
    <w:rsid w:val="00363206"/>
    <w:rPr>
      <w:rFonts w:ascii="Consolas" w:hAnsi="Consolas" w:cs="Times New Roman"/>
      <w:szCs w:val="20"/>
    </w:rPr>
  </w:style>
  <w:style w:type="paragraph" w:customStyle="1" w:styleId="rvps2">
    <w:name w:val="rvps2"/>
    <w:basedOn w:val="a"/>
    <w:rsid w:val="002D083D"/>
    <w:pPr>
      <w:suppressAutoHyphens w:val="0"/>
      <w:spacing w:before="100" w:beforeAutospacing="1" w:after="100" w:afterAutospacing="1"/>
    </w:pPr>
    <w:rPr>
      <w:rFonts w:eastAsia="Times New Roman"/>
      <w:sz w:val="24"/>
      <w:szCs w:val="24"/>
    </w:rPr>
  </w:style>
  <w:style w:type="character" w:customStyle="1" w:styleId="rvts37">
    <w:name w:val="rvts37"/>
    <w:basedOn w:val="a2"/>
    <w:rsid w:val="002D083D"/>
  </w:style>
  <w:style w:type="character" w:customStyle="1" w:styleId="st1">
    <w:name w:val="st1"/>
    <w:rsid w:val="008A64C1"/>
  </w:style>
  <w:style w:type="character" w:customStyle="1" w:styleId="11">
    <w:name w:val="Верхній колонтитул Знак1"/>
    <w:basedOn w:val="a2"/>
    <w:link w:val="af0"/>
    <w:uiPriority w:val="99"/>
    <w:rsid w:val="000114B1"/>
    <w:rPr>
      <w:rFonts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468581">
      <w:bodyDiv w:val="1"/>
      <w:marLeft w:val="0"/>
      <w:marRight w:val="0"/>
      <w:marTop w:val="0"/>
      <w:marBottom w:val="0"/>
      <w:divBdr>
        <w:top w:val="none" w:sz="0" w:space="0" w:color="auto"/>
        <w:left w:val="none" w:sz="0" w:space="0" w:color="auto"/>
        <w:bottom w:val="none" w:sz="0" w:space="0" w:color="auto"/>
        <w:right w:val="none" w:sz="0" w:space="0" w:color="auto"/>
      </w:divBdr>
    </w:div>
    <w:div w:id="289284951">
      <w:bodyDiv w:val="1"/>
      <w:marLeft w:val="0"/>
      <w:marRight w:val="0"/>
      <w:marTop w:val="0"/>
      <w:marBottom w:val="0"/>
      <w:divBdr>
        <w:top w:val="none" w:sz="0" w:space="0" w:color="auto"/>
        <w:left w:val="none" w:sz="0" w:space="0" w:color="auto"/>
        <w:bottom w:val="none" w:sz="0" w:space="0" w:color="auto"/>
        <w:right w:val="none" w:sz="0" w:space="0" w:color="auto"/>
      </w:divBdr>
    </w:div>
    <w:div w:id="382287595">
      <w:bodyDiv w:val="1"/>
      <w:marLeft w:val="0"/>
      <w:marRight w:val="0"/>
      <w:marTop w:val="0"/>
      <w:marBottom w:val="0"/>
      <w:divBdr>
        <w:top w:val="none" w:sz="0" w:space="0" w:color="auto"/>
        <w:left w:val="none" w:sz="0" w:space="0" w:color="auto"/>
        <w:bottom w:val="none" w:sz="0" w:space="0" w:color="auto"/>
        <w:right w:val="none" w:sz="0" w:space="0" w:color="auto"/>
      </w:divBdr>
    </w:div>
    <w:div w:id="423114798">
      <w:bodyDiv w:val="1"/>
      <w:marLeft w:val="0"/>
      <w:marRight w:val="0"/>
      <w:marTop w:val="0"/>
      <w:marBottom w:val="0"/>
      <w:divBdr>
        <w:top w:val="none" w:sz="0" w:space="0" w:color="auto"/>
        <w:left w:val="none" w:sz="0" w:space="0" w:color="auto"/>
        <w:bottom w:val="none" w:sz="0" w:space="0" w:color="auto"/>
        <w:right w:val="none" w:sz="0" w:space="0" w:color="auto"/>
      </w:divBdr>
    </w:div>
    <w:div w:id="522521480">
      <w:bodyDiv w:val="1"/>
      <w:marLeft w:val="0"/>
      <w:marRight w:val="0"/>
      <w:marTop w:val="0"/>
      <w:marBottom w:val="0"/>
      <w:divBdr>
        <w:top w:val="none" w:sz="0" w:space="0" w:color="auto"/>
        <w:left w:val="none" w:sz="0" w:space="0" w:color="auto"/>
        <w:bottom w:val="none" w:sz="0" w:space="0" w:color="auto"/>
        <w:right w:val="none" w:sz="0" w:space="0" w:color="auto"/>
      </w:divBdr>
    </w:div>
    <w:div w:id="568535183">
      <w:bodyDiv w:val="1"/>
      <w:marLeft w:val="0"/>
      <w:marRight w:val="0"/>
      <w:marTop w:val="0"/>
      <w:marBottom w:val="0"/>
      <w:divBdr>
        <w:top w:val="none" w:sz="0" w:space="0" w:color="auto"/>
        <w:left w:val="none" w:sz="0" w:space="0" w:color="auto"/>
        <w:bottom w:val="none" w:sz="0" w:space="0" w:color="auto"/>
        <w:right w:val="none" w:sz="0" w:space="0" w:color="auto"/>
      </w:divBdr>
    </w:div>
    <w:div w:id="639463550">
      <w:bodyDiv w:val="1"/>
      <w:marLeft w:val="0"/>
      <w:marRight w:val="0"/>
      <w:marTop w:val="0"/>
      <w:marBottom w:val="0"/>
      <w:divBdr>
        <w:top w:val="none" w:sz="0" w:space="0" w:color="auto"/>
        <w:left w:val="none" w:sz="0" w:space="0" w:color="auto"/>
        <w:bottom w:val="none" w:sz="0" w:space="0" w:color="auto"/>
        <w:right w:val="none" w:sz="0" w:space="0" w:color="auto"/>
      </w:divBdr>
    </w:div>
    <w:div w:id="645820936">
      <w:bodyDiv w:val="1"/>
      <w:marLeft w:val="0"/>
      <w:marRight w:val="0"/>
      <w:marTop w:val="0"/>
      <w:marBottom w:val="0"/>
      <w:divBdr>
        <w:top w:val="none" w:sz="0" w:space="0" w:color="auto"/>
        <w:left w:val="none" w:sz="0" w:space="0" w:color="auto"/>
        <w:bottom w:val="none" w:sz="0" w:space="0" w:color="auto"/>
        <w:right w:val="none" w:sz="0" w:space="0" w:color="auto"/>
      </w:divBdr>
    </w:div>
    <w:div w:id="708460054">
      <w:bodyDiv w:val="1"/>
      <w:marLeft w:val="0"/>
      <w:marRight w:val="0"/>
      <w:marTop w:val="0"/>
      <w:marBottom w:val="0"/>
      <w:divBdr>
        <w:top w:val="none" w:sz="0" w:space="0" w:color="auto"/>
        <w:left w:val="none" w:sz="0" w:space="0" w:color="auto"/>
        <w:bottom w:val="none" w:sz="0" w:space="0" w:color="auto"/>
        <w:right w:val="none" w:sz="0" w:space="0" w:color="auto"/>
      </w:divBdr>
    </w:div>
    <w:div w:id="841699716">
      <w:bodyDiv w:val="1"/>
      <w:marLeft w:val="0"/>
      <w:marRight w:val="0"/>
      <w:marTop w:val="0"/>
      <w:marBottom w:val="0"/>
      <w:divBdr>
        <w:top w:val="none" w:sz="0" w:space="0" w:color="auto"/>
        <w:left w:val="none" w:sz="0" w:space="0" w:color="auto"/>
        <w:bottom w:val="none" w:sz="0" w:space="0" w:color="auto"/>
        <w:right w:val="none" w:sz="0" w:space="0" w:color="auto"/>
      </w:divBdr>
    </w:div>
    <w:div w:id="896012976">
      <w:bodyDiv w:val="1"/>
      <w:marLeft w:val="0"/>
      <w:marRight w:val="0"/>
      <w:marTop w:val="0"/>
      <w:marBottom w:val="0"/>
      <w:divBdr>
        <w:top w:val="none" w:sz="0" w:space="0" w:color="auto"/>
        <w:left w:val="none" w:sz="0" w:space="0" w:color="auto"/>
        <w:bottom w:val="none" w:sz="0" w:space="0" w:color="auto"/>
        <w:right w:val="none" w:sz="0" w:space="0" w:color="auto"/>
      </w:divBdr>
    </w:div>
    <w:div w:id="1021515732">
      <w:bodyDiv w:val="1"/>
      <w:marLeft w:val="0"/>
      <w:marRight w:val="0"/>
      <w:marTop w:val="0"/>
      <w:marBottom w:val="0"/>
      <w:divBdr>
        <w:top w:val="none" w:sz="0" w:space="0" w:color="auto"/>
        <w:left w:val="none" w:sz="0" w:space="0" w:color="auto"/>
        <w:bottom w:val="none" w:sz="0" w:space="0" w:color="auto"/>
        <w:right w:val="none" w:sz="0" w:space="0" w:color="auto"/>
      </w:divBdr>
    </w:div>
    <w:div w:id="1048260550">
      <w:bodyDiv w:val="1"/>
      <w:marLeft w:val="0"/>
      <w:marRight w:val="0"/>
      <w:marTop w:val="0"/>
      <w:marBottom w:val="0"/>
      <w:divBdr>
        <w:top w:val="none" w:sz="0" w:space="0" w:color="auto"/>
        <w:left w:val="none" w:sz="0" w:space="0" w:color="auto"/>
        <w:bottom w:val="none" w:sz="0" w:space="0" w:color="auto"/>
        <w:right w:val="none" w:sz="0" w:space="0" w:color="auto"/>
      </w:divBdr>
    </w:div>
    <w:div w:id="1064177938">
      <w:bodyDiv w:val="1"/>
      <w:marLeft w:val="0"/>
      <w:marRight w:val="0"/>
      <w:marTop w:val="0"/>
      <w:marBottom w:val="0"/>
      <w:divBdr>
        <w:top w:val="none" w:sz="0" w:space="0" w:color="auto"/>
        <w:left w:val="none" w:sz="0" w:space="0" w:color="auto"/>
        <w:bottom w:val="none" w:sz="0" w:space="0" w:color="auto"/>
        <w:right w:val="none" w:sz="0" w:space="0" w:color="auto"/>
      </w:divBdr>
    </w:div>
    <w:div w:id="1231691158">
      <w:bodyDiv w:val="1"/>
      <w:marLeft w:val="0"/>
      <w:marRight w:val="0"/>
      <w:marTop w:val="0"/>
      <w:marBottom w:val="0"/>
      <w:divBdr>
        <w:top w:val="none" w:sz="0" w:space="0" w:color="auto"/>
        <w:left w:val="none" w:sz="0" w:space="0" w:color="auto"/>
        <w:bottom w:val="none" w:sz="0" w:space="0" w:color="auto"/>
        <w:right w:val="none" w:sz="0" w:space="0" w:color="auto"/>
      </w:divBdr>
    </w:div>
    <w:div w:id="1278831569">
      <w:bodyDiv w:val="1"/>
      <w:marLeft w:val="0"/>
      <w:marRight w:val="0"/>
      <w:marTop w:val="0"/>
      <w:marBottom w:val="0"/>
      <w:divBdr>
        <w:top w:val="none" w:sz="0" w:space="0" w:color="auto"/>
        <w:left w:val="none" w:sz="0" w:space="0" w:color="auto"/>
        <w:bottom w:val="none" w:sz="0" w:space="0" w:color="auto"/>
        <w:right w:val="none" w:sz="0" w:space="0" w:color="auto"/>
      </w:divBdr>
    </w:div>
    <w:div w:id="1363559036">
      <w:bodyDiv w:val="1"/>
      <w:marLeft w:val="0"/>
      <w:marRight w:val="0"/>
      <w:marTop w:val="0"/>
      <w:marBottom w:val="0"/>
      <w:divBdr>
        <w:top w:val="none" w:sz="0" w:space="0" w:color="auto"/>
        <w:left w:val="none" w:sz="0" w:space="0" w:color="auto"/>
        <w:bottom w:val="none" w:sz="0" w:space="0" w:color="auto"/>
        <w:right w:val="none" w:sz="0" w:space="0" w:color="auto"/>
      </w:divBdr>
    </w:div>
    <w:div w:id="1588687958">
      <w:bodyDiv w:val="1"/>
      <w:marLeft w:val="0"/>
      <w:marRight w:val="0"/>
      <w:marTop w:val="0"/>
      <w:marBottom w:val="0"/>
      <w:divBdr>
        <w:top w:val="none" w:sz="0" w:space="0" w:color="auto"/>
        <w:left w:val="none" w:sz="0" w:space="0" w:color="auto"/>
        <w:bottom w:val="none" w:sz="0" w:space="0" w:color="auto"/>
        <w:right w:val="none" w:sz="0" w:space="0" w:color="auto"/>
      </w:divBdr>
    </w:div>
    <w:div w:id="1590118337">
      <w:bodyDiv w:val="1"/>
      <w:marLeft w:val="0"/>
      <w:marRight w:val="0"/>
      <w:marTop w:val="0"/>
      <w:marBottom w:val="0"/>
      <w:divBdr>
        <w:top w:val="none" w:sz="0" w:space="0" w:color="auto"/>
        <w:left w:val="none" w:sz="0" w:space="0" w:color="auto"/>
        <w:bottom w:val="none" w:sz="0" w:space="0" w:color="auto"/>
        <w:right w:val="none" w:sz="0" w:space="0" w:color="auto"/>
      </w:divBdr>
    </w:div>
    <w:div w:id="1669864785">
      <w:bodyDiv w:val="1"/>
      <w:marLeft w:val="0"/>
      <w:marRight w:val="0"/>
      <w:marTop w:val="0"/>
      <w:marBottom w:val="0"/>
      <w:divBdr>
        <w:top w:val="none" w:sz="0" w:space="0" w:color="auto"/>
        <w:left w:val="none" w:sz="0" w:space="0" w:color="auto"/>
        <w:bottom w:val="none" w:sz="0" w:space="0" w:color="auto"/>
        <w:right w:val="none" w:sz="0" w:space="0" w:color="auto"/>
      </w:divBdr>
    </w:div>
    <w:div w:id="1688367850">
      <w:bodyDiv w:val="1"/>
      <w:marLeft w:val="0"/>
      <w:marRight w:val="0"/>
      <w:marTop w:val="0"/>
      <w:marBottom w:val="0"/>
      <w:divBdr>
        <w:top w:val="none" w:sz="0" w:space="0" w:color="auto"/>
        <w:left w:val="none" w:sz="0" w:space="0" w:color="auto"/>
        <w:bottom w:val="none" w:sz="0" w:space="0" w:color="auto"/>
        <w:right w:val="none" w:sz="0" w:space="0" w:color="auto"/>
      </w:divBdr>
    </w:div>
    <w:div w:id="1712922837">
      <w:bodyDiv w:val="1"/>
      <w:marLeft w:val="0"/>
      <w:marRight w:val="0"/>
      <w:marTop w:val="0"/>
      <w:marBottom w:val="0"/>
      <w:divBdr>
        <w:top w:val="none" w:sz="0" w:space="0" w:color="auto"/>
        <w:left w:val="none" w:sz="0" w:space="0" w:color="auto"/>
        <w:bottom w:val="none" w:sz="0" w:space="0" w:color="auto"/>
        <w:right w:val="none" w:sz="0" w:space="0" w:color="auto"/>
      </w:divBdr>
    </w:div>
    <w:div w:id="1726875015">
      <w:bodyDiv w:val="1"/>
      <w:marLeft w:val="0"/>
      <w:marRight w:val="0"/>
      <w:marTop w:val="0"/>
      <w:marBottom w:val="0"/>
      <w:divBdr>
        <w:top w:val="none" w:sz="0" w:space="0" w:color="auto"/>
        <w:left w:val="none" w:sz="0" w:space="0" w:color="auto"/>
        <w:bottom w:val="none" w:sz="0" w:space="0" w:color="auto"/>
        <w:right w:val="none" w:sz="0" w:space="0" w:color="auto"/>
      </w:divBdr>
    </w:div>
    <w:div w:id="1839728454">
      <w:bodyDiv w:val="1"/>
      <w:marLeft w:val="0"/>
      <w:marRight w:val="0"/>
      <w:marTop w:val="0"/>
      <w:marBottom w:val="0"/>
      <w:divBdr>
        <w:top w:val="none" w:sz="0" w:space="0" w:color="auto"/>
        <w:left w:val="none" w:sz="0" w:space="0" w:color="auto"/>
        <w:bottom w:val="none" w:sz="0" w:space="0" w:color="auto"/>
        <w:right w:val="none" w:sz="0" w:space="0" w:color="auto"/>
      </w:divBdr>
    </w:div>
    <w:div w:id="1864055198">
      <w:bodyDiv w:val="1"/>
      <w:marLeft w:val="0"/>
      <w:marRight w:val="0"/>
      <w:marTop w:val="0"/>
      <w:marBottom w:val="0"/>
      <w:divBdr>
        <w:top w:val="none" w:sz="0" w:space="0" w:color="auto"/>
        <w:left w:val="none" w:sz="0" w:space="0" w:color="auto"/>
        <w:bottom w:val="none" w:sz="0" w:space="0" w:color="auto"/>
        <w:right w:val="none" w:sz="0" w:space="0" w:color="auto"/>
      </w:divBdr>
    </w:div>
    <w:div w:id="1963879347">
      <w:bodyDiv w:val="1"/>
      <w:marLeft w:val="0"/>
      <w:marRight w:val="0"/>
      <w:marTop w:val="0"/>
      <w:marBottom w:val="0"/>
      <w:divBdr>
        <w:top w:val="none" w:sz="0" w:space="0" w:color="auto"/>
        <w:left w:val="none" w:sz="0" w:space="0" w:color="auto"/>
        <w:bottom w:val="none" w:sz="0" w:space="0" w:color="auto"/>
        <w:right w:val="none" w:sz="0" w:space="0" w:color="auto"/>
      </w:divBdr>
    </w:div>
    <w:div w:id="1966155620">
      <w:bodyDiv w:val="1"/>
      <w:marLeft w:val="0"/>
      <w:marRight w:val="0"/>
      <w:marTop w:val="0"/>
      <w:marBottom w:val="0"/>
      <w:divBdr>
        <w:top w:val="none" w:sz="0" w:space="0" w:color="auto"/>
        <w:left w:val="none" w:sz="0" w:space="0" w:color="auto"/>
        <w:bottom w:val="none" w:sz="0" w:space="0" w:color="auto"/>
        <w:right w:val="none" w:sz="0" w:space="0" w:color="auto"/>
      </w:divBdr>
    </w:div>
    <w:div w:id="1984508248">
      <w:bodyDiv w:val="1"/>
      <w:marLeft w:val="0"/>
      <w:marRight w:val="0"/>
      <w:marTop w:val="0"/>
      <w:marBottom w:val="0"/>
      <w:divBdr>
        <w:top w:val="none" w:sz="0" w:space="0" w:color="auto"/>
        <w:left w:val="none" w:sz="0" w:space="0" w:color="auto"/>
        <w:bottom w:val="none" w:sz="0" w:space="0" w:color="auto"/>
        <w:right w:val="none" w:sz="0" w:space="0" w:color="auto"/>
      </w:divBdr>
      <w:divsChild>
        <w:div w:id="1312247170">
          <w:marLeft w:val="0"/>
          <w:marRight w:val="0"/>
          <w:marTop w:val="0"/>
          <w:marBottom w:val="0"/>
          <w:divBdr>
            <w:top w:val="none" w:sz="0" w:space="0" w:color="auto"/>
            <w:left w:val="none" w:sz="0" w:space="0" w:color="auto"/>
            <w:bottom w:val="none" w:sz="0" w:space="0" w:color="auto"/>
            <w:right w:val="none" w:sz="0" w:space="0" w:color="auto"/>
          </w:divBdr>
        </w:div>
        <w:div w:id="216478183">
          <w:marLeft w:val="0"/>
          <w:marRight w:val="0"/>
          <w:marTop w:val="0"/>
          <w:marBottom w:val="0"/>
          <w:divBdr>
            <w:top w:val="none" w:sz="0" w:space="0" w:color="auto"/>
            <w:left w:val="none" w:sz="0" w:space="0" w:color="auto"/>
            <w:bottom w:val="none" w:sz="0" w:space="0" w:color="auto"/>
            <w:right w:val="none" w:sz="0" w:space="0" w:color="auto"/>
          </w:divBdr>
        </w:div>
      </w:divsChild>
    </w:div>
    <w:div w:id="2001349046">
      <w:bodyDiv w:val="1"/>
      <w:marLeft w:val="0"/>
      <w:marRight w:val="0"/>
      <w:marTop w:val="0"/>
      <w:marBottom w:val="0"/>
      <w:divBdr>
        <w:top w:val="none" w:sz="0" w:space="0" w:color="auto"/>
        <w:left w:val="none" w:sz="0" w:space="0" w:color="auto"/>
        <w:bottom w:val="none" w:sz="0" w:space="0" w:color="auto"/>
        <w:right w:val="none" w:sz="0" w:space="0" w:color="auto"/>
      </w:divBdr>
    </w:div>
    <w:div w:id="2021082660">
      <w:bodyDiv w:val="1"/>
      <w:marLeft w:val="0"/>
      <w:marRight w:val="0"/>
      <w:marTop w:val="0"/>
      <w:marBottom w:val="0"/>
      <w:divBdr>
        <w:top w:val="none" w:sz="0" w:space="0" w:color="auto"/>
        <w:left w:val="none" w:sz="0" w:space="0" w:color="auto"/>
        <w:bottom w:val="none" w:sz="0" w:space="0" w:color="auto"/>
        <w:right w:val="none" w:sz="0" w:space="0" w:color="auto"/>
      </w:divBdr>
    </w:div>
    <w:div w:id="2090539062">
      <w:bodyDiv w:val="1"/>
      <w:marLeft w:val="0"/>
      <w:marRight w:val="0"/>
      <w:marTop w:val="0"/>
      <w:marBottom w:val="0"/>
      <w:divBdr>
        <w:top w:val="none" w:sz="0" w:space="0" w:color="auto"/>
        <w:left w:val="none" w:sz="0" w:space="0" w:color="auto"/>
        <w:bottom w:val="none" w:sz="0" w:space="0" w:color="auto"/>
        <w:right w:val="none" w:sz="0" w:space="0" w:color="auto"/>
      </w:divBdr>
    </w:div>
    <w:div w:id="21003729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53A9C-6CBB-486A-9097-7125D5A7B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13365</Words>
  <Characters>7619</Characters>
  <Application>Microsoft Office Word</Application>
  <DocSecurity>0</DocSecurity>
  <Lines>63</Lines>
  <Paragraphs>41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20943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2021-05-28T11:33:00Z</dcterms:created>
  <dcterms:modified xsi:type="dcterms:W3CDTF">2021-05-28T11:41:00Z</dcterms:modified>
  <dc:language/>
</cp:coreProperties>
</file>