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87E30" w:rsidRDefault="00F87E30">
      <w:pPr>
        <w:tabs>
          <w:tab w:val="left" w:pos="4329"/>
        </w:tabs>
        <w:rPr>
          <w:sz w:val="20"/>
          <w:szCs w:val="20"/>
          <w:lang w:val="en-GB"/>
        </w:rPr>
      </w:pPr>
      <w:bookmarkStart w:id="0" w:name="_GoBack"/>
      <w:bookmarkEnd w:id="0"/>
    </w:p>
    <w:p w14:paraId="00000002" w14:textId="77777777" w:rsidR="00F87E30" w:rsidRDefault="00F87E30">
      <w:pPr>
        <w:tabs>
          <w:tab w:val="left" w:pos="4329"/>
        </w:tabs>
        <w:rPr>
          <w:sz w:val="20"/>
          <w:szCs w:val="20"/>
        </w:rPr>
      </w:pPr>
    </w:p>
    <w:p w14:paraId="00000003" w14:textId="77777777" w:rsidR="00F87E30" w:rsidRDefault="00F87E30">
      <w:pPr>
        <w:tabs>
          <w:tab w:val="left" w:pos="4329"/>
        </w:tabs>
        <w:rPr>
          <w:sz w:val="20"/>
          <w:szCs w:val="20"/>
        </w:rPr>
      </w:pPr>
    </w:p>
    <w:p w14:paraId="00000004" w14:textId="77777777" w:rsidR="00F87E30" w:rsidRDefault="00F87E30">
      <w:pPr>
        <w:tabs>
          <w:tab w:val="left" w:pos="4329"/>
        </w:tabs>
        <w:rPr>
          <w:sz w:val="20"/>
          <w:szCs w:val="20"/>
        </w:rPr>
      </w:pPr>
    </w:p>
    <w:p w14:paraId="00000005" w14:textId="77777777" w:rsidR="00F87E30" w:rsidRDefault="00C368DB">
      <w:pPr>
        <w:tabs>
          <w:tab w:val="left" w:pos="5626"/>
        </w:tabs>
        <w:rPr>
          <w:sz w:val="20"/>
          <w:szCs w:val="20"/>
        </w:rPr>
      </w:pPr>
      <w:r>
        <w:rPr>
          <w:sz w:val="20"/>
          <w:szCs w:val="20"/>
        </w:rPr>
        <w:tab/>
      </w:r>
    </w:p>
    <w:p w14:paraId="00000006" w14:textId="77777777" w:rsidR="00F87E30" w:rsidRDefault="00F87E30">
      <w:pPr>
        <w:jc w:val="right"/>
        <w:rPr>
          <w:sz w:val="20"/>
          <w:szCs w:val="20"/>
        </w:rPr>
      </w:pPr>
    </w:p>
    <w:p w14:paraId="00000007" w14:textId="77777777" w:rsidR="00F87E30" w:rsidRDefault="00F87E30">
      <w:pPr>
        <w:jc w:val="center"/>
        <w:rPr>
          <w:b/>
        </w:rPr>
      </w:pPr>
    </w:p>
    <w:p w14:paraId="00000008" w14:textId="77777777" w:rsidR="00F87E30" w:rsidRDefault="00F87E30">
      <w:pPr>
        <w:jc w:val="center"/>
        <w:rPr>
          <w:b/>
        </w:rPr>
      </w:pPr>
    </w:p>
    <w:p w14:paraId="00000009" w14:textId="77777777" w:rsidR="00F87E30" w:rsidRDefault="00F87E30">
      <w:pPr>
        <w:jc w:val="center"/>
        <w:rPr>
          <w:b/>
        </w:rPr>
      </w:pPr>
    </w:p>
    <w:p w14:paraId="0000000A" w14:textId="77777777" w:rsidR="00F87E30" w:rsidRDefault="00F87E30">
      <w:pPr>
        <w:jc w:val="center"/>
        <w:rPr>
          <w:b/>
        </w:rPr>
      </w:pPr>
    </w:p>
    <w:p w14:paraId="0000000B" w14:textId="77777777" w:rsidR="00F87E30" w:rsidRDefault="00F87E30">
      <w:pPr>
        <w:jc w:val="center"/>
        <w:rPr>
          <w:b/>
        </w:rPr>
      </w:pPr>
    </w:p>
    <w:p w14:paraId="0000000C" w14:textId="77777777" w:rsidR="00F87E30" w:rsidRDefault="00C368DB">
      <w:pPr>
        <w:jc w:val="center"/>
        <w:rPr>
          <w:b/>
        </w:rPr>
      </w:pPr>
      <w:r>
        <w:rPr>
          <w:b/>
        </w:rPr>
        <w:t>ВИСНОВОК</w:t>
      </w:r>
    </w:p>
    <w:p w14:paraId="0000000D" w14:textId="77777777" w:rsidR="00F87E30" w:rsidRDefault="00C368DB">
      <w:pPr>
        <w:jc w:val="center"/>
        <w:rPr>
          <w:b/>
          <w:color w:val="000000"/>
        </w:rPr>
      </w:pPr>
      <w:bookmarkStart w:id="1" w:name="_gjdgxs" w:colFirst="0" w:colLast="0"/>
      <w:bookmarkEnd w:id="1"/>
      <w:r>
        <w:rPr>
          <w:b/>
        </w:rPr>
        <w:t>на</w:t>
      </w:r>
      <w:r>
        <w:t xml:space="preserve"> </w:t>
      </w:r>
      <w:r>
        <w:rPr>
          <w:b/>
        </w:rPr>
        <w:t>проект Закону України «</w:t>
      </w:r>
      <w:r>
        <w:rPr>
          <w:b/>
          <w:color w:val="000000"/>
        </w:rPr>
        <w:t>Про внесення змін до Податкового кодексу України та інших законів України щодо лібералізації застосування реєстраторів розрахункових операцій платниками єдиного податку та скасування механізму компенсації покупцям (споживачам) за скаргами щодо порушення встановленого порядку проведення розрахункових операцій частини суми застосованих штрафних санкцій»</w:t>
      </w:r>
    </w:p>
    <w:p w14:paraId="0000000E" w14:textId="77777777" w:rsidR="00F87E30" w:rsidRDefault="00F87E30">
      <w:pPr>
        <w:widowControl w:val="0"/>
        <w:ind w:firstLine="567"/>
        <w:jc w:val="both"/>
        <w:rPr>
          <w:rFonts w:ascii="Calibri" w:eastAsia="Calibri" w:hAnsi="Calibri" w:cs="Calibri"/>
        </w:rPr>
      </w:pPr>
    </w:p>
    <w:p w14:paraId="0000000F" w14:textId="77777777" w:rsidR="00F87E30" w:rsidRDefault="00C368DB">
      <w:pPr>
        <w:widowControl w:val="0"/>
        <w:ind w:firstLine="709"/>
        <w:jc w:val="both"/>
        <w:rPr>
          <w:highlight w:val="white"/>
        </w:rPr>
      </w:pPr>
      <w:r>
        <w:t xml:space="preserve">У проекті, як зазначено у пояснювальній записці до нього, </w:t>
      </w:r>
      <w:r>
        <w:rPr>
          <w:highlight w:val="white"/>
        </w:rPr>
        <w:t>пропонується:</w:t>
      </w:r>
    </w:p>
    <w:p w14:paraId="00000010" w14:textId="77777777" w:rsidR="00F87E30" w:rsidRDefault="00C368DB">
      <w:pPr>
        <w:tabs>
          <w:tab w:val="left" w:pos="1134"/>
        </w:tabs>
        <w:ind w:firstLine="709"/>
        <w:jc w:val="both"/>
      </w:pPr>
      <w:r>
        <w:t xml:space="preserve">«визначати граничні обсяги доходів, </w:t>
      </w:r>
      <w:proofErr w:type="spellStart"/>
      <w:r>
        <w:t>неперевищення</w:t>
      </w:r>
      <w:proofErr w:type="spellEnd"/>
      <w:r>
        <w:t xml:space="preserve"> яких є однією з умов застосування суб’єктами спрощеної системи оподаткування відповідних груп платників єдиного податку, виходячи зі встановлених законом розмірів мінімальної заробітної плати, що дасть змогу враховувати під час реалізації відповідних норм зміни в економічній ситуації;</w:t>
      </w:r>
    </w:p>
    <w:p w14:paraId="00000011" w14:textId="77777777" w:rsidR="00F87E30" w:rsidRDefault="00C368DB">
      <w:pPr>
        <w:tabs>
          <w:tab w:val="left" w:pos="1134"/>
        </w:tabs>
        <w:ind w:firstLine="709"/>
        <w:jc w:val="both"/>
      </w:pPr>
      <w:r>
        <w:rPr>
          <w:highlight w:val="white"/>
        </w:rPr>
        <w:t>виключити норми щодо застосування механізму компенсації покупцям (споживачам) за скаргами щодо порушення встановленого порядку проведення розрахункових операцій частини суми застосованих до суб’єктів господарювання штрафних (фінансових) санкцій</w:t>
      </w:r>
      <w:r>
        <w:t>;</w:t>
      </w:r>
    </w:p>
    <w:p w14:paraId="00000012" w14:textId="0EB86303" w:rsidR="00F87E30" w:rsidRDefault="00C368DB">
      <w:pPr>
        <w:tabs>
          <w:tab w:val="left" w:pos="1134"/>
        </w:tabs>
        <w:ind w:firstLine="709"/>
        <w:jc w:val="both"/>
      </w:pPr>
      <w:bookmarkStart w:id="2" w:name="_30j0zll" w:colFirst="0" w:colLast="0"/>
      <w:bookmarkEnd w:id="2"/>
      <w:r>
        <w:t>відтермінувати до 1 січня 2022 року обов’язкове застосування РРО (ПРРО) для фізичних осіб – підприємців, які є платниками єдиного податку другої – четвертої груп та обсяг доходу яких протягом календарного року не перевищує граничного обсягу доходу, встановленого для першої  групи платників єдиного податку,</w:t>
      </w:r>
      <w:r w:rsidR="00D54E69" w:rsidRPr="00782A03">
        <w:t xml:space="preserve"> </w:t>
      </w:r>
      <w:r>
        <w:t>крім тих, які провадять діяльність у сферах з істотними ризиками ухилення від оподаткування;</w:t>
      </w:r>
    </w:p>
    <w:p w14:paraId="00000013" w14:textId="77777777" w:rsidR="00F87E30" w:rsidRDefault="00C368DB">
      <w:pPr>
        <w:tabs>
          <w:tab w:val="left" w:pos="1134"/>
        </w:tabs>
        <w:ind w:firstLine="709"/>
        <w:jc w:val="both"/>
      </w:pPr>
      <w:r>
        <w:t>скасувати штрафні санкції за невідповідність готівкових коштів на місці проведення розрахунків сумі коштів, зазначеній у денному звіті РРО, та за відсутність попереднього програмування товарів в РРО (ПРРО);</w:t>
      </w:r>
    </w:p>
    <w:p w14:paraId="00000014" w14:textId="77777777" w:rsidR="00F87E30" w:rsidRDefault="00C368DB">
      <w:pPr>
        <w:tabs>
          <w:tab w:val="left" w:pos="1134"/>
        </w:tabs>
        <w:ind w:firstLine="709"/>
        <w:jc w:val="both"/>
      </w:pPr>
      <w:r>
        <w:t>подовжити на рік (до 1 січня 2022 року) застосування понижених розмірів фінансових санкцій за порушення суб’єктами господарювання окремих вимог закону щодо використання реєстраторів розрахункових операцій (програмних реєстраторів розрахункових операцій) під час проведення розрахункових операцій;</w:t>
      </w:r>
    </w:p>
    <w:p w14:paraId="00000015" w14:textId="77777777" w:rsidR="00F87E30" w:rsidRPr="000D74AF" w:rsidRDefault="00C368DB">
      <w:pPr>
        <w:tabs>
          <w:tab w:val="left" w:pos="1134"/>
        </w:tabs>
        <w:ind w:firstLine="709"/>
        <w:jc w:val="both"/>
      </w:pPr>
      <w:r>
        <w:t xml:space="preserve">запровадити поняття «дистанційні послуги» та передбачити </w:t>
      </w:r>
      <w:r w:rsidRPr="000D74AF">
        <w:t xml:space="preserve">незастосування РРО (ПРРО) під час  надання дистанційних послуг, розрахунки </w:t>
      </w:r>
      <w:r w:rsidRPr="000D74AF">
        <w:lastRenderedPageBreak/>
        <w:t>за які здійснюються виключно за допомогою банківських систем дистанційного обслуговування та/або сервісів переказу коштів» (п. 3).</w:t>
      </w:r>
    </w:p>
    <w:p w14:paraId="00000016" w14:textId="282400F4" w:rsidR="00F87E30" w:rsidRDefault="00C368DB" w:rsidP="006B1325">
      <w:pPr>
        <w:tabs>
          <w:tab w:val="left" w:pos="1134"/>
        </w:tabs>
        <w:ind w:firstLine="709"/>
        <w:jc w:val="both"/>
      </w:pPr>
      <w:r w:rsidRPr="000D74AF">
        <w:t>Відповідні зміни передбачаються до Податкового кодексу України</w:t>
      </w:r>
      <w:r w:rsidR="0018324A" w:rsidRPr="00782A03">
        <w:t xml:space="preserve"> (далі – ПК), </w:t>
      </w:r>
      <w:r w:rsidR="00537DFA" w:rsidRPr="00782A03">
        <w:t>законів</w:t>
      </w:r>
      <w:r w:rsidRPr="000D74AF">
        <w:t xml:space="preserve"> України «Про застосування реєстраторів розрахункових операцій у сфері торгівлі, громадського харчування та послуг (далі – Закон)», </w:t>
      </w:r>
      <w:r w:rsidR="006B1325" w:rsidRPr="00782A03">
        <w:t xml:space="preserve">     </w:t>
      </w:r>
      <w:r w:rsidR="00024C1A" w:rsidRPr="00782A03">
        <w:t xml:space="preserve">           </w:t>
      </w:r>
      <w:r w:rsidR="006B1325" w:rsidRPr="00782A03">
        <w:t xml:space="preserve">          </w:t>
      </w:r>
      <w:r w:rsidR="00024C1A" w:rsidRPr="00782A03">
        <w:t>“Про внесення</w:t>
      </w:r>
      <w:r w:rsidRPr="000D74AF">
        <w:t xml:space="preserve"> змін до Закону України «Про застосування реєстраторів розрахункових операцій у сферах торгівлі, громадського харчування та послуг» та інших законів України щодо детінізації розрахунків у сфері торгівлі та послуг</w:t>
      </w:r>
      <w:r>
        <w:t>», «Про внесення змін до Податкового кодексу України щодо детінізації розрахунків у сфері торгівлі і послуг».</w:t>
      </w:r>
    </w:p>
    <w:p w14:paraId="00000017" w14:textId="7079FEA4" w:rsidR="00F87E30" w:rsidRDefault="00C368DB">
      <w:pPr>
        <w:tabs>
          <w:tab w:val="left" w:pos="1134"/>
        </w:tabs>
        <w:ind w:firstLine="709"/>
        <w:jc w:val="both"/>
        <w:rPr>
          <w:highlight w:val="white"/>
        </w:rPr>
      </w:pPr>
      <w:r>
        <w:t xml:space="preserve">Прийняття проекту у пояснювальній записці до нього </w:t>
      </w:r>
      <w:r>
        <w:rPr>
          <w:color w:val="000000"/>
        </w:rPr>
        <w:t xml:space="preserve">обґрунтовується, зокрема, необхідністю відтермінування положень щодо обов’язкового застосування РРО з метою </w:t>
      </w:r>
      <w:r w:rsidR="000D74AF" w:rsidRPr="00782A03">
        <w:rPr>
          <w:color w:val="000000"/>
        </w:rPr>
        <w:t>надання</w:t>
      </w:r>
      <w:r>
        <w:rPr>
          <w:color w:val="000000"/>
        </w:rPr>
        <w:t xml:space="preserve"> платникам податків достатнього часу для підготовки до забезпечення виконання відповідних вимог, «пом’якшення відповідальності за окремі порушення законодавства у сфері регулювання порядку проведення розрахункових операцій».</w:t>
      </w:r>
    </w:p>
    <w:p w14:paraId="00000018" w14:textId="77777777" w:rsidR="00F87E30" w:rsidRDefault="00C368D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Головне управління, розглянувши проект у стислий термін, вважає за доцільне висловити щодо нього такі зауваження.</w:t>
      </w:r>
    </w:p>
    <w:p w14:paraId="00000019" w14:textId="698C1367" w:rsidR="00F87E30" w:rsidRDefault="00C368DB">
      <w:pPr>
        <w:ind w:firstLine="709"/>
        <w:jc w:val="both"/>
      </w:pPr>
      <w:r>
        <w:rPr>
          <w:b/>
        </w:rPr>
        <w:t xml:space="preserve">1. </w:t>
      </w:r>
      <w:r>
        <w:t xml:space="preserve">У проекті пропонується прив’язати розмір доходу, за яким суб’єкти господарювання, які застосовують спрощену систему оподаткування, обліку та звітності, поділяються на групи платників єдиного податку, до розміру мінімальної заробітної плати, встановленої законом на 1 січня податкового (звітного) року. Не заперечуючи щодо такої пропозиції, одночасно зауважимо, що визначені у проекті числові значення цього критерію у пропонованому вигляді можуть мати місце виключно за умови, якщо розмір мінімальної заробітної плати станом на 1 січня 2021 року становитиме не менше </w:t>
      </w:r>
      <w:r w:rsidR="00E26F01" w:rsidRPr="00782A03">
        <w:rPr>
          <w:lang w:val="ru-RU"/>
        </w:rPr>
        <w:t xml:space="preserve">                  </w:t>
      </w:r>
      <w:r>
        <w:t xml:space="preserve">6000 гривень. У зв’язку із цим, внесений проект у цій частині є похідним від проекту Закону України «Про Державний бюджет України на 2021 рік» </w:t>
      </w:r>
      <w:r w:rsidR="002F49A2" w:rsidRPr="00782A03">
        <w:rPr>
          <w:lang w:val="ru-RU"/>
        </w:rPr>
        <w:t xml:space="preserve">    </w:t>
      </w:r>
      <w:r>
        <w:t xml:space="preserve">(реєстр. № 4000 від 14.09.2020), а тому відповідне рішення має прийматися за результатами розгляду останнього.  </w:t>
      </w:r>
    </w:p>
    <w:p w14:paraId="0000001A" w14:textId="77777777" w:rsidR="00F87E30" w:rsidRDefault="00C368DB">
      <w:pPr>
        <w:ind w:firstLine="709"/>
        <w:jc w:val="both"/>
      </w:pPr>
      <w:r>
        <w:t xml:space="preserve">Одночасно зауважимо, що пропозиція встановити такий критерій для норм тимчасового характеру, зважаючи на обмежений термін їх дії – 1 рік (оновлений </w:t>
      </w:r>
      <w:proofErr w:type="spellStart"/>
      <w:r>
        <w:t>абз</w:t>
      </w:r>
      <w:proofErr w:type="spellEnd"/>
      <w:r>
        <w:t>. 4 п.  61 підрозділу 10 розділу XX ПК), виглядає дискусійною, враховуючи, що пропонований новий розмір доходу складатиме фактично той же самий розмір – 1 002 000 грн. (1 000 000 грн. згідно із чинною нормою).</w:t>
      </w:r>
    </w:p>
    <w:p w14:paraId="0000001B" w14:textId="0DE2EE93" w:rsidR="00F87E30" w:rsidRDefault="00C368DB">
      <w:pPr>
        <w:ind w:firstLine="709"/>
        <w:jc w:val="both"/>
      </w:pPr>
      <w:r>
        <w:rPr>
          <w:b/>
        </w:rPr>
        <w:t xml:space="preserve">2. </w:t>
      </w:r>
      <w:r>
        <w:t xml:space="preserve">У новому </w:t>
      </w:r>
      <w:proofErr w:type="spellStart"/>
      <w:r>
        <w:t>абз</w:t>
      </w:r>
      <w:proofErr w:type="spellEnd"/>
      <w:r>
        <w:t xml:space="preserve">. 36 ст. 1 Закону пропонується надати визначення поняття «дистанційна послуга», що потребує додаткового обґрунтування, враховуючи, що вказане поняття, по суті, дублює визначення поняття «послуга», що міститься у Законі України «Про захист прав споживачів» (п. 17 ч. 1 ст. 1). Крім того, у вказаному Законі вже передбачені поняття «договір, укладений на відстані, – договір, укладений продавцем (виконавцем) із споживачем за допомогою засобів дистанційного зв'язку» та «засоби дистанційного зв'язку – телекомунікаційні мережі, поштовий зв'язок, телебачення, інформаційні мережі, зокрема Інтернет, які можуть </w:t>
      </w:r>
      <w:r>
        <w:lastRenderedPageBreak/>
        <w:t>використовуватися для укладення договорів на відстані» (</w:t>
      </w:r>
      <w:proofErr w:type="spellStart"/>
      <w:r>
        <w:t>п.п</w:t>
      </w:r>
      <w:proofErr w:type="spellEnd"/>
      <w:r>
        <w:t>. 8, 11 ч. 1 ст. 1), у зв’язку із чим, звертаємо</w:t>
      </w:r>
      <w:r w:rsidR="0009699B" w:rsidRPr="00782A03">
        <w:t xml:space="preserve"> увагу</w:t>
      </w:r>
      <w:r>
        <w:t xml:space="preserve"> на необхідність застосування у законодавчих актах єдиної термінології.</w:t>
      </w:r>
    </w:p>
    <w:p w14:paraId="0000001C" w14:textId="59264B00" w:rsidR="00F87E30" w:rsidRDefault="00C368DB">
      <w:pPr>
        <w:ind w:firstLine="709"/>
        <w:jc w:val="both"/>
      </w:pPr>
      <w:bookmarkStart w:id="3" w:name="_1fob9te" w:colFirst="0" w:colLast="0"/>
      <w:bookmarkEnd w:id="3"/>
      <w:r>
        <w:rPr>
          <w:b/>
        </w:rPr>
        <w:t xml:space="preserve">3. </w:t>
      </w:r>
      <w:r>
        <w:t xml:space="preserve">Відповідно до оновленого визначення поняття  «контрольна стрічка» до такої віднесено, зокрема, «електронні копії розрахункових документів, а також електронні копії фіскальних звітних </w:t>
      </w:r>
      <w:proofErr w:type="spellStart"/>
      <w:r>
        <w:t>чеків</w:t>
      </w:r>
      <w:proofErr w:type="spellEnd"/>
      <w:r>
        <w:t xml:space="preserve">, які сформовані послідовно із додаванням у кожен наступний розрахунковий документ або фіскальний звітний чек хешу попереднього розрахункового документу або фіскального звітного чека, та зберігаються в електронній формі таким програмним реєстратором розрахункових операцій під час його роботи на період відсутності зв’язку між програмним реєстратором розрахункових операцій та фіскальним сервером контролюючого органу (в режимі </w:t>
      </w:r>
      <w:proofErr w:type="spellStart"/>
      <w:r>
        <w:t>офлайн</w:t>
      </w:r>
      <w:proofErr w:type="spellEnd"/>
      <w:r>
        <w:t xml:space="preserve">) до моменту передачі розрахункових документів або фіскальних звітних </w:t>
      </w:r>
      <w:proofErr w:type="spellStart"/>
      <w:r>
        <w:t>чеків</w:t>
      </w:r>
      <w:proofErr w:type="spellEnd"/>
      <w:r>
        <w:t xml:space="preserve"> до фіскального сервера контролюючого органу». На наш погляд, така пропозиція потребує додаткового обґрунтування, адже, по суті, йдеться лише про тимчасове збереження програмним</w:t>
      </w:r>
      <w:r w:rsidR="00662ADD" w:rsidRPr="00782A03">
        <w:rPr>
          <w:lang w:val="ru-RU"/>
        </w:rPr>
        <w:t xml:space="preserve"> РРО</w:t>
      </w:r>
      <w:r>
        <w:t xml:space="preserve"> інформації до моменту її передачі до фіскального сервера контролюючого органу. При цьому, обов’язок щодо збереження вказаної інформації вже передбачено п. 10 ст. 3 Закону. </w:t>
      </w:r>
    </w:p>
    <w:p w14:paraId="0000001D" w14:textId="77777777" w:rsidR="00F87E30" w:rsidRDefault="00C368DB">
      <w:pPr>
        <w:widowControl w:val="0"/>
        <w:tabs>
          <w:tab w:val="left" w:pos="0"/>
          <w:tab w:val="left" w:pos="709"/>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Зауважимо також, що поняття «хеш» чинним законодавством не передбачено, у зв’язку із чим та з метою належного правозастосування вбачається доцільним дати визначення вказаного поняття у Законі.</w:t>
      </w:r>
    </w:p>
    <w:p w14:paraId="0000001E" w14:textId="77777777" w:rsidR="00F87E30" w:rsidRDefault="00C368DB">
      <w:pPr>
        <w:widowControl w:val="0"/>
        <w:tabs>
          <w:tab w:val="left" w:pos="0"/>
          <w:tab w:val="left" w:pos="709"/>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b/>
        </w:rPr>
        <w:t xml:space="preserve">4. </w:t>
      </w:r>
      <w:r>
        <w:t>Потребує додаткового обґрунтування положення оновленого п. 1 ст. 3 Закону щодо  заборони використання програмних РРО при роздрібній торгівлі пальним, які виконують ті ж самі функції, що й звичайні РРО.</w:t>
      </w:r>
    </w:p>
    <w:p w14:paraId="0000001F" w14:textId="77777777" w:rsidR="00F87E30" w:rsidRDefault="00C368DB">
      <w:pPr>
        <w:widowControl w:val="0"/>
        <w:tabs>
          <w:tab w:val="left" w:pos="0"/>
          <w:tab w:val="left" w:pos="709"/>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bookmarkStart w:id="4" w:name="_3znysh7" w:colFirst="0" w:colLast="0"/>
      <w:bookmarkEnd w:id="4"/>
      <w:r>
        <w:rPr>
          <w:b/>
        </w:rPr>
        <w:t xml:space="preserve">5. </w:t>
      </w:r>
      <w:r>
        <w:t xml:space="preserve">Положення оновленого </w:t>
      </w:r>
      <w:proofErr w:type="spellStart"/>
      <w:r>
        <w:t>абз</w:t>
      </w:r>
      <w:proofErr w:type="spellEnd"/>
      <w:r>
        <w:t xml:space="preserve">. 4 п. 7 ст. 3 Закону, згідно з яким передбачається передавати до контролюючих органів «іншу інформацію необхідну для обліку роботи програмних реєстраторів розрахункових операцій фіскальним сервером контролюючого органу, яка створюється засобами таких програмних реєстраторів розрахункових операцій», не відповідає принципу юридичної визначеності правової норми. </w:t>
      </w:r>
    </w:p>
    <w:p w14:paraId="00000020" w14:textId="77777777" w:rsidR="00F87E30" w:rsidRDefault="00C368DB">
      <w:pPr>
        <w:widowControl w:val="0"/>
        <w:tabs>
          <w:tab w:val="left" w:pos="0"/>
          <w:tab w:val="left" w:pos="709"/>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b/>
        </w:rPr>
        <w:t>6.</w:t>
      </w:r>
      <w:r>
        <w:t xml:space="preserve"> Виглядає незрозумілим зміст припису оновленого </w:t>
      </w:r>
      <w:proofErr w:type="spellStart"/>
      <w:r>
        <w:t>абз</w:t>
      </w:r>
      <w:proofErr w:type="spellEnd"/>
      <w:r>
        <w:t xml:space="preserve">. 5 п. 7 ст. 3 Закону, згідно з яким «програмні реєстратори розрахункових операцій та фіскальний сервер контролюючого органу повинні забезпечувати можливість одержання в автоматичному режимі даних про електронні розрахункові документи від фіскального серверу контролюючого органу, необхідних для формування засобами програмного реєстратора розрахункових операцій та передачі до фіскального серверу контролюючого органу фіскальних звітів та електронних фіскальних звітних </w:t>
      </w:r>
      <w:proofErr w:type="spellStart"/>
      <w:r>
        <w:t>чеків</w:t>
      </w:r>
      <w:proofErr w:type="spellEnd"/>
      <w:r>
        <w:t xml:space="preserve"> за відповідний період». </w:t>
      </w:r>
    </w:p>
    <w:p w14:paraId="00000021" w14:textId="77777777" w:rsidR="00F87E30" w:rsidRDefault="00C368DB">
      <w:pPr>
        <w:widowControl w:val="0"/>
        <w:tabs>
          <w:tab w:val="left" w:pos="0"/>
          <w:tab w:val="left" w:pos="993"/>
          <w:tab w:val="left" w:pos="127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Також зауважимо, що в </w:t>
      </w:r>
      <w:proofErr w:type="spellStart"/>
      <w:r>
        <w:t>абз</w:t>
      </w:r>
      <w:proofErr w:type="spellEnd"/>
      <w:r>
        <w:t xml:space="preserve">. 35 ст. 2 Закону вже передбачено, що «програмний реєстратор розрахункових операцій – програмний, програмно-апаратний або програмно-технічний комплекс у вигляді технологічного та/або програмного рішення, що використовується на будь-якому пристрої та в якому фіскальні функції реалізовані через фіскальний сервер контролюючого органу і який призначений для реєстрації розрахункових операцій при продажу </w:t>
      </w:r>
      <w:r>
        <w:lastRenderedPageBreak/>
        <w:t>товарів (наданні послуг), операцій з торгівлі валютними цінностями в готівковій формі та/або реєстрації кількості проданих товарів (наданих послуг), операцій з приймання готівки для подальшого переказ».</w:t>
      </w:r>
    </w:p>
    <w:p w14:paraId="00000022" w14:textId="237D0869" w:rsidR="00F87E30" w:rsidRDefault="00C368DB">
      <w:pPr>
        <w:widowControl w:val="0"/>
        <w:tabs>
          <w:tab w:val="left" w:pos="0"/>
          <w:tab w:val="left" w:pos="993"/>
          <w:tab w:val="left" w:pos="127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4E69">
        <w:rPr>
          <w:b/>
        </w:rPr>
        <w:t xml:space="preserve">7. </w:t>
      </w:r>
      <w:r w:rsidRPr="00D54E69">
        <w:t xml:space="preserve">Положення оновленого </w:t>
      </w:r>
      <w:proofErr w:type="spellStart"/>
      <w:r w:rsidRPr="00D54E69">
        <w:t>абз</w:t>
      </w:r>
      <w:proofErr w:type="spellEnd"/>
      <w:r w:rsidRPr="00D54E69">
        <w:t>. 5 п. 7 ст. 3, нової ст. 12</w:t>
      </w:r>
      <w:r w:rsidRPr="00D54E69">
        <w:rPr>
          <w:vertAlign w:val="superscript"/>
        </w:rPr>
        <w:t>1</w:t>
      </w:r>
      <w:r w:rsidRPr="00D54E69">
        <w:t xml:space="preserve"> Закону, на наш погляд, стосуються не стільки вимог щодо передачі (обміну) інформації, скільки вимог до фіскального серверу контролюючого органу та програмного </w:t>
      </w:r>
      <w:r w:rsidR="00D54E69" w:rsidRPr="00782A03">
        <w:rPr>
          <w:lang w:val="ru-RU"/>
        </w:rPr>
        <w:t>РРО</w:t>
      </w:r>
      <w:r>
        <w:t xml:space="preserve">, які логічніше викладати у ст. 2 Закону, в якій визначені відповідні поняття. </w:t>
      </w:r>
    </w:p>
    <w:p w14:paraId="00000023" w14:textId="77777777" w:rsidR="00F87E30" w:rsidRDefault="00C368DB">
      <w:pPr>
        <w:widowControl w:val="0"/>
        <w:tabs>
          <w:tab w:val="left" w:pos="0"/>
          <w:tab w:val="left" w:pos="993"/>
          <w:tab w:val="left" w:pos="127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b/>
        </w:rPr>
        <w:t xml:space="preserve">8. </w:t>
      </w:r>
      <w:r>
        <w:rPr>
          <w:b/>
        </w:rPr>
        <w:tab/>
      </w:r>
      <w:r>
        <w:t xml:space="preserve">Виглядає дискусійною пропозиція оновленого п. 1, виключення п. 6 ст. 17 Закону, згідно із якими пропонується скасувати відповідальність у разі «невідповідності на місці проведення розрахунків суми готівкових коштів сумі коштів, зазначеній у денному звіті реєстратора розрахункових операцій, більше ніж на 10 відсотків розміру мінімальної заробітної плати, встановленої законом на 1 січня податкового (звітного) року, а в разі використання розрахункової книжки – загальній сумі продажу за розрахунковими квитанціями, виданими з початку робочого дня» та «проведення розрахункових операцій через реєстратори розрахункових операцій та/або програмні реєстратори розрахункових операцій без використання режиму попереднього  програмування найменування товару, який не є підакцизним, та/або послуги, ціни такого товару (послуги) та обліку їх кількості», що може призвести до зниження дисципліни у сфері застосування РРО. </w:t>
      </w:r>
    </w:p>
    <w:p w14:paraId="00000024" w14:textId="2F950BAD" w:rsidR="00F87E30" w:rsidRPr="00D54E69" w:rsidRDefault="00C368DB">
      <w:pPr>
        <w:widowControl w:val="0"/>
        <w:tabs>
          <w:tab w:val="left" w:pos="0"/>
          <w:tab w:val="left" w:pos="993"/>
          <w:tab w:val="left" w:pos="127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Також, в аспекті виключення вказаного п. 6, зауважимо, що згідно із п. 11 ст. 3 Закону суб’є</w:t>
      </w:r>
      <w:r w:rsidRPr="00D54E69">
        <w:t xml:space="preserve">кти господарювання, які здійснюють розрахункові операції у готівковій та/або в безготівковій формі (із застосуванням електронних платіжних засобів, платіжних </w:t>
      </w:r>
      <w:proofErr w:type="spellStart"/>
      <w:r w:rsidRPr="00D54E69">
        <w:t>чеків</w:t>
      </w:r>
      <w:proofErr w:type="spellEnd"/>
      <w:r w:rsidRPr="00D54E69">
        <w:t xml:space="preserve">,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w:t>
      </w:r>
      <w:r w:rsidRPr="00D54E69">
        <w:rPr>
          <w:i/>
        </w:rPr>
        <w:t>зобов’язані проводити розрахункові операції</w:t>
      </w:r>
      <w:r w:rsidRPr="00D54E69">
        <w:t xml:space="preserve"> через </w:t>
      </w:r>
      <w:r w:rsidR="00045137" w:rsidRPr="00782A03">
        <w:t>РРО</w:t>
      </w:r>
      <w:r w:rsidRPr="00D54E69">
        <w:t xml:space="preserve">  та/або через програмні</w:t>
      </w:r>
      <w:r w:rsidR="0083348E" w:rsidRPr="00782A03">
        <w:t xml:space="preserve"> РРО</w:t>
      </w:r>
      <w:r w:rsidRPr="00D54E69">
        <w:t xml:space="preserve">  </w:t>
      </w:r>
      <w:r w:rsidRPr="00D54E69">
        <w:rPr>
          <w:i/>
        </w:rPr>
        <w:t>з використанням режиму попереднього програмування найменування товарів (послуг)</w:t>
      </w:r>
      <w:r w:rsidRPr="00D54E69">
        <w:t xml:space="preserve"> (із зазначенням коду товарної </w:t>
      </w:r>
      <w:proofErr w:type="spellStart"/>
      <w:r w:rsidRPr="00D54E69">
        <w:t>підкатегорії</w:t>
      </w:r>
      <w:proofErr w:type="spellEnd"/>
      <w:r w:rsidRPr="00D54E69">
        <w:t xml:space="preserve"> згідно з УКТ ЗЕД для підакцизних товарів), цін товарів (послуг) та обліку їх кількості.</w:t>
      </w:r>
    </w:p>
    <w:p w14:paraId="00000025" w14:textId="58EC7DE0" w:rsidR="00F87E30" w:rsidRDefault="00C368D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4E69">
        <w:rPr>
          <w:b/>
        </w:rPr>
        <w:t>9</w:t>
      </w:r>
      <w:r w:rsidRPr="00D54E69">
        <w:rPr>
          <w:color w:val="000000"/>
        </w:rPr>
        <w:t>. У цілому не заперечуючи щодо пропозиції скасувати низку положень законів України «</w:t>
      </w:r>
      <w:r w:rsidRPr="00D54E69">
        <w:t xml:space="preserve">Про внесення змін до Закону України «Про застосування реєстраторів розрахункових операцій у сферах торгівлі, громадського харчування та послуг» та інших законів України щодо детінізації розрахунків у сфері торгівлі та послуг», </w:t>
      </w:r>
      <w:r w:rsidRPr="00D54E69">
        <w:rPr>
          <w:color w:val="000000"/>
        </w:rPr>
        <w:t xml:space="preserve">«Про внесення змін до Податкового кодексу України щодо детінізації розрахунків у сфері торгівлі і послуг», що стосуються так званого </w:t>
      </w:r>
      <w:r w:rsidRPr="00D54E69">
        <w:t>механізму «</w:t>
      </w:r>
      <w:proofErr w:type="spellStart"/>
      <w:r w:rsidRPr="00D54E69">
        <w:t>кешбек</w:t>
      </w:r>
      <w:proofErr w:type="spellEnd"/>
      <w:r w:rsidRPr="00D54E69">
        <w:t>» при застосування РРО, разом із тим</w:t>
      </w:r>
      <w:r w:rsidR="00892CEA" w:rsidRPr="00782A03">
        <w:t>,</w:t>
      </w:r>
      <w:r w:rsidRPr="00D54E69">
        <w:t xml:space="preserve"> зауважимо, що у проекті не передбачено альтернативних шляхів вирішення проблеми забезпечення належного </w:t>
      </w:r>
      <w:r w:rsidRPr="00D54E69">
        <w:rPr>
          <w:color w:val="222222"/>
        </w:rPr>
        <w:t>державного</w:t>
      </w:r>
      <w:r>
        <w:rPr>
          <w:color w:val="222222"/>
          <w:highlight w:val="white"/>
        </w:rPr>
        <w:t xml:space="preserve"> контролю за розрахунковими операціями, </w:t>
      </w:r>
      <w:r>
        <w:rPr>
          <w:highlight w:val="white"/>
        </w:rPr>
        <w:t xml:space="preserve">обігом безготівкових та готівкових коштів, </w:t>
      </w:r>
      <w:r>
        <w:rPr>
          <w:color w:val="222222"/>
          <w:highlight w:val="white"/>
        </w:rPr>
        <w:t xml:space="preserve">обліком товарів, реєстрацією наданих послуг. </w:t>
      </w:r>
      <w:r>
        <w:t>Такий підхід, на наш погляд, не сприятиме вирішенню завдань детінізації економіки, підвищення рівня захисту прав споживачів.</w:t>
      </w:r>
    </w:p>
    <w:p w14:paraId="00000026" w14:textId="77777777" w:rsidR="00F87E30" w:rsidRDefault="00C368DB">
      <w:pPr>
        <w:widowControl w:val="0"/>
        <w:pBdr>
          <w:top w:val="nil"/>
          <w:left w:val="nil"/>
          <w:bottom w:val="nil"/>
          <w:right w:val="nil"/>
          <w:between w:val="nil"/>
        </w:pBdr>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Pr>
          <w:b/>
          <w:color w:val="000000"/>
        </w:rPr>
        <w:lastRenderedPageBreak/>
        <w:t xml:space="preserve">10. </w:t>
      </w:r>
      <w:r>
        <w:rPr>
          <w:color w:val="000000"/>
        </w:rPr>
        <w:t>Враховуючи те, що за змістом відповідних положень Конституції України (ст. 116) та Закону України «Про Кабінет Міністрів України» забезпечення проведення фінансової,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14:paraId="00000027" w14:textId="77777777" w:rsidR="00F87E30" w:rsidRDefault="00F87E30">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14:paraId="00000028" w14:textId="77777777" w:rsidR="00F87E30" w:rsidRDefault="00F87E30">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14:paraId="00000029" w14:textId="77777777" w:rsidR="00F87E30" w:rsidRDefault="00C368DB">
      <w:pPr>
        <w:ind w:firstLine="708"/>
        <w:jc w:val="both"/>
      </w:pPr>
      <w:r>
        <w:t>Керівник Головного управління                                     С. Тихонюк</w:t>
      </w:r>
    </w:p>
    <w:p w14:paraId="0000002A" w14:textId="77777777" w:rsidR="00F87E30" w:rsidRDefault="00F87E30">
      <w:pPr>
        <w:ind w:firstLine="708"/>
        <w:jc w:val="both"/>
      </w:pPr>
    </w:p>
    <w:p w14:paraId="0000002B" w14:textId="77777777" w:rsidR="00F87E30" w:rsidRDefault="00F87E30">
      <w:pPr>
        <w:ind w:firstLine="708"/>
        <w:jc w:val="both"/>
      </w:pPr>
    </w:p>
    <w:p w14:paraId="0000002C" w14:textId="77777777" w:rsidR="00F87E30" w:rsidRDefault="00C368DB">
      <w:pPr>
        <w:ind w:firstLine="708"/>
        <w:jc w:val="both"/>
      </w:pPr>
      <w:proofErr w:type="spellStart"/>
      <w:r>
        <w:rPr>
          <w:sz w:val="20"/>
          <w:szCs w:val="20"/>
        </w:rPr>
        <w:t>Вик</w:t>
      </w:r>
      <w:proofErr w:type="spellEnd"/>
      <w:r>
        <w:rPr>
          <w:sz w:val="20"/>
          <w:szCs w:val="20"/>
        </w:rPr>
        <w:t>.: І. Крегул, Є. Гришко</w:t>
      </w:r>
    </w:p>
    <w:sectPr w:rsidR="00F87E30">
      <w:headerReference w:type="default" r:id="rId6"/>
      <w:headerReference w:type="first" r:id="rId7"/>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9B12DC" w14:textId="77777777" w:rsidR="0064795F" w:rsidRDefault="0064795F">
      <w:r>
        <w:separator/>
      </w:r>
    </w:p>
  </w:endnote>
  <w:endnote w:type="continuationSeparator" w:id="0">
    <w:p w14:paraId="1D559D57" w14:textId="77777777" w:rsidR="0064795F" w:rsidRDefault="0064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BE95B" w14:textId="77777777" w:rsidR="0064795F" w:rsidRDefault="0064795F">
      <w:r>
        <w:separator/>
      </w:r>
    </w:p>
  </w:footnote>
  <w:footnote w:type="continuationSeparator" w:id="0">
    <w:p w14:paraId="78385DE8" w14:textId="77777777" w:rsidR="0064795F" w:rsidRDefault="00647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F" w14:textId="5FE450DA" w:rsidR="00F87E30" w:rsidRDefault="00C368DB">
    <w:pPr>
      <w:pBdr>
        <w:top w:val="nil"/>
        <w:left w:val="nil"/>
        <w:bottom w:val="nil"/>
        <w:right w:val="nil"/>
        <w:between w:val="nil"/>
      </w:pBdr>
      <w:tabs>
        <w:tab w:val="center" w:pos="4819"/>
        <w:tab w:val="right" w:pos="9639"/>
      </w:tabs>
      <w:jc w:val="right"/>
      <w:rPr>
        <w:color w:val="000000"/>
      </w:rPr>
    </w:pPr>
    <w:r>
      <w:rPr>
        <w:color w:val="000000"/>
      </w:rPr>
      <w:fldChar w:fldCharType="begin"/>
    </w:r>
    <w:r>
      <w:rPr>
        <w:color w:val="000000"/>
      </w:rPr>
      <w:instrText>PAGE</w:instrText>
    </w:r>
    <w:r>
      <w:rPr>
        <w:color w:val="000000"/>
      </w:rPr>
      <w:fldChar w:fldCharType="separate"/>
    </w:r>
    <w:r w:rsidR="00782A03">
      <w:rPr>
        <w:noProof/>
        <w:color w:val="000000"/>
      </w:rPr>
      <w:t>5</w:t>
    </w:r>
    <w:r>
      <w:rPr>
        <w:color w:val="000000"/>
      </w:rPr>
      <w:fldChar w:fldCharType="end"/>
    </w:r>
  </w:p>
  <w:p w14:paraId="00000030" w14:textId="77777777" w:rsidR="00F87E30" w:rsidRDefault="00F87E30">
    <w:pPr>
      <w:pBdr>
        <w:top w:val="nil"/>
        <w:left w:val="nil"/>
        <w:bottom w:val="nil"/>
        <w:right w:val="nil"/>
        <w:between w:val="nil"/>
      </w:pBdr>
      <w:tabs>
        <w:tab w:val="center" w:pos="4819"/>
        <w:tab w:val="right" w:pos="9639"/>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D" w14:textId="77777777" w:rsidR="00F87E30" w:rsidRDefault="00C368DB">
    <w:pPr>
      <w:jc w:val="right"/>
      <w:rPr>
        <w:sz w:val="20"/>
        <w:szCs w:val="20"/>
      </w:rPr>
    </w:pPr>
    <w:r>
      <w:rPr>
        <w:sz w:val="20"/>
        <w:szCs w:val="20"/>
      </w:rPr>
      <w:t>До реєстр. № 4439 від 27.11.2020</w:t>
    </w:r>
  </w:p>
  <w:p w14:paraId="0000002E" w14:textId="77777777" w:rsidR="00F87E30" w:rsidRDefault="00C368DB">
    <w:pPr>
      <w:jc w:val="right"/>
    </w:pPr>
    <w:r>
      <w:rPr>
        <w:sz w:val="20"/>
        <w:szCs w:val="20"/>
      </w:rPr>
      <w:t xml:space="preserve">Президент України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E30"/>
    <w:rsid w:val="00024C1A"/>
    <w:rsid w:val="00045137"/>
    <w:rsid w:val="0009699B"/>
    <w:rsid w:val="000D74AF"/>
    <w:rsid w:val="0018324A"/>
    <w:rsid w:val="002F49A2"/>
    <w:rsid w:val="003E37F8"/>
    <w:rsid w:val="00537DFA"/>
    <w:rsid w:val="0064795F"/>
    <w:rsid w:val="00661FBE"/>
    <w:rsid w:val="00662ADD"/>
    <w:rsid w:val="00684A35"/>
    <w:rsid w:val="00697003"/>
    <w:rsid w:val="006B1325"/>
    <w:rsid w:val="00782A03"/>
    <w:rsid w:val="0083348E"/>
    <w:rsid w:val="00892CEA"/>
    <w:rsid w:val="00A7263E"/>
    <w:rsid w:val="00A87FC4"/>
    <w:rsid w:val="00C368DB"/>
    <w:rsid w:val="00D54E69"/>
    <w:rsid w:val="00E26F01"/>
    <w:rsid w:val="00E8351F"/>
    <w:rsid w:val="00F87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EB3CC"/>
  <w15:docId w15:val="{68FCDD0C-CAFE-3146-936A-494624836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7384</Words>
  <Characters>4210</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Лопотуха Інна Григорівна</dc:creator>
  <cp:lastModifiedBy>Інна Григорівна Лопотуха</cp:lastModifiedBy>
  <cp:revision>2</cp:revision>
  <dcterms:created xsi:type="dcterms:W3CDTF">2020-12-01T11:05:00Z</dcterms:created>
  <dcterms:modified xsi:type="dcterms:W3CDTF">2020-12-01T11:05:00Z</dcterms:modified>
</cp:coreProperties>
</file>