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33F10" w:rsidRPr="00C33F1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збалансування пенсійної системи (реєстр.№4408-1)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410" w:rsidRDefault="00DF3410" w:rsidP="005E306B">
      <w:pPr>
        <w:spacing w:after="0" w:line="240" w:lineRule="auto"/>
      </w:pPr>
      <w:r>
        <w:separator/>
      </w:r>
    </w:p>
  </w:endnote>
  <w:endnote w:type="continuationSeparator" w:id="0">
    <w:p w:rsidR="00DF3410" w:rsidRDefault="00DF341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F341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410" w:rsidRDefault="00DF3410" w:rsidP="005E306B">
      <w:pPr>
        <w:spacing w:after="0" w:line="240" w:lineRule="auto"/>
      </w:pPr>
      <w:r>
        <w:separator/>
      </w:r>
    </w:p>
  </w:footnote>
  <w:footnote w:type="continuationSeparator" w:id="0">
    <w:p w:rsidR="00DF3410" w:rsidRDefault="00DF341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33F10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410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04F54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1EBB0-81D8-42D0-A27C-2E1961844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2021-07-20T08:22:00Z</dcterms:created>
  <dcterms:modified xsi:type="dcterms:W3CDTF">2021-07-20T08:22:00Z</dcterms:modified>
</cp:coreProperties>
</file>