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FD103E" w:rsidRDefault="00FD103E" w:rsidP="00FD103E">
      <w:pPr>
        <w:spacing w:after="0" w:line="240" w:lineRule="auto"/>
        <w:ind w:left="4536" w:hanging="708"/>
        <w:rPr>
          <w:rFonts w:ascii="Times New Roman" w:hAnsi="Times New Roman"/>
          <w:b/>
          <w:bCs/>
          <w:iCs/>
          <w:sz w:val="28"/>
          <w:szCs w:val="28"/>
          <w:lang w:val="uk-UA" w:eastAsia="ru-RU"/>
        </w:rPr>
      </w:pPr>
      <w:r>
        <w:rPr>
          <w:rFonts w:ascii="Times New Roman" w:hAnsi="Times New Roman"/>
          <w:b/>
          <w:bCs/>
          <w:iCs/>
          <w:sz w:val="28"/>
          <w:szCs w:val="28"/>
          <w:lang w:val="uk-UA" w:eastAsia="ru-RU"/>
        </w:rPr>
        <w:t xml:space="preserve"> </w:t>
      </w:r>
      <w:r w:rsidR="006077A2" w:rsidRPr="00FD103E">
        <w:rPr>
          <w:rFonts w:ascii="Times New Roman" w:hAnsi="Times New Roman"/>
          <w:b/>
          <w:bCs/>
          <w:iCs/>
          <w:sz w:val="28"/>
          <w:szCs w:val="28"/>
          <w:lang w:val="uk-UA" w:eastAsia="ru-RU"/>
        </w:rPr>
        <w:t>Комітет Верховної Ради України</w:t>
      </w:r>
      <w:r w:rsidRPr="00FD103E">
        <w:rPr>
          <w:rFonts w:ascii="Times New Roman" w:hAnsi="Times New Roman"/>
          <w:b/>
          <w:bCs/>
          <w:iCs/>
          <w:sz w:val="28"/>
          <w:szCs w:val="28"/>
          <w:lang w:val="uk-UA" w:eastAsia="ru-RU"/>
        </w:rPr>
        <w:t xml:space="preserve"> з питань</w:t>
      </w:r>
    </w:p>
    <w:p w:rsidR="00010951" w:rsidRPr="00FD103E" w:rsidRDefault="00FD103E" w:rsidP="00FD103E">
      <w:pPr>
        <w:spacing w:after="0" w:line="240" w:lineRule="auto"/>
        <w:ind w:left="4536" w:hanging="708"/>
        <w:rPr>
          <w:rFonts w:ascii="Times New Roman" w:hAnsi="Times New Roman"/>
          <w:b/>
          <w:bCs/>
          <w:iCs/>
          <w:sz w:val="28"/>
          <w:szCs w:val="28"/>
          <w:lang w:val="uk-UA" w:eastAsia="ru-RU"/>
        </w:rPr>
      </w:pPr>
      <w:r w:rsidRPr="00FD103E">
        <w:rPr>
          <w:rFonts w:ascii="Times New Roman" w:hAnsi="Times New Roman"/>
          <w:b/>
          <w:bCs/>
          <w:iCs/>
          <w:sz w:val="28"/>
          <w:szCs w:val="28"/>
          <w:lang w:val="uk-UA" w:eastAsia="ru-RU"/>
        </w:rPr>
        <w:t>національної безпеки, оборони та розвідки</w:t>
      </w:r>
    </w:p>
    <w:p w:rsidR="006077A2" w:rsidRPr="00FD103E" w:rsidRDefault="006077A2" w:rsidP="00FD103E">
      <w:pPr>
        <w:spacing w:after="0" w:line="240" w:lineRule="auto"/>
        <w:ind w:left="4678" w:hanging="3969"/>
        <w:jc w:val="center"/>
        <w:rPr>
          <w:rFonts w:ascii="Times New Roman" w:hAnsi="Times New Roman"/>
          <w:b/>
          <w:bCs/>
          <w:iCs/>
          <w:sz w:val="28"/>
          <w:szCs w:val="28"/>
          <w:lang w:val="uk-UA" w:eastAsia="ru-RU"/>
        </w:rPr>
      </w:pPr>
    </w:p>
    <w:p w:rsidR="006077A2" w:rsidRPr="00507067" w:rsidRDefault="006077A2" w:rsidP="0080132C">
      <w:pPr>
        <w:spacing w:after="0" w:line="240" w:lineRule="auto"/>
        <w:jc w:val="both"/>
        <w:rPr>
          <w:rFonts w:ascii="Times New Roman" w:hAnsi="Times New Roman"/>
          <w:bCs/>
          <w:i/>
          <w:iCs/>
          <w:sz w:val="28"/>
          <w:szCs w:val="28"/>
          <w:lang w:val="uk-UA" w:eastAsia="ru-RU"/>
        </w:rPr>
      </w:pPr>
      <w:r w:rsidRPr="00507067">
        <w:rPr>
          <w:rFonts w:ascii="Times New Roman" w:hAnsi="Times New Roman"/>
          <w:bCs/>
          <w:i/>
          <w:iCs/>
          <w:sz w:val="28"/>
          <w:szCs w:val="28"/>
          <w:lang w:val="uk-UA" w:eastAsia="ru-RU"/>
        </w:rPr>
        <w:t>Про розгляд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507067" w:rsidRDefault="001144FF" w:rsidP="0080132C">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FD103E">
        <w:rPr>
          <w:rFonts w:ascii="Times New Roman" w:hAnsi="Times New Roman"/>
          <w:i/>
          <w:sz w:val="28"/>
          <w:szCs w:val="28"/>
          <w:lang w:val="uk-UA" w:eastAsia="ru-RU"/>
        </w:rPr>
        <w:t>4504</w:t>
      </w:r>
    </w:p>
    <w:p w:rsidR="00B05D0C" w:rsidRPr="00507067" w:rsidRDefault="00B05D0C" w:rsidP="0080132C">
      <w:pPr>
        <w:spacing w:after="0" w:line="240" w:lineRule="auto"/>
        <w:ind w:right="5245"/>
        <w:jc w:val="both"/>
        <w:rPr>
          <w:rFonts w:ascii="Times New Roman" w:hAnsi="Times New Roman"/>
          <w:sz w:val="28"/>
          <w:szCs w:val="28"/>
          <w:shd w:val="clear" w:color="auto" w:fill="FFFFFF"/>
          <w:lang w:val="uk-UA" w:eastAsia="ru-RU"/>
        </w:rPr>
      </w:pPr>
    </w:p>
    <w:p w:rsidR="006077A2" w:rsidRPr="00E421F1" w:rsidRDefault="006077A2" w:rsidP="009D3520">
      <w:pPr>
        <w:pStyle w:val="StyleZakonu"/>
        <w:spacing w:after="0" w:line="240" w:lineRule="auto"/>
        <w:ind w:firstLine="567"/>
        <w:rPr>
          <w:rFonts w:eastAsia="Calibri"/>
          <w:sz w:val="28"/>
          <w:szCs w:val="28"/>
          <w:lang w:eastAsia="en-US"/>
        </w:rPr>
      </w:pPr>
      <w:r w:rsidRPr="00805CFC">
        <w:rPr>
          <w:sz w:val="28"/>
          <w:szCs w:val="28"/>
        </w:rPr>
        <w:t xml:space="preserve">Комітет Верховної Ради України з </w:t>
      </w:r>
      <w:r w:rsidR="00421369" w:rsidRPr="00805CFC">
        <w:rPr>
          <w:sz w:val="28"/>
          <w:szCs w:val="28"/>
        </w:rPr>
        <w:t xml:space="preserve">питань бюджету на засіданні </w:t>
      </w:r>
      <w:r w:rsidR="00B120B7">
        <w:rPr>
          <w:sz w:val="28"/>
          <w:szCs w:val="28"/>
        </w:rPr>
        <w:t>14</w:t>
      </w:r>
      <w:r w:rsidR="00F2619A" w:rsidRPr="00805CFC">
        <w:rPr>
          <w:sz w:val="28"/>
          <w:szCs w:val="28"/>
        </w:rPr>
        <w:t> </w:t>
      </w:r>
      <w:r w:rsidR="00B120B7">
        <w:rPr>
          <w:sz w:val="28"/>
          <w:szCs w:val="28"/>
        </w:rPr>
        <w:t>квітня</w:t>
      </w:r>
      <w:r w:rsidR="00590B1D">
        <w:rPr>
          <w:sz w:val="28"/>
          <w:szCs w:val="28"/>
        </w:rPr>
        <w:t xml:space="preserve"> </w:t>
      </w:r>
      <w:r w:rsidR="00383287" w:rsidRPr="00805CFC">
        <w:rPr>
          <w:sz w:val="28"/>
          <w:szCs w:val="28"/>
        </w:rPr>
        <w:t>202</w:t>
      </w:r>
      <w:r w:rsidR="006D2BF7">
        <w:rPr>
          <w:sz w:val="28"/>
          <w:szCs w:val="28"/>
        </w:rPr>
        <w:t>1</w:t>
      </w:r>
      <w:r w:rsidR="00383287" w:rsidRPr="00805CFC">
        <w:rPr>
          <w:sz w:val="28"/>
          <w:szCs w:val="28"/>
        </w:rPr>
        <w:t> року (протокол № </w:t>
      </w:r>
      <w:r w:rsidR="00B120B7">
        <w:rPr>
          <w:sz w:val="28"/>
          <w:szCs w:val="28"/>
        </w:rPr>
        <w:t>85</w:t>
      </w:r>
      <w:r w:rsidRPr="00805CFC">
        <w:rPr>
          <w:sz w:val="28"/>
          <w:szCs w:val="28"/>
        </w:rPr>
        <w:t xml:space="preserve">) відповідно до статей 27 і 109 Бюджетного кодексу України та статті 93 Регламенту Верховної Ради України розглянув </w:t>
      </w:r>
      <w:r w:rsidR="009D3520" w:rsidRPr="00CC4615">
        <w:rPr>
          <w:rFonts w:eastAsia="Calibri"/>
          <w:sz w:val="28"/>
          <w:szCs w:val="28"/>
          <w:lang w:eastAsia="en-US"/>
        </w:rPr>
        <w:t xml:space="preserve">проект Закону </w:t>
      </w:r>
      <w:r w:rsidR="009D3520">
        <w:rPr>
          <w:rFonts w:eastAsia="Calibri"/>
          <w:sz w:val="28"/>
          <w:szCs w:val="28"/>
          <w:lang w:eastAsia="en-US"/>
        </w:rPr>
        <w:t xml:space="preserve">про територіальну оборону України </w:t>
      </w:r>
      <w:r w:rsidR="009D3520" w:rsidRPr="00CC4615">
        <w:rPr>
          <w:rFonts w:eastAsia="Calibri"/>
          <w:sz w:val="28"/>
          <w:szCs w:val="28"/>
          <w:lang w:eastAsia="en-US"/>
        </w:rPr>
        <w:t>(реєстр. № </w:t>
      </w:r>
      <w:r w:rsidR="009D3520">
        <w:rPr>
          <w:rFonts w:eastAsia="Calibri"/>
          <w:sz w:val="28"/>
          <w:szCs w:val="28"/>
          <w:lang w:eastAsia="en-US"/>
        </w:rPr>
        <w:t>4504</w:t>
      </w:r>
      <w:r w:rsidR="009D3520" w:rsidRPr="00CC4615">
        <w:rPr>
          <w:rFonts w:eastAsia="Calibri"/>
          <w:sz w:val="28"/>
          <w:szCs w:val="28"/>
          <w:lang w:eastAsia="en-US"/>
        </w:rPr>
        <w:t xml:space="preserve"> від </w:t>
      </w:r>
      <w:r w:rsidR="009D3520">
        <w:rPr>
          <w:rFonts w:eastAsia="Calibri"/>
          <w:sz w:val="28"/>
          <w:szCs w:val="28"/>
          <w:lang w:eastAsia="en-US"/>
        </w:rPr>
        <w:t>16.12.2020</w:t>
      </w:r>
      <w:r w:rsidR="009D3520" w:rsidRPr="00CC4615">
        <w:rPr>
          <w:rFonts w:eastAsia="Calibri"/>
          <w:sz w:val="28"/>
          <w:szCs w:val="28"/>
          <w:lang w:eastAsia="en-US"/>
        </w:rPr>
        <w:t xml:space="preserve">), поданий </w:t>
      </w:r>
      <w:r w:rsidR="009D3520">
        <w:rPr>
          <w:rFonts w:eastAsia="Calibri"/>
          <w:sz w:val="28"/>
          <w:szCs w:val="28"/>
          <w:lang w:eastAsia="en-US"/>
        </w:rPr>
        <w:t xml:space="preserve">народним депутатом України </w:t>
      </w:r>
      <w:proofErr w:type="spellStart"/>
      <w:r w:rsidR="009D3520">
        <w:rPr>
          <w:rFonts w:eastAsia="Calibri"/>
          <w:sz w:val="28"/>
          <w:szCs w:val="28"/>
          <w:lang w:eastAsia="en-US"/>
        </w:rPr>
        <w:t>Шараськіним</w:t>
      </w:r>
      <w:proofErr w:type="spellEnd"/>
      <w:r w:rsidR="009D3520">
        <w:rPr>
          <w:rFonts w:eastAsia="Calibri"/>
          <w:sz w:val="28"/>
          <w:szCs w:val="28"/>
          <w:lang w:eastAsia="en-US"/>
        </w:rPr>
        <w:t xml:space="preserve"> А.А.</w:t>
      </w:r>
      <w:r w:rsidR="001D589E" w:rsidRPr="00805CFC">
        <w:rPr>
          <w:sz w:val="28"/>
          <w:szCs w:val="28"/>
        </w:rPr>
        <w:t xml:space="preserve">, </w:t>
      </w:r>
      <w:r w:rsidRPr="00805CFC">
        <w:rPr>
          <w:sz w:val="28"/>
          <w:szCs w:val="28"/>
        </w:rPr>
        <w:t>і повідомляє наступне.</w:t>
      </w:r>
    </w:p>
    <w:p w:rsidR="00FC1725" w:rsidRPr="00FC1725" w:rsidRDefault="00FC1725" w:rsidP="00FC1725">
      <w:pPr>
        <w:shd w:val="clear" w:color="auto" w:fill="FFFFFF"/>
        <w:tabs>
          <w:tab w:val="left" w:pos="1003"/>
          <w:tab w:val="left" w:pos="1080"/>
        </w:tabs>
        <w:spacing w:after="0" w:line="240" w:lineRule="auto"/>
        <w:ind w:right="-81" w:firstLine="567"/>
        <w:jc w:val="both"/>
        <w:rPr>
          <w:rFonts w:ascii="Times New Roman" w:hAnsi="Times New Roman"/>
          <w:sz w:val="28"/>
          <w:szCs w:val="28"/>
          <w:lang w:val="uk-UA"/>
        </w:rPr>
      </w:pPr>
      <w:r w:rsidRPr="00FC1725">
        <w:rPr>
          <w:rFonts w:ascii="Times New Roman" w:hAnsi="Times New Roman"/>
          <w:sz w:val="28"/>
          <w:szCs w:val="28"/>
          <w:lang w:val="uk-UA"/>
        </w:rPr>
        <w:t>Законопроект з огляду на преамбулу визначає мету, завдання, засади побудови та організації підготовки та ведення територіальної оборони України, повноваження суб’єктів територіальної оборони України, інших складових сил безпеки і оборони держави у сфері територіально</w:t>
      </w:r>
      <w:bookmarkStart w:id="0" w:name="_GoBack"/>
      <w:bookmarkEnd w:id="0"/>
      <w:r w:rsidRPr="00FC1725">
        <w:rPr>
          <w:rFonts w:ascii="Times New Roman" w:hAnsi="Times New Roman"/>
          <w:sz w:val="28"/>
          <w:szCs w:val="28"/>
          <w:lang w:val="uk-UA"/>
        </w:rPr>
        <w:t xml:space="preserve">ї оборони України, а також участь у територіальній обороні України громадян та Акредитованих громадських об’єднань. При цьому територіальна оборона України визначається як невід’ємна складова оборони держави і полягає у сукупності загальнодержавних, воєнних та спеціальних заходів в мирний час та в особливий період, спрямованої на забезпечення захисту її суверенітету, територіальної цілісності і недоторканності, поза зонами/районами ведення бойових дій. Для унормування правовідносин у зв’язку із запровадженням територіальної оборони0, України пропонується також </w:t>
      </w:r>
      <w:proofErr w:type="spellStart"/>
      <w:r w:rsidRPr="00FC1725">
        <w:rPr>
          <w:rFonts w:ascii="Times New Roman" w:hAnsi="Times New Roman"/>
          <w:sz w:val="28"/>
          <w:szCs w:val="28"/>
          <w:lang w:val="uk-UA"/>
        </w:rPr>
        <w:t>внести</w:t>
      </w:r>
      <w:proofErr w:type="spellEnd"/>
      <w:r w:rsidRPr="00FC1725">
        <w:rPr>
          <w:rFonts w:ascii="Times New Roman" w:hAnsi="Times New Roman"/>
          <w:sz w:val="28"/>
          <w:szCs w:val="28"/>
          <w:lang w:val="uk-UA"/>
        </w:rPr>
        <w:t xml:space="preserve"> зміни до законів України «Про оборону України», «Про національну безпеку України», «Про національну поліцію», «Про місцеве самоврядування України», «Про правовий режим воєнного стану», «Про збройні сили України», «Про військовий обов’язок і військову службу» та «Про громадські об’єднання». </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Згідно із законопроектом серед іншого вводиться новий вид служби – територіальна військова служба, передбачається створення Військ територіальної оборони та їх виведення зі складу Збройних Сил України в окреме військове формування (чисельність якого затверджуватиметься Верховною Радою України), а також створення Головного цивільно-військового органу територіальної оборони України, який входитиме у структуру Міністерства оборони України, штабів у складі місцевих державних адміністрацій, загонів територіальної оброни та безпеки територіальних громад. </w:t>
      </w:r>
    </w:p>
    <w:p w:rsidR="00FC1725" w:rsidRPr="00FC1725" w:rsidRDefault="00FC1725" w:rsidP="00FC1725">
      <w:pPr>
        <w:shd w:val="clear" w:color="auto" w:fill="FFFFFF"/>
        <w:tabs>
          <w:tab w:val="left" w:pos="1003"/>
          <w:tab w:val="left" w:pos="1080"/>
        </w:tabs>
        <w:spacing w:after="0" w:line="240" w:lineRule="auto"/>
        <w:ind w:right="-81" w:firstLine="567"/>
        <w:jc w:val="both"/>
        <w:rPr>
          <w:rFonts w:ascii="Times New Roman" w:hAnsi="Times New Roman"/>
          <w:sz w:val="28"/>
          <w:szCs w:val="28"/>
          <w:lang w:val="uk-UA"/>
        </w:rPr>
      </w:pPr>
      <w:r w:rsidRPr="00FC1725">
        <w:rPr>
          <w:rFonts w:ascii="Times New Roman" w:hAnsi="Times New Roman"/>
          <w:sz w:val="28"/>
          <w:szCs w:val="28"/>
          <w:lang w:val="uk-UA"/>
        </w:rPr>
        <w:lastRenderedPageBreak/>
        <w:t>Прогнозуючи у пояснювальній записці до законопроекту наслідки його прийняття, суб’єкт права законодавчої ініціативи, зокрема, визначив, що Закон забезпечить створення чіткого механізму комплексного забезпечення потреб територіальної оборони за рахунок державного та місцевого бюджетів, однак замість належного фінансово-економічного обґрунтування вказав «на момент внесення закон не потребує виділення коштів з Державного бюджету України».</w:t>
      </w:r>
    </w:p>
    <w:p w:rsidR="00FC1725" w:rsidRPr="00FC1725" w:rsidRDefault="00FC1725" w:rsidP="00FC1725">
      <w:pPr>
        <w:shd w:val="clear" w:color="auto" w:fill="FFFFFF"/>
        <w:tabs>
          <w:tab w:val="left" w:pos="1003"/>
          <w:tab w:val="left" w:pos="1080"/>
        </w:tabs>
        <w:spacing w:after="0" w:line="240" w:lineRule="auto"/>
        <w:ind w:right="-81" w:firstLine="567"/>
        <w:jc w:val="both"/>
        <w:rPr>
          <w:rFonts w:ascii="Times New Roman" w:hAnsi="Times New Roman"/>
          <w:sz w:val="28"/>
          <w:szCs w:val="28"/>
          <w:lang w:val="uk-UA"/>
        </w:rPr>
      </w:pPr>
      <w:r w:rsidRPr="00FC1725">
        <w:rPr>
          <w:rFonts w:ascii="Times New Roman" w:hAnsi="Times New Roman"/>
          <w:sz w:val="28"/>
          <w:szCs w:val="28"/>
          <w:lang w:val="uk-UA"/>
        </w:rPr>
        <w:t>Тому, Головне науково-експертне управління Апарату Верховної Ради України у висновку на законопроект висловило суттєві застереження щодо фінансового забезпечення впровадження законопроекту, звертаючи увагу на ряд його положень, що вимагатимуть значних фінансових витрат з державного та місцевих бюджетів на 2021 рік та наступні роки.</w:t>
      </w:r>
    </w:p>
    <w:p w:rsidR="00FC1725" w:rsidRPr="00FC1725" w:rsidRDefault="00FC1725" w:rsidP="00FC1725">
      <w:pPr>
        <w:shd w:val="clear" w:color="auto" w:fill="FFFFFF"/>
        <w:tabs>
          <w:tab w:val="left" w:pos="1003"/>
          <w:tab w:val="left" w:pos="1080"/>
        </w:tabs>
        <w:spacing w:after="0" w:line="240" w:lineRule="auto"/>
        <w:ind w:right="-81" w:firstLine="567"/>
        <w:jc w:val="both"/>
        <w:rPr>
          <w:rFonts w:ascii="Times New Roman" w:hAnsi="Times New Roman"/>
          <w:sz w:val="28"/>
          <w:szCs w:val="28"/>
          <w:lang w:val="uk-UA"/>
        </w:rPr>
      </w:pPr>
      <w:r w:rsidRPr="00FC1725">
        <w:rPr>
          <w:rFonts w:ascii="Times New Roman" w:hAnsi="Times New Roman"/>
          <w:sz w:val="28"/>
          <w:szCs w:val="28"/>
          <w:lang w:val="uk-UA"/>
        </w:rPr>
        <w:t>Згідно з експертним висновком Міністерства фінансів України до законопроекту реалізація його положень потребуватиме додаткових видатків з державного та місцевих бюджетів на створення та забезпечення функціонування органів управління територіальною обороною, військ територіальної оборони України і загонів територіальної оборони та безпеки територіальної громади, а також може призвести до зменшення надходжень місцевих бюджетів внаслідок надання податкових пільг відповідно до рішень Кабінету Міністрів України та/або місцевих органів виконавчої влади.</w:t>
      </w:r>
    </w:p>
    <w:p w:rsidR="00FC1725" w:rsidRPr="00FC1725" w:rsidRDefault="00FC1725" w:rsidP="00FC1725">
      <w:pPr>
        <w:shd w:val="clear" w:color="auto" w:fill="FFFFFF"/>
        <w:tabs>
          <w:tab w:val="left" w:pos="1003"/>
          <w:tab w:val="left" w:pos="1080"/>
        </w:tabs>
        <w:spacing w:after="0" w:line="240" w:lineRule="auto"/>
        <w:ind w:right="-81" w:firstLine="567"/>
        <w:jc w:val="both"/>
        <w:rPr>
          <w:rFonts w:ascii="Times New Roman" w:hAnsi="Times New Roman"/>
          <w:sz w:val="28"/>
          <w:szCs w:val="28"/>
          <w:lang w:val="uk-UA"/>
        </w:rPr>
      </w:pPr>
      <w:r w:rsidRPr="00FC1725">
        <w:rPr>
          <w:rFonts w:ascii="Times New Roman" w:hAnsi="Times New Roman"/>
          <w:sz w:val="28"/>
          <w:szCs w:val="28"/>
          <w:lang w:val="uk-UA"/>
        </w:rPr>
        <w:t xml:space="preserve">Зважаючи на висновки Міністерства фінансів та Головного науково-експертного управління Апарату Верховної Ради, з приводу положень законопроекту слід зазначити про таке: </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1) реалізація законопроекту зумовить значне збільшення видатків державного та місцевих бюджетів, зокрема на:</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створення та забезпечення функціонування головного цивільно-військового органу територіальної оброни, військ територіальної оборони (органів військового управління, військових частин та підрозділів військ територіальної оборони) граничною чисельністю до 10 000 осіб; штабів зон та штабів районів територіальної оборони у складі місцевих державних адміністрацій на правах департаменту (відділу); загонів територіальної оборони та безпеки територіальної громади;</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соціальний і правовий захист військовослужбовців, резервістів територіального резерву, які проходять військову службу у Військах територіальної оборони України та членів їх сімей, працівників Військ територіальної оборони України, а також членів сімей військовослужбовців, резервістів та військовозобов’язаних, які загинули (померли), зникли безвісти, стали особами з інвалідністю під час виконання службових обов’язків або постраждали у полоні в ході бойових дій (війни), в умовах надзвичайного стану чи під час виконання службових обов’язків за межами України;</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фінансове забезпечення заходів територіальної оборони України з місцевого бюджету, які є обов’язковими;</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надання військовослужбовцям військ територіальної оборони знижки на комунальні послуги та житлово-побутові пільги;</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забезпечення військ територіальної оборони, інших органів спеціального призначення, які залучаються до виконання завдань територіальної оборони, зброєю та боєприпасами, матеріально-технічними засобами, спеціальною технікою, іншим майном, а також </w:t>
      </w:r>
      <w:proofErr w:type="spellStart"/>
      <w:r w:rsidRPr="00FC1725">
        <w:rPr>
          <w:rFonts w:ascii="Times New Roman" w:hAnsi="Times New Roman"/>
          <w:sz w:val="28"/>
          <w:szCs w:val="28"/>
          <w:lang w:val="uk-UA"/>
        </w:rPr>
        <w:t>квартирно</w:t>
      </w:r>
      <w:proofErr w:type="spellEnd"/>
      <w:r w:rsidRPr="00FC1725">
        <w:rPr>
          <w:rFonts w:ascii="Times New Roman" w:hAnsi="Times New Roman"/>
          <w:sz w:val="28"/>
          <w:szCs w:val="28"/>
          <w:lang w:val="uk-UA"/>
        </w:rPr>
        <w:t xml:space="preserve">-експлуатаційним, медичним, </w:t>
      </w:r>
      <w:r w:rsidRPr="00FC1725">
        <w:rPr>
          <w:rFonts w:ascii="Times New Roman" w:hAnsi="Times New Roman"/>
          <w:sz w:val="28"/>
          <w:szCs w:val="28"/>
          <w:lang w:val="uk-UA"/>
        </w:rPr>
        <w:lastRenderedPageBreak/>
        <w:t xml:space="preserve">іншим забезпеченням; </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забезпечення місцевих підрозділів військ територіальної оборони територією, приміщеннями, об’єктами навчально-матеріальної бази, транспортними засобами, засобами зв’язку, продовольством, паливо-мастильними матеріалами, комунальними послугами, пов’язаними з організацією життєдіяльності військових частин, підрозділів та їх бойовою підготовкою відповідно до встановлених норм;</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забезпечення загонів територіальної оборони та безпеки територіальної громади матеріально-технічними засобами, засобами зв’язку, медичними, житловими, навчальними і складськими приміщеннями, технікою тощо;</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залучення сил територіальної оборони, сил та засобів органів місцевого самоврядування, підрозділів об’єднаних територіальних громад для проведення підготовки, яка передбачає в тому числі практичне виконання в зонах (районах) (місцях, реальних об’єктах) відповідальності навчальних завдань.</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Крім того, за рядом положень законопроекту не визначені джерела фінансового забезпечення окремих заходів в частині мотиваційних чинників проходження військової служби, зокрема, що пов’язані з </w:t>
      </w:r>
      <w:proofErr w:type="spellStart"/>
      <w:r w:rsidRPr="00FC1725">
        <w:rPr>
          <w:rFonts w:ascii="Times New Roman" w:hAnsi="Times New Roman"/>
          <w:sz w:val="28"/>
          <w:szCs w:val="28"/>
          <w:lang w:val="uk-UA"/>
        </w:rPr>
        <w:t>наймом</w:t>
      </w:r>
      <w:proofErr w:type="spellEnd"/>
      <w:r w:rsidRPr="00FC1725">
        <w:rPr>
          <w:rFonts w:ascii="Times New Roman" w:hAnsi="Times New Roman"/>
          <w:sz w:val="28"/>
          <w:szCs w:val="28"/>
          <w:lang w:val="uk-UA"/>
        </w:rPr>
        <w:t xml:space="preserve"> житла на період підготовки резервістів територіального резерву, які проходять військову службу у військах територіальної оборони (членів загону територіальної оборони та безпеки територіальної громади), оплатою вартості проїзду до місця навчання (зборів, стажування, ігор), і назад, а також виплатою середнього заробітку за основним місцем роботи. </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У висновку Міністерства фінансів зазначається, що визначення загального обсягу видатків на реалізацію законопроекту унеможливлене відсутністю вихідних даних (насамперед щодо штатної структури, чисельності, порядків, умов і розмірів забезпечення органів управління територіальною обороною, військ територіальної оборони і загонів територіальної оборони та безпеки територіальної громади), і наведено інформацію Міністерства оборони, згідно з якою лише на утримання військ територіальної оборони (оплати праці, речове та медичне забезпечення, оплату комунальних послуг) додатково необхідно 2.862,8 млн грн, а річні витрати на утримання граничної чисельності резервістів, які перебуватимуть у територіальному резерві, орієнтовно становитимуть 11.185,2 млн грн. </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Відтак, всупереч вимогам частини третьої статті 91 Регламенту Верховної Ради України та частини першої статті 27 Бюджетного кодексу України суб’єктом права законодавчої ініціативи до законопроекту не надано належного фінансово-економічного обґрунтування (включаючи відповідні розрахунки) та 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 про що також зауважується Головним науково-експертним управлінням Верховної Ради;</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2) окремі положення законопроекту не узгоджуються з вимогами Бюджетного кодексу України (далі – Кодекс).</w:t>
      </w:r>
    </w:p>
    <w:p w:rsidR="00FC1725" w:rsidRPr="00FC1725" w:rsidRDefault="00FC1725" w:rsidP="00FC1725">
      <w:pPr>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Насамперед, </w:t>
      </w:r>
      <w:r w:rsidRPr="00FC1725">
        <w:rPr>
          <w:rFonts w:ascii="Times New Roman" w:hAnsi="Times New Roman"/>
          <w:sz w:val="28"/>
          <w:lang w:val="uk-UA"/>
        </w:rPr>
        <w:t xml:space="preserve">при визначенні повноважень місцевих органів виконавчої влади та органів місцевого самоврядування в частині фінансового забезпечення з місцевих бюджетів численних заходів з реалізації </w:t>
      </w:r>
      <w:r w:rsidRPr="00FC1725">
        <w:rPr>
          <w:rFonts w:ascii="Times New Roman" w:hAnsi="Times New Roman"/>
          <w:sz w:val="28"/>
          <w:lang w:val="uk-UA"/>
        </w:rPr>
        <w:lastRenderedPageBreak/>
        <w:t xml:space="preserve">законопроекту, </w:t>
      </w:r>
      <w:r w:rsidRPr="00FC1725">
        <w:rPr>
          <w:rFonts w:ascii="Times New Roman" w:hAnsi="Times New Roman"/>
          <w:sz w:val="28"/>
          <w:szCs w:val="28"/>
          <w:lang w:val="uk-UA"/>
        </w:rPr>
        <w:t>слід взяти до уваги, що відповідно до вимог пункту 1 частини першої статті 82, частини першої статті 83 та пунктів 5 – 6-1 частини першої статті 87 Кодексу до видатків, які не можуть бути передані на виконання місцевому самоврядуванню, та здійснюються за рахунок коштів державного бюджету належать видатки на національну оборону, правоохоронну діяльність, забезпечення безпеки держави та цивільний захист населення, забезпечення функціонування установ та закладів Збройних сил України, інших утворених відповідно до законів України військових формувань, правоохоронних органів, органів цивільного захисту, які перебувають у державній власності.</w:t>
      </w:r>
    </w:p>
    <w:p w:rsidR="00FC1725" w:rsidRPr="00FC1725" w:rsidRDefault="00FC1725" w:rsidP="00FC1725">
      <w:pPr>
        <w:widowControl w:val="0"/>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При цьому, згідно із пунктом 17 частини першої статті 91 Бюджетного кодексу з місцевих бюджетів можуть здійснюватися видатки на заходи та роботи, пов’язані з територіальною обороною та мобілізаційною підготовкою місцевого значення. </w:t>
      </w:r>
    </w:p>
    <w:p w:rsidR="00FC1725" w:rsidRPr="00FC1725" w:rsidRDefault="00FC1725" w:rsidP="00FC1725">
      <w:pPr>
        <w:spacing w:after="0" w:line="240" w:lineRule="auto"/>
        <w:ind w:firstLine="567"/>
        <w:jc w:val="both"/>
        <w:rPr>
          <w:rFonts w:ascii="Times New Roman" w:hAnsi="Times New Roman"/>
          <w:sz w:val="28"/>
          <w:shd w:val="clear" w:color="auto" w:fill="FFFFFF"/>
          <w:lang w:val="uk-UA"/>
        </w:rPr>
      </w:pPr>
      <w:r w:rsidRPr="00FC1725">
        <w:rPr>
          <w:rFonts w:ascii="Times New Roman" w:hAnsi="Times New Roman"/>
          <w:sz w:val="28"/>
          <w:lang w:val="uk-UA"/>
        </w:rPr>
        <w:t xml:space="preserve">Тому, керуючись вимогами частини першої статті 85 Кодексу, згідно з якою держава передає </w:t>
      </w:r>
      <w:r w:rsidRPr="00FC1725">
        <w:rPr>
          <w:rFonts w:ascii="Times New Roman" w:hAnsi="Times New Roman"/>
          <w:sz w:val="28"/>
          <w:shd w:val="clear" w:color="auto" w:fill="FFFFFF"/>
          <w:lang w:val="uk-UA"/>
        </w:rPr>
        <w:t xml:space="preserve">органам місцевого самоврядування право на здійснення видатків лише за умови передачі фінансових ресурсів у вигляді закріплених за відповідними бюджетами загальнодержавних податків і зборів або їх частки, а також трансфертів з Державного бюджету України, належить узгодити положення законопроекту та Кодексу в частині надходжень та витрат місцевих бюджетів, передбачивши забезпечення переданих (делегованих) місцевому самоврядуванню повноважень фінансовими ресурсами. </w:t>
      </w:r>
    </w:p>
    <w:p w:rsidR="00FC1725" w:rsidRPr="00FC1725" w:rsidRDefault="00FC1725" w:rsidP="00FC1725">
      <w:pPr>
        <w:tabs>
          <w:tab w:val="left" w:pos="-2537"/>
        </w:tabs>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Поряд з тим, змінами до статей 36 та 43 Закону України «Про місцеве самоврядування в Україні» до відання виконавчих органів сільських, селищних, міських рад та до виключної компетенції районної, обласної ради пропонується віднести “вирішення відповідно до законодавства питань щодо надання соціального захисту, пільг і допомоги, пов’язаних з проходженням громадянами України служби у Військах територіальної оборони України”. Таке положення не враховує вимог статті 87 Кодексу, згідно з якими забезпечення відповідних заходів здійснюється з державного бюджету. </w:t>
      </w:r>
    </w:p>
    <w:p w:rsidR="00FC1725" w:rsidRPr="00FC1725" w:rsidRDefault="00FC1725" w:rsidP="00FC1725">
      <w:pPr>
        <w:tabs>
          <w:tab w:val="left" w:pos="-2537"/>
        </w:tabs>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Положення статті 13 законопроекту, згідно з яким Міністерство оборони «формує пропозиції щодо обсягів фінансового забезпечення територіальної оборони України для врахування таких видатків у Державному бюджеті України та подає їх на розгляд Кабінету Міністрів України», не відповідає вимогам статті 22 та глави  6 Кодексу в частині повноважень головного розпорядники коштів у процесі формування проекту державного бюджету.</w:t>
      </w:r>
    </w:p>
    <w:p w:rsidR="00FC1725" w:rsidRPr="00FC1725" w:rsidRDefault="00FC1725" w:rsidP="00FC1725">
      <w:pPr>
        <w:tabs>
          <w:tab w:val="left" w:pos="-2537"/>
        </w:tabs>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Запропоноване у статті 14 повноваження Головного цивільно-військового органу територіальної оборони України, який «здійснює контроль за порядком використання коштів з бюджетів органів місцевого самоврядування, виділених для підготовки та ведення територіальної оборони України»</w:t>
      </w:r>
      <w:r w:rsidR="00CE7EC2">
        <w:rPr>
          <w:rFonts w:ascii="Times New Roman" w:hAnsi="Times New Roman"/>
          <w:sz w:val="28"/>
          <w:szCs w:val="28"/>
          <w:lang w:val="uk-UA"/>
        </w:rPr>
        <w:t>,</w:t>
      </w:r>
      <w:r w:rsidRPr="00FC1725">
        <w:rPr>
          <w:rFonts w:ascii="Times New Roman" w:hAnsi="Times New Roman"/>
          <w:sz w:val="28"/>
          <w:szCs w:val="28"/>
          <w:lang w:val="uk-UA"/>
        </w:rPr>
        <w:t xml:space="preserve"> не узгоджуються з встановленим у статті 7 Кодексу принципом самостійності бюджетної системи та вимогами глави  17 Кодексу в частині повноважень щодо здійснення контролю за дотриманням бюджетного законодавства.</w:t>
      </w:r>
    </w:p>
    <w:p w:rsidR="00FC1725" w:rsidRPr="00FC1725" w:rsidRDefault="00FC1725" w:rsidP="00FC1725">
      <w:pPr>
        <w:tabs>
          <w:tab w:val="left" w:pos="-2537"/>
        </w:tabs>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Крім того, варто звернути увагу, що згідно з термінологією Кодексу «фінансування бюджету – це надходження та витрати бюджету, пов'язані із зміною обсягу боргу, обсягів депозитів і цінних паперів, кошти від </w:t>
      </w:r>
      <w:r w:rsidRPr="00FC1725">
        <w:rPr>
          <w:rFonts w:ascii="Times New Roman" w:hAnsi="Times New Roman"/>
          <w:sz w:val="28"/>
          <w:szCs w:val="28"/>
          <w:lang w:val="uk-UA"/>
        </w:rPr>
        <w:lastRenderedPageBreak/>
        <w:t>приватизації державного майна (щодо державного бюджету), зміна залишків бюджетних коштів, які використовуються для покриття дефіциту бюджету або визначення профіциту бюджету». Тому у законопроекті слово «фінансування» доцільно замінити словом «фінансове забезпечення».</w:t>
      </w:r>
    </w:p>
    <w:p w:rsidR="00FC1725" w:rsidRPr="00FC1725" w:rsidRDefault="00FC1725" w:rsidP="00FC1725">
      <w:pPr>
        <w:tabs>
          <w:tab w:val="left" w:pos="-2537"/>
        </w:tabs>
        <w:suppressAutoHyphens/>
        <w:spacing w:after="0" w:line="240" w:lineRule="auto"/>
        <w:ind w:firstLine="567"/>
        <w:jc w:val="both"/>
        <w:rPr>
          <w:rFonts w:ascii="Times New Roman" w:hAnsi="Times New Roman"/>
          <w:sz w:val="28"/>
          <w:szCs w:val="28"/>
          <w:lang w:val="uk-UA"/>
        </w:rPr>
      </w:pPr>
      <w:r w:rsidRPr="00FC1725">
        <w:rPr>
          <w:rFonts w:ascii="Times New Roman" w:hAnsi="Times New Roman"/>
          <w:sz w:val="28"/>
          <w:szCs w:val="28"/>
          <w:lang w:val="uk-UA"/>
        </w:rPr>
        <w:t xml:space="preserve">З урахуванням наведеного термін набрання чинності законом, визначений у законопроекті </w:t>
      </w:r>
      <w:r w:rsidRPr="00FC1725">
        <w:rPr>
          <w:rFonts w:ascii="Times New Roman" w:hAnsi="Times New Roman"/>
          <w:i/>
          <w:sz w:val="28"/>
          <w:szCs w:val="28"/>
          <w:lang w:val="uk-UA"/>
        </w:rPr>
        <w:t>(з дня, наступного за днем його опублікування)</w:t>
      </w:r>
      <w:r w:rsidRPr="00FC1725">
        <w:rPr>
          <w:rFonts w:ascii="Times New Roman" w:hAnsi="Times New Roman"/>
          <w:sz w:val="28"/>
          <w:szCs w:val="28"/>
          <w:lang w:val="uk-UA"/>
        </w:rPr>
        <w:t>, не відповідає положенням частини третьої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FC1725" w:rsidRPr="00FC1725" w:rsidRDefault="00FC1725" w:rsidP="00FC1725">
      <w:pPr>
        <w:spacing w:after="0" w:line="240" w:lineRule="auto"/>
        <w:ind w:firstLine="567"/>
        <w:jc w:val="both"/>
        <w:rPr>
          <w:rFonts w:ascii="Times New Roman" w:eastAsia="MS Mincho" w:hAnsi="Times New Roman"/>
          <w:sz w:val="28"/>
          <w:szCs w:val="28"/>
          <w:lang w:val="uk-UA" w:eastAsia="ja-JP"/>
        </w:rPr>
      </w:pPr>
      <w:r w:rsidRPr="00FC1725">
        <w:rPr>
          <w:rFonts w:ascii="Times New Roman" w:eastAsia="MS Mincho" w:hAnsi="Times New Roman"/>
          <w:sz w:val="28"/>
          <w:szCs w:val="28"/>
          <w:lang w:val="uk-UA" w:eastAsia="ja-JP"/>
        </w:rPr>
        <w:t>За результатами розгляду Комітет ухвалив рішення:</w:t>
      </w:r>
    </w:p>
    <w:p w:rsidR="00FC1725" w:rsidRPr="00FC1725" w:rsidRDefault="00FC1725" w:rsidP="00FC1725">
      <w:pPr>
        <w:spacing w:after="0" w:line="240" w:lineRule="auto"/>
        <w:ind w:firstLine="567"/>
        <w:jc w:val="both"/>
        <w:rPr>
          <w:rFonts w:ascii="Times New Roman" w:hAnsi="Times New Roman"/>
          <w:sz w:val="28"/>
          <w:szCs w:val="28"/>
          <w:lang w:val="uk-UA" w:eastAsia="ru-RU"/>
        </w:rPr>
      </w:pPr>
      <w:r w:rsidRPr="00FC1725">
        <w:rPr>
          <w:rFonts w:ascii="Times New Roman" w:eastAsia="MS Mincho" w:hAnsi="Times New Roman"/>
          <w:sz w:val="28"/>
          <w:szCs w:val="28"/>
          <w:lang w:val="uk-UA" w:eastAsia="ja-JP"/>
        </w:rPr>
        <w:t>1. </w:t>
      </w:r>
      <w:r w:rsidRPr="00FC1725">
        <w:rPr>
          <w:rFonts w:ascii="Times New Roman" w:hAnsi="Times New Roman"/>
          <w:sz w:val="28"/>
          <w:szCs w:val="28"/>
          <w:lang w:val="uk-UA"/>
        </w:rPr>
        <w:t xml:space="preserve">Проект Закону про територіальну оборону України (реєстр. № 4504 від 16.12.2020), поданий народним депутатом України </w:t>
      </w:r>
      <w:proofErr w:type="spellStart"/>
      <w:r w:rsidRPr="00FC1725">
        <w:rPr>
          <w:rFonts w:ascii="Times New Roman" w:hAnsi="Times New Roman"/>
          <w:sz w:val="28"/>
          <w:szCs w:val="28"/>
          <w:lang w:val="uk-UA"/>
        </w:rPr>
        <w:t>Шараськіним</w:t>
      </w:r>
      <w:proofErr w:type="spellEnd"/>
      <w:r w:rsidRPr="00FC1725">
        <w:rPr>
          <w:rFonts w:ascii="Times New Roman" w:hAnsi="Times New Roman"/>
          <w:sz w:val="28"/>
          <w:szCs w:val="28"/>
          <w:lang w:val="uk-UA"/>
        </w:rPr>
        <w:t xml:space="preserve"> А.А., має вплив на показники державного та місцевих бюджетів (призведе до збільшення видатків таких бюджетів та може зумовити зменшення надходжень місцевих бюджетів)</w:t>
      </w:r>
      <w:r w:rsidRPr="00FC1725">
        <w:rPr>
          <w:rFonts w:ascii="Times New Roman" w:hAnsi="Times New Roman"/>
          <w:spacing w:val="-2"/>
          <w:sz w:val="28"/>
          <w:szCs w:val="28"/>
          <w:lang w:val="uk-UA"/>
        </w:rPr>
        <w:t xml:space="preserve">. </w:t>
      </w:r>
      <w:r w:rsidRPr="00FC1725">
        <w:rPr>
          <w:rFonts w:ascii="Times New Roman" w:hAnsi="Times New Roman"/>
          <w:sz w:val="28"/>
          <w:szCs w:val="28"/>
          <w:lang w:val="uk-UA" w:eastAsia="ru-RU"/>
        </w:rPr>
        <w:t xml:space="preserve">У разі прийняття відповідного закону до </w:t>
      </w:r>
      <w:r w:rsidR="003C1F6C">
        <w:rPr>
          <w:rFonts w:ascii="Times New Roman" w:hAnsi="Times New Roman"/>
          <w:sz w:val="28"/>
          <w:szCs w:val="28"/>
          <w:lang w:val="uk-UA" w:eastAsia="ru-RU"/>
        </w:rPr>
        <w:br/>
      </w:r>
      <w:r w:rsidRPr="00FC1725">
        <w:rPr>
          <w:rFonts w:ascii="Times New Roman" w:hAnsi="Times New Roman"/>
          <w:sz w:val="28"/>
          <w:szCs w:val="28"/>
          <w:lang w:val="uk-UA" w:eastAsia="ru-RU"/>
        </w:rPr>
        <w:t>15 липня 2021 року він має вводитися в дію не раніше 1 січня 2022 року, а після 15 липня 2021 року – не раніше 1 січня 2023</w:t>
      </w:r>
      <w:r w:rsidRPr="00FC1725">
        <w:rPr>
          <w:rFonts w:ascii="Times New Roman" w:hAnsi="Times New Roman"/>
          <w:sz w:val="28"/>
          <w:szCs w:val="28"/>
          <w:lang w:eastAsia="ru-RU"/>
        </w:rPr>
        <w:t> </w:t>
      </w:r>
      <w:r w:rsidRPr="00FC1725">
        <w:rPr>
          <w:rFonts w:ascii="Times New Roman" w:hAnsi="Times New Roman"/>
          <w:sz w:val="28"/>
          <w:szCs w:val="28"/>
          <w:lang w:val="uk-UA" w:eastAsia="ru-RU"/>
        </w:rPr>
        <w:t>року (або 1 січня наступного за цим року залежно від часу прийняття закону);</w:t>
      </w:r>
    </w:p>
    <w:p w:rsidR="00FC1725" w:rsidRPr="00FC1725" w:rsidRDefault="00FC1725" w:rsidP="00FC1725">
      <w:pPr>
        <w:spacing w:after="0" w:line="240" w:lineRule="auto"/>
        <w:ind w:firstLine="567"/>
        <w:jc w:val="both"/>
        <w:rPr>
          <w:rFonts w:ascii="Times New Roman" w:eastAsia="Times New Roman" w:hAnsi="Times New Roman"/>
          <w:sz w:val="28"/>
          <w:szCs w:val="28"/>
          <w:lang w:val="uk-UA" w:eastAsia="ru-RU"/>
        </w:rPr>
      </w:pPr>
      <w:r w:rsidRPr="00FC1725">
        <w:rPr>
          <w:rFonts w:ascii="Times New Roman" w:eastAsia="Times New Roman" w:hAnsi="Times New Roman"/>
          <w:bCs/>
          <w:iCs/>
          <w:sz w:val="28"/>
          <w:szCs w:val="28"/>
          <w:lang w:val="uk-UA" w:eastAsia="ru-RU"/>
        </w:rPr>
        <w:t xml:space="preserve">2. </w:t>
      </w:r>
      <w:r w:rsidRPr="00FC1725">
        <w:rPr>
          <w:rFonts w:ascii="Times New Roman" w:eastAsia="Times New Roman" w:hAnsi="Times New Roman"/>
          <w:sz w:val="28"/>
          <w:szCs w:val="28"/>
          <w:lang w:val="uk-UA" w:eastAsia="ru-RU"/>
        </w:rPr>
        <w:t>Рекомендувати</w:t>
      </w:r>
      <w:r w:rsidRPr="00FC1725">
        <w:rPr>
          <w:rFonts w:ascii="Times New Roman" w:eastAsia="Times New Roman" w:hAnsi="Times New Roman"/>
          <w:color w:val="000000"/>
          <w:spacing w:val="-3"/>
          <w:sz w:val="28"/>
          <w:szCs w:val="28"/>
          <w:lang w:val="uk-UA" w:eastAsia="ru-RU"/>
        </w:rPr>
        <w:t xml:space="preserve"> </w:t>
      </w:r>
      <w:r w:rsidRPr="00FC1725">
        <w:rPr>
          <w:rFonts w:ascii="Times New Roman" w:eastAsia="Times New Roman" w:hAnsi="Times New Roman"/>
          <w:sz w:val="28"/>
          <w:szCs w:val="28"/>
          <w:lang w:val="uk-UA" w:eastAsia="ru-RU"/>
        </w:rPr>
        <w:t xml:space="preserve">Комітету </w:t>
      </w:r>
      <w:r w:rsidRPr="00FC1725">
        <w:rPr>
          <w:rFonts w:ascii="Times New Roman" w:hAnsi="Times New Roman"/>
          <w:sz w:val="28"/>
          <w:szCs w:val="28"/>
          <w:shd w:val="clear" w:color="auto" w:fill="FFFFFF"/>
          <w:lang w:val="uk-UA"/>
        </w:rPr>
        <w:t>з питань національної безпеки, оборони та розвідки</w:t>
      </w:r>
      <w:r w:rsidRPr="00FC1725">
        <w:rPr>
          <w:rFonts w:ascii="Arial" w:hAnsi="Arial" w:cs="Arial"/>
          <w:color w:val="333333"/>
          <w:sz w:val="18"/>
          <w:szCs w:val="18"/>
          <w:shd w:val="clear" w:color="auto" w:fill="FFFFFF"/>
          <w:lang w:val="uk-UA"/>
        </w:rPr>
        <w:t xml:space="preserve"> </w:t>
      </w:r>
      <w:r w:rsidRPr="00FC1725">
        <w:rPr>
          <w:rFonts w:ascii="Times New Roman" w:eastAsia="Times New Roman" w:hAnsi="Times New Roman"/>
          <w:color w:val="000000"/>
          <w:spacing w:val="-3"/>
          <w:sz w:val="28"/>
          <w:szCs w:val="28"/>
          <w:lang w:val="uk-UA" w:eastAsia="ru-RU"/>
        </w:rPr>
        <w:t xml:space="preserve">при доопрацюванні законопроекту привести його положення у відповідність до статей 2, 22, 87-91, глав 6 та 17 Бюджетного кодексу України, </w:t>
      </w:r>
      <w:r w:rsidRPr="00FC1725">
        <w:rPr>
          <w:rFonts w:ascii="Times New Roman" w:eastAsia="Times New Roman" w:hAnsi="Times New Roman"/>
          <w:sz w:val="28"/>
          <w:szCs w:val="28"/>
          <w:lang w:val="uk-UA" w:eastAsia="ru-RU"/>
        </w:rPr>
        <w:t>з урахуванням висновків Комітету з питань бюджету та Міністерства фінансів України.</w:t>
      </w:r>
    </w:p>
    <w:p w:rsidR="00FC1725" w:rsidRPr="00FC1725" w:rsidRDefault="00FC1725" w:rsidP="00FC1725">
      <w:pPr>
        <w:spacing w:after="0" w:line="240" w:lineRule="auto"/>
        <w:ind w:firstLine="567"/>
        <w:jc w:val="both"/>
        <w:rPr>
          <w:rFonts w:ascii="Times New Roman" w:eastAsia="Times New Roman" w:hAnsi="Times New Roman"/>
          <w:bCs/>
          <w:iCs/>
          <w:sz w:val="28"/>
          <w:szCs w:val="28"/>
          <w:lang w:val="uk-UA" w:eastAsia="ru-RU"/>
        </w:rPr>
      </w:pPr>
    </w:p>
    <w:p w:rsidR="006077A2" w:rsidRPr="006077A2" w:rsidRDefault="00AE2C58" w:rsidP="0080132C">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6077A2">
        <w:rPr>
          <w:rFonts w:ascii="Times New Roman" w:hAnsi="Times New Roman"/>
          <w:b/>
          <w:sz w:val="28"/>
          <w:szCs w:val="28"/>
          <w:lang w:val="uk-UA" w:eastAsia="ru-RU"/>
        </w:rPr>
        <w:t xml:space="preserve"> Комітету</w:t>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r>
      <w:r w:rsidR="006077A2">
        <w:rPr>
          <w:rFonts w:ascii="Times New Roman" w:hAnsi="Times New Roman"/>
          <w:b/>
          <w:sz w:val="28"/>
          <w:szCs w:val="28"/>
          <w:lang w:val="uk-UA" w:eastAsia="ru-RU"/>
        </w:rPr>
        <w:tab/>
        <w:t xml:space="preserve">   </w:t>
      </w:r>
      <w:r>
        <w:rPr>
          <w:rFonts w:ascii="Times New Roman" w:hAnsi="Times New Roman"/>
          <w:b/>
          <w:sz w:val="28"/>
          <w:szCs w:val="28"/>
          <w:lang w:val="uk-UA" w:eastAsia="ru-RU"/>
        </w:rPr>
        <w:t>Ю.</w:t>
      </w:r>
      <w:r w:rsidR="00E423A6">
        <w:rPr>
          <w:rFonts w:ascii="Times New Roman" w:hAnsi="Times New Roman"/>
          <w:b/>
          <w:sz w:val="28"/>
          <w:szCs w:val="28"/>
          <w:lang w:val="uk-UA" w:eastAsia="ru-RU"/>
        </w:rPr>
        <w:t xml:space="preserve"> АРІСТОВ</w:t>
      </w:r>
    </w:p>
    <w:p w:rsidR="006077A2" w:rsidRDefault="006077A2" w:rsidP="0080132C">
      <w:pPr>
        <w:spacing w:after="0" w:line="240" w:lineRule="auto"/>
        <w:jc w:val="both"/>
        <w:rPr>
          <w:rFonts w:ascii="Times New Roman" w:hAnsi="Times New Roman"/>
          <w:sz w:val="16"/>
          <w:szCs w:val="16"/>
          <w:lang w:val="uk-UA" w:eastAsia="ru-RU"/>
        </w:rPr>
      </w:pPr>
    </w:p>
    <w:p w:rsidR="006077A2" w:rsidRDefault="006077A2" w:rsidP="0080132C">
      <w:pPr>
        <w:spacing w:after="0" w:line="240" w:lineRule="auto"/>
        <w:jc w:val="both"/>
        <w:rPr>
          <w:rFonts w:ascii="Times New Roman" w:hAnsi="Times New Roman"/>
          <w:sz w:val="16"/>
          <w:szCs w:val="16"/>
          <w:lang w:val="uk-UA" w:eastAsia="ru-RU"/>
        </w:rPr>
      </w:pPr>
    </w:p>
    <w:p w:rsidR="00805CFC" w:rsidRDefault="00805CFC" w:rsidP="0080132C">
      <w:pPr>
        <w:spacing w:after="0" w:line="240" w:lineRule="auto"/>
        <w:jc w:val="both"/>
        <w:rPr>
          <w:rFonts w:ascii="Times New Roman" w:hAnsi="Times New Roman"/>
          <w:sz w:val="16"/>
          <w:szCs w:val="16"/>
          <w:lang w:val="uk-UA" w:eastAsia="ru-RU"/>
        </w:rPr>
      </w:pPr>
    </w:p>
    <w:p w:rsidR="00805CFC" w:rsidRPr="00883470" w:rsidRDefault="00805CFC" w:rsidP="0080132C">
      <w:pPr>
        <w:spacing w:after="0" w:line="240" w:lineRule="auto"/>
        <w:jc w:val="both"/>
        <w:rPr>
          <w:rFonts w:ascii="Times New Roman" w:hAnsi="Times New Roman"/>
          <w:sz w:val="14"/>
          <w:szCs w:val="14"/>
          <w:lang w:val="uk-UA" w:eastAsia="ru-RU"/>
        </w:rPr>
      </w:pPr>
    </w:p>
    <w:sectPr w:rsidR="00805CFC" w:rsidRPr="00883470" w:rsidSect="00FC1725">
      <w:headerReference w:type="default" r:id="rId8"/>
      <w:headerReference w:type="first" r:id="rId9"/>
      <w:footerReference w:type="first" r:id="rId10"/>
      <w:pgSz w:w="11906" w:h="16838"/>
      <w:pgMar w:top="1134" w:right="849" w:bottom="28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4D7" w:rsidRDefault="006D24D7" w:rsidP="005E306B">
      <w:pPr>
        <w:spacing w:after="0" w:line="240" w:lineRule="auto"/>
      </w:pPr>
      <w:r>
        <w:separator/>
      </w:r>
    </w:p>
  </w:endnote>
  <w:endnote w:type="continuationSeparator" w:id="0">
    <w:p w:rsidR="006D24D7" w:rsidRDefault="006D24D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D24D7">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4D7" w:rsidRDefault="006D24D7" w:rsidP="005E306B">
      <w:pPr>
        <w:spacing w:after="0" w:line="240" w:lineRule="auto"/>
      </w:pPr>
      <w:r>
        <w:separator/>
      </w:r>
    </w:p>
  </w:footnote>
  <w:footnote w:type="continuationSeparator" w:id="0">
    <w:p w:rsidR="006D24D7" w:rsidRDefault="006D24D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B120B7" w:rsidRPr="00B120B7">
          <w:rPr>
            <w:noProof/>
            <w:lang w:val="uk-UA"/>
          </w:rPr>
          <w:t>5</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71E16"/>
    <w:rsid w:val="00077351"/>
    <w:rsid w:val="00091A98"/>
    <w:rsid w:val="000C7745"/>
    <w:rsid w:val="000E1163"/>
    <w:rsid w:val="000F1586"/>
    <w:rsid w:val="000F540A"/>
    <w:rsid w:val="00113C5F"/>
    <w:rsid w:val="001144FF"/>
    <w:rsid w:val="00141617"/>
    <w:rsid w:val="00185F2E"/>
    <w:rsid w:val="001860A5"/>
    <w:rsid w:val="0019108F"/>
    <w:rsid w:val="0019225B"/>
    <w:rsid w:val="0019231B"/>
    <w:rsid w:val="001966F0"/>
    <w:rsid w:val="00197E59"/>
    <w:rsid w:val="001D3C24"/>
    <w:rsid w:val="001D589E"/>
    <w:rsid w:val="0021032F"/>
    <w:rsid w:val="002238B2"/>
    <w:rsid w:val="00227A7F"/>
    <w:rsid w:val="00235CD7"/>
    <w:rsid w:val="002524F3"/>
    <w:rsid w:val="0028390B"/>
    <w:rsid w:val="002A19B7"/>
    <w:rsid w:val="002A5D4C"/>
    <w:rsid w:val="002B5FC1"/>
    <w:rsid w:val="002B62B9"/>
    <w:rsid w:val="002D0561"/>
    <w:rsid w:val="002D19F4"/>
    <w:rsid w:val="002E0A18"/>
    <w:rsid w:val="002E0A4C"/>
    <w:rsid w:val="002E31BF"/>
    <w:rsid w:val="002E44DA"/>
    <w:rsid w:val="00307CA0"/>
    <w:rsid w:val="003667FE"/>
    <w:rsid w:val="003674B8"/>
    <w:rsid w:val="00380C77"/>
    <w:rsid w:val="00383287"/>
    <w:rsid w:val="003C1F6C"/>
    <w:rsid w:val="003D0996"/>
    <w:rsid w:val="003D1CBA"/>
    <w:rsid w:val="003F6686"/>
    <w:rsid w:val="00414F2A"/>
    <w:rsid w:val="00421369"/>
    <w:rsid w:val="004233E6"/>
    <w:rsid w:val="00450015"/>
    <w:rsid w:val="00451750"/>
    <w:rsid w:val="00455104"/>
    <w:rsid w:val="004717F5"/>
    <w:rsid w:val="004852FA"/>
    <w:rsid w:val="00490360"/>
    <w:rsid w:val="004A40E9"/>
    <w:rsid w:val="004C53C1"/>
    <w:rsid w:val="004C6363"/>
    <w:rsid w:val="004D01F5"/>
    <w:rsid w:val="004E4F5C"/>
    <w:rsid w:val="004F7B8A"/>
    <w:rsid w:val="00500CE7"/>
    <w:rsid w:val="0050620F"/>
    <w:rsid w:val="00507067"/>
    <w:rsid w:val="005122A0"/>
    <w:rsid w:val="00517511"/>
    <w:rsid w:val="00521D13"/>
    <w:rsid w:val="00545919"/>
    <w:rsid w:val="0055005A"/>
    <w:rsid w:val="0056039F"/>
    <w:rsid w:val="0056352F"/>
    <w:rsid w:val="00563AA2"/>
    <w:rsid w:val="00566831"/>
    <w:rsid w:val="00590B1D"/>
    <w:rsid w:val="00592C72"/>
    <w:rsid w:val="005A404B"/>
    <w:rsid w:val="005A4728"/>
    <w:rsid w:val="005A7B96"/>
    <w:rsid w:val="005B71F5"/>
    <w:rsid w:val="005C54EB"/>
    <w:rsid w:val="005C674D"/>
    <w:rsid w:val="005E306B"/>
    <w:rsid w:val="005F20B5"/>
    <w:rsid w:val="005F21E7"/>
    <w:rsid w:val="005F472A"/>
    <w:rsid w:val="006077A2"/>
    <w:rsid w:val="006107CE"/>
    <w:rsid w:val="006129CA"/>
    <w:rsid w:val="00623EAD"/>
    <w:rsid w:val="00626A3E"/>
    <w:rsid w:val="00632166"/>
    <w:rsid w:val="00640098"/>
    <w:rsid w:val="006431AE"/>
    <w:rsid w:val="00643700"/>
    <w:rsid w:val="00651F2E"/>
    <w:rsid w:val="00660B13"/>
    <w:rsid w:val="0066623D"/>
    <w:rsid w:val="00671AF8"/>
    <w:rsid w:val="006A7E16"/>
    <w:rsid w:val="006C10CC"/>
    <w:rsid w:val="006D24D7"/>
    <w:rsid w:val="006D2BF7"/>
    <w:rsid w:val="006D2D9A"/>
    <w:rsid w:val="006D46E9"/>
    <w:rsid w:val="006E4C42"/>
    <w:rsid w:val="006E59F8"/>
    <w:rsid w:val="006F10E8"/>
    <w:rsid w:val="00713E93"/>
    <w:rsid w:val="0073224C"/>
    <w:rsid w:val="0073743E"/>
    <w:rsid w:val="00766FCC"/>
    <w:rsid w:val="007976F6"/>
    <w:rsid w:val="007A0252"/>
    <w:rsid w:val="007A30CE"/>
    <w:rsid w:val="007A5DFE"/>
    <w:rsid w:val="007A68E6"/>
    <w:rsid w:val="007B31A3"/>
    <w:rsid w:val="007B3633"/>
    <w:rsid w:val="007D2B6C"/>
    <w:rsid w:val="007D448A"/>
    <w:rsid w:val="007D5993"/>
    <w:rsid w:val="007D615B"/>
    <w:rsid w:val="007F5D91"/>
    <w:rsid w:val="0080132C"/>
    <w:rsid w:val="00801946"/>
    <w:rsid w:val="0080545D"/>
    <w:rsid w:val="00805CFC"/>
    <w:rsid w:val="00807225"/>
    <w:rsid w:val="00811821"/>
    <w:rsid w:val="00826F90"/>
    <w:rsid w:val="008273D7"/>
    <w:rsid w:val="00831670"/>
    <w:rsid w:val="0084269F"/>
    <w:rsid w:val="008510F9"/>
    <w:rsid w:val="00860D27"/>
    <w:rsid w:val="00860F79"/>
    <w:rsid w:val="0086266B"/>
    <w:rsid w:val="00883470"/>
    <w:rsid w:val="0089476E"/>
    <w:rsid w:val="008D0011"/>
    <w:rsid w:val="008D7BBE"/>
    <w:rsid w:val="008E7BFC"/>
    <w:rsid w:val="008F721E"/>
    <w:rsid w:val="00900DA7"/>
    <w:rsid w:val="009115CC"/>
    <w:rsid w:val="00923395"/>
    <w:rsid w:val="00945AC8"/>
    <w:rsid w:val="00945B68"/>
    <w:rsid w:val="00957D31"/>
    <w:rsid w:val="00972232"/>
    <w:rsid w:val="00974943"/>
    <w:rsid w:val="0097770F"/>
    <w:rsid w:val="009865D4"/>
    <w:rsid w:val="009A720A"/>
    <w:rsid w:val="009D3520"/>
    <w:rsid w:val="009E6E92"/>
    <w:rsid w:val="009F3B94"/>
    <w:rsid w:val="009F7C0A"/>
    <w:rsid w:val="00A00059"/>
    <w:rsid w:val="00A16EA3"/>
    <w:rsid w:val="00A30680"/>
    <w:rsid w:val="00A4604D"/>
    <w:rsid w:val="00A461F6"/>
    <w:rsid w:val="00A60747"/>
    <w:rsid w:val="00A7635E"/>
    <w:rsid w:val="00A76A60"/>
    <w:rsid w:val="00A833C8"/>
    <w:rsid w:val="00A835BA"/>
    <w:rsid w:val="00A92334"/>
    <w:rsid w:val="00AA25FA"/>
    <w:rsid w:val="00AB0126"/>
    <w:rsid w:val="00AC1EEA"/>
    <w:rsid w:val="00AC70F4"/>
    <w:rsid w:val="00AD7F82"/>
    <w:rsid w:val="00AE2C58"/>
    <w:rsid w:val="00B05D0C"/>
    <w:rsid w:val="00B10B17"/>
    <w:rsid w:val="00B120B7"/>
    <w:rsid w:val="00B311E8"/>
    <w:rsid w:val="00B41537"/>
    <w:rsid w:val="00B51D53"/>
    <w:rsid w:val="00B80E32"/>
    <w:rsid w:val="00B86388"/>
    <w:rsid w:val="00B90EBC"/>
    <w:rsid w:val="00BA62CD"/>
    <w:rsid w:val="00BD0801"/>
    <w:rsid w:val="00BD411F"/>
    <w:rsid w:val="00BD6E12"/>
    <w:rsid w:val="00BE1B03"/>
    <w:rsid w:val="00BF1E95"/>
    <w:rsid w:val="00C11FB6"/>
    <w:rsid w:val="00C27AE9"/>
    <w:rsid w:val="00C434B6"/>
    <w:rsid w:val="00C46BAF"/>
    <w:rsid w:val="00C55CBE"/>
    <w:rsid w:val="00C600F9"/>
    <w:rsid w:val="00C86266"/>
    <w:rsid w:val="00C92F3D"/>
    <w:rsid w:val="00C95D77"/>
    <w:rsid w:val="00CA7044"/>
    <w:rsid w:val="00CB471D"/>
    <w:rsid w:val="00CC39A1"/>
    <w:rsid w:val="00CD4A38"/>
    <w:rsid w:val="00CE3E1B"/>
    <w:rsid w:val="00CE6A4B"/>
    <w:rsid w:val="00CE7EC2"/>
    <w:rsid w:val="00D22048"/>
    <w:rsid w:val="00D242C2"/>
    <w:rsid w:val="00D2595F"/>
    <w:rsid w:val="00D37FA2"/>
    <w:rsid w:val="00D52549"/>
    <w:rsid w:val="00D528DA"/>
    <w:rsid w:val="00D57E1B"/>
    <w:rsid w:val="00D63DA2"/>
    <w:rsid w:val="00D75E6C"/>
    <w:rsid w:val="00D82B2E"/>
    <w:rsid w:val="00D84B4D"/>
    <w:rsid w:val="00D85EC8"/>
    <w:rsid w:val="00D90297"/>
    <w:rsid w:val="00D92399"/>
    <w:rsid w:val="00DA2BA6"/>
    <w:rsid w:val="00DA7F19"/>
    <w:rsid w:val="00DC0AE9"/>
    <w:rsid w:val="00DD6B71"/>
    <w:rsid w:val="00DF0115"/>
    <w:rsid w:val="00E15762"/>
    <w:rsid w:val="00E41B8D"/>
    <w:rsid w:val="00E421F1"/>
    <w:rsid w:val="00E423A6"/>
    <w:rsid w:val="00E43FC5"/>
    <w:rsid w:val="00E65485"/>
    <w:rsid w:val="00E72DFA"/>
    <w:rsid w:val="00E77C86"/>
    <w:rsid w:val="00E92E25"/>
    <w:rsid w:val="00EE0090"/>
    <w:rsid w:val="00F13A52"/>
    <w:rsid w:val="00F21CC7"/>
    <w:rsid w:val="00F2619A"/>
    <w:rsid w:val="00F55423"/>
    <w:rsid w:val="00F55876"/>
    <w:rsid w:val="00F60057"/>
    <w:rsid w:val="00F73543"/>
    <w:rsid w:val="00F75EA8"/>
    <w:rsid w:val="00F84A86"/>
    <w:rsid w:val="00F91DD3"/>
    <w:rsid w:val="00FC1725"/>
    <w:rsid w:val="00FC1F5E"/>
    <w:rsid w:val="00FC3DF4"/>
    <w:rsid w:val="00FC7190"/>
    <w:rsid w:val="00FD103E"/>
    <w:rsid w:val="00FD4DF1"/>
    <w:rsid w:val="00FE650A"/>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4CBFFF"/>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rsid w:val="00B05D0C"/>
    <w:rPr>
      <w:rFonts w:asciiTheme="majorHAnsi" w:eastAsiaTheme="majorEastAsia" w:hAnsiTheme="majorHAnsi" w:cstheme="majorBidi"/>
      <w:color w:val="243F60" w:themeColor="accent1" w:themeShade="7F"/>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002364-175A-4797-AF03-DCD0C5464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8325</Words>
  <Characters>4746</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202</cp:revision>
  <cp:lastPrinted>2021-03-02T09:55:00Z</cp:lastPrinted>
  <dcterms:created xsi:type="dcterms:W3CDTF">2020-07-07T06:19:00Z</dcterms:created>
  <dcterms:modified xsi:type="dcterms:W3CDTF">2021-04-15T13:26:00Z</dcterms:modified>
</cp:coreProperties>
</file>