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F2AC1" w14:textId="77777777" w:rsidR="00591EAB" w:rsidRPr="00641AB4" w:rsidRDefault="00591EAB" w:rsidP="00641AB4">
      <w:pPr>
        <w:pStyle w:val="a9"/>
        <w:jc w:val="center"/>
        <w:rPr>
          <w:rFonts w:ascii="Times New Roman" w:hAnsi="Times New Roman"/>
          <w:b/>
          <w:sz w:val="24"/>
          <w:szCs w:val="24"/>
          <w:lang w:val="uk-UA"/>
        </w:rPr>
      </w:pPr>
      <w:bookmarkStart w:id="0" w:name="_GoBack"/>
      <w:bookmarkEnd w:id="0"/>
      <w:r w:rsidRPr="00641AB4">
        <w:rPr>
          <w:rFonts w:ascii="Times New Roman" w:hAnsi="Times New Roman"/>
          <w:b/>
          <w:sz w:val="24"/>
          <w:szCs w:val="24"/>
          <w:lang w:val="uk-UA"/>
        </w:rPr>
        <w:t>ПОРІВНЯЛЬНА ТАБЛИЦЯ</w:t>
      </w:r>
    </w:p>
    <w:p w14:paraId="79A822A0" w14:textId="77777777" w:rsidR="00591EAB" w:rsidRPr="00641AB4" w:rsidRDefault="00591EAB" w:rsidP="00641AB4">
      <w:pPr>
        <w:pStyle w:val="a9"/>
        <w:jc w:val="center"/>
        <w:rPr>
          <w:rFonts w:ascii="Times New Roman" w:hAnsi="Times New Roman"/>
          <w:b/>
          <w:sz w:val="24"/>
          <w:szCs w:val="24"/>
          <w:lang w:val="uk-UA"/>
        </w:rPr>
      </w:pPr>
      <w:r w:rsidRPr="00641AB4">
        <w:rPr>
          <w:rFonts w:ascii="Times New Roman" w:hAnsi="Times New Roman"/>
          <w:b/>
          <w:sz w:val="24"/>
          <w:szCs w:val="24"/>
          <w:lang w:val="uk-UA"/>
        </w:rPr>
        <w:t>до проекту Закону України «</w:t>
      </w:r>
      <w:r w:rsidRPr="00641AB4">
        <w:rPr>
          <w:rStyle w:val="rvts23"/>
          <w:rFonts w:ascii="Times New Roman" w:hAnsi="Times New Roman"/>
          <w:b/>
          <w:bCs/>
          <w:color w:val="000000"/>
          <w:sz w:val="24"/>
          <w:szCs w:val="24"/>
          <w:bdr w:val="none" w:sz="0" w:space="0" w:color="auto" w:frame="1"/>
          <w:lang w:val="uk-UA"/>
        </w:rPr>
        <w:t>Про енергетичну ефективність</w:t>
      </w:r>
      <w:r w:rsidRPr="00641AB4">
        <w:rPr>
          <w:rFonts w:ascii="Times New Roman" w:hAnsi="Times New Roman"/>
          <w:b/>
          <w:sz w:val="24"/>
          <w:szCs w:val="24"/>
          <w:lang w:val="uk-UA"/>
        </w:rPr>
        <w:t>»</w:t>
      </w:r>
    </w:p>
    <w:p w14:paraId="50FCCE45" w14:textId="77777777" w:rsidR="00641AB4" w:rsidRDefault="00641AB4" w:rsidP="00641AB4">
      <w:pPr>
        <w:spacing w:line="240" w:lineRule="auto"/>
        <w:rPr>
          <w:rFonts w:ascii="Times New Roman" w:hAnsi="Times New Roman"/>
          <w:sz w:val="24"/>
          <w:szCs w:val="24"/>
          <w:lang w:val="uk-UA"/>
        </w:rPr>
      </w:pPr>
    </w:p>
    <w:tbl>
      <w:tblPr>
        <w:tblStyle w:val="ab"/>
        <w:tblW w:w="0" w:type="auto"/>
        <w:tblLook w:val="04A0" w:firstRow="1" w:lastRow="0" w:firstColumn="1" w:lastColumn="0" w:noHBand="0" w:noVBand="1"/>
      </w:tblPr>
      <w:tblGrid>
        <w:gridCol w:w="7563"/>
        <w:gridCol w:w="7564"/>
      </w:tblGrid>
      <w:tr w:rsidR="00641AB4" w14:paraId="4F25A2C4" w14:textId="77777777" w:rsidTr="00641AB4">
        <w:tc>
          <w:tcPr>
            <w:tcW w:w="7563" w:type="dxa"/>
          </w:tcPr>
          <w:p w14:paraId="75E908A5" w14:textId="77777777" w:rsidR="00641AB4" w:rsidRPr="00641AB4" w:rsidRDefault="00641AB4" w:rsidP="00CE1196">
            <w:pPr>
              <w:spacing w:after="0" w:line="240" w:lineRule="auto"/>
              <w:contextualSpacing/>
              <w:jc w:val="center"/>
              <w:rPr>
                <w:rFonts w:ascii="Times New Roman" w:hAnsi="Times New Roman"/>
                <w:b/>
                <w:sz w:val="24"/>
                <w:szCs w:val="24"/>
                <w:lang w:val="uk-UA"/>
              </w:rPr>
            </w:pPr>
            <w:r w:rsidRPr="00641AB4">
              <w:rPr>
                <w:rFonts w:ascii="Times New Roman" w:hAnsi="Times New Roman"/>
                <w:b/>
                <w:sz w:val="24"/>
                <w:szCs w:val="24"/>
                <w:lang w:val="uk-UA"/>
              </w:rPr>
              <w:t>Зміст положення (норми) чинного законодавства</w:t>
            </w:r>
          </w:p>
          <w:p w14:paraId="03B68AAB" w14:textId="77777777" w:rsidR="00641AB4" w:rsidRDefault="00641AB4" w:rsidP="00641AB4">
            <w:pPr>
              <w:spacing w:line="240" w:lineRule="auto"/>
              <w:rPr>
                <w:rFonts w:ascii="Times New Roman" w:hAnsi="Times New Roman"/>
                <w:sz w:val="24"/>
                <w:szCs w:val="24"/>
                <w:lang w:val="uk-UA"/>
              </w:rPr>
            </w:pPr>
          </w:p>
        </w:tc>
        <w:tc>
          <w:tcPr>
            <w:tcW w:w="7564" w:type="dxa"/>
          </w:tcPr>
          <w:p w14:paraId="0CF286AF" w14:textId="07FDA272" w:rsidR="00641AB4" w:rsidRDefault="00641AB4" w:rsidP="00641AB4">
            <w:pPr>
              <w:spacing w:line="240" w:lineRule="auto"/>
              <w:rPr>
                <w:rFonts w:ascii="Times New Roman" w:hAnsi="Times New Roman"/>
                <w:sz w:val="24"/>
                <w:szCs w:val="24"/>
                <w:lang w:val="uk-UA"/>
              </w:rPr>
            </w:pPr>
            <w:r w:rsidRPr="00641AB4">
              <w:rPr>
                <w:rFonts w:ascii="Times New Roman" w:hAnsi="Times New Roman"/>
                <w:b/>
                <w:sz w:val="24"/>
                <w:szCs w:val="24"/>
                <w:lang w:val="uk-UA"/>
              </w:rPr>
              <w:t>Зміст відповідного положення (норми) проекту акту</w:t>
            </w:r>
          </w:p>
        </w:tc>
      </w:tr>
      <w:tr w:rsidR="00641AB4" w14:paraId="51B5C340" w14:textId="77777777" w:rsidTr="008261BE">
        <w:tc>
          <w:tcPr>
            <w:tcW w:w="15127" w:type="dxa"/>
            <w:gridSpan w:val="2"/>
          </w:tcPr>
          <w:p w14:paraId="1668E8C0" w14:textId="45E086E8" w:rsidR="00641AB4" w:rsidRDefault="00641AB4" w:rsidP="00532AE4">
            <w:pPr>
              <w:spacing w:line="240" w:lineRule="auto"/>
              <w:jc w:val="center"/>
              <w:rPr>
                <w:rFonts w:ascii="Times New Roman" w:hAnsi="Times New Roman"/>
                <w:sz w:val="24"/>
                <w:szCs w:val="24"/>
                <w:lang w:val="uk-UA"/>
              </w:rPr>
            </w:pPr>
            <w:r w:rsidRPr="00641AB4">
              <w:rPr>
                <w:rFonts w:ascii="Times New Roman" w:hAnsi="Times New Roman"/>
                <w:b/>
                <w:sz w:val="24"/>
                <w:szCs w:val="24"/>
                <w:lang w:val="uk-UA"/>
              </w:rPr>
              <w:t>Закон України “Про місцеве самоврядування в Україні”</w:t>
            </w:r>
          </w:p>
        </w:tc>
      </w:tr>
      <w:tr w:rsidR="00641AB4" w14:paraId="4189C735" w14:textId="77777777" w:rsidTr="00641AB4">
        <w:tc>
          <w:tcPr>
            <w:tcW w:w="7563" w:type="dxa"/>
          </w:tcPr>
          <w:p w14:paraId="6E390DDD"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rStyle w:val="rvts9"/>
                <w:b/>
                <w:bCs/>
                <w:color w:val="000000"/>
              </w:rPr>
              <w:t>Стаття 30. </w:t>
            </w:r>
            <w:r w:rsidRPr="00641AB4">
              <w:rPr>
                <w:color w:val="000000"/>
              </w:rPr>
              <w:t>Повноваження в галузі житлово-комунального господарства, побутового, торговельного обслуговування, громадського харчування, транспорту і зв'язку</w:t>
            </w:r>
          </w:p>
          <w:p w14:paraId="1DD5C98E"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До відання виконавчих органів сільських, селищних, міських рад належать:</w:t>
            </w:r>
          </w:p>
          <w:p w14:paraId="2DA20037"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а) власні (самоврядні) повноваження:</w:t>
            </w:r>
          </w:p>
          <w:p w14:paraId="3AEEF73A"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w:t>
            </w:r>
          </w:p>
          <w:p w14:paraId="7C8F3D37"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22) визначення одиниці виміру обсягу наданих послуг з поводження з побутовими відходами;</w:t>
            </w:r>
          </w:p>
          <w:p w14:paraId="45103C40" w14:textId="4DB88EFF" w:rsidR="00641AB4" w:rsidRDefault="00641AB4" w:rsidP="00641AB4">
            <w:pPr>
              <w:spacing w:line="240" w:lineRule="auto"/>
              <w:rPr>
                <w:rFonts w:ascii="Times New Roman" w:hAnsi="Times New Roman"/>
                <w:sz w:val="24"/>
                <w:szCs w:val="24"/>
                <w:lang w:val="uk-UA"/>
              </w:rPr>
            </w:pPr>
          </w:p>
        </w:tc>
        <w:tc>
          <w:tcPr>
            <w:tcW w:w="7564" w:type="dxa"/>
          </w:tcPr>
          <w:p w14:paraId="26DE7AA6"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rStyle w:val="rvts9"/>
                <w:b/>
                <w:bCs/>
                <w:color w:val="000000"/>
              </w:rPr>
              <w:t>Стаття 30. </w:t>
            </w:r>
            <w:r w:rsidRPr="00641AB4">
              <w:rPr>
                <w:color w:val="000000"/>
              </w:rPr>
              <w:t>Повноваження в галузі житлово-комунального господарства, побутового, торговельного обслуговування, громадського харчування, транспорту і зв'язку</w:t>
            </w:r>
          </w:p>
          <w:p w14:paraId="4014095F"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До відання виконавчих органів сільських, селищних, міських рад належать:</w:t>
            </w:r>
          </w:p>
          <w:p w14:paraId="5BB85DE6"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а) власні (самоврядні) повноваження:</w:t>
            </w:r>
          </w:p>
          <w:p w14:paraId="4AF718F8"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w:t>
            </w:r>
          </w:p>
          <w:p w14:paraId="0485C8D3"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22) визначення одиниці виміру обсягу наданих послуг з поводження з побутовими відходами;</w:t>
            </w:r>
          </w:p>
          <w:p w14:paraId="1AE44077" w14:textId="1B75FB41" w:rsidR="00641AB4" w:rsidRDefault="00641AB4" w:rsidP="001C0203">
            <w:pPr>
              <w:spacing w:line="240" w:lineRule="auto"/>
              <w:ind w:firstLine="404"/>
              <w:rPr>
                <w:rFonts w:ascii="Times New Roman" w:hAnsi="Times New Roman"/>
                <w:sz w:val="24"/>
                <w:szCs w:val="24"/>
                <w:lang w:val="uk-UA"/>
              </w:rPr>
            </w:pPr>
            <w:r w:rsidRPr="00641AB4">
              <w:rPr>
                <w:rFonts w:ascii="Times New Roman" w:hAnsi="Times New Roman"/>
                <w:b/>
                <w:sz w:val="24"/>
                <w:szCs w:val="24"/>
              </w:rPr>
              <w:t>23) впровадження системи енергетичного менеджменту;</w:t>
            </w:r>
          </w:p>
        </w:tc>
      </w:tr>
      <w:tr w:rsidR="00641AB4" w14:paraId="69E44B14" w14:textId="77777777" w:rsidTr="008F5354">
        <w:tc>
          <w:tcPr>
            <w:tcW w:w="15127" w:type="dxa"/>
            <w:gridSpan w:val="2"/>
          </w:tcPr>
          <w:p w14:paraId="2EBB7E2D" w14:textId="2AF54787" w:rsidR="00641AB4" w:rsidRDefault="00641AB4" w:rsidP="000F315B">
            <w:pPr>
              <w:spacing w:line="240" w:lineRule="auto"/>
              <w:jc w:val="center"/>
              <w:rPr>
                <w:rFonts w:ascii="Times New Roman" w:hAnsi="Times New Roman"/>
                <w:sz w:val="24"/>
                <w:szCs w:val="24"/>
                <w:lang w:val="uk-UA"/>
              </w:rPr>
            </w:pPr>
            <w:r w:rsidRPr="00641AB4">
              <w:rPr>
                <w:rFonts w:ascii="Times New Roman" w:hAnsi="Times New Roman"/>
                <w:b/>
                <w:sz w:val="24"/>
                <w:szCs w:val="24"/>
                <w:lang w:val="uk-UA"/>
              </w:rPr>
              <w:t xml:space="preserve">Закон України </w:t>
            </w:r>
            <w:r w:rsidRPr="00641AB4">
              <w:rPr>
                <w:rStyle w:val="rvts9"/>
                <w:rFonts w:ascii="Times New Roman" w:hAnsi="Times New Roman"/>
                <w:b/>
                <w:bCs/>
                <w:color w:val="000000"/>
                <w:sz w:val="24"/>
                <w:szCs w:val="24"/>
                <w:bdr w:val="none" w:sz="0" w:space="0" w:color="auto" w:frame="1"/>
                <w:shd w:val="clear" w:color="auto" w:fill="FFFFFF"/>
                <w:lang w:val="uk-UA"/>
              </w:rPr>
              <w:t>“Про теплопостачання”</w:t>
            </w:r>
          </w:p>
        </w:tc>
      </w:tr>
      <w:tr w:rsidR="00641AB4" w14:paraId="69C4AEFB" w14:textId="77777777" w:rsidTr="00641AB4">
        <w:tc>
          <w:tcPr>
            <w:tcW w:w="7563" w:type="dxa"/>
          </w:tcPr>
          <w:p w14:paraId="13120531" w14:textId="77777777" w:rsidR="00641AB4" w:rsidRPr="00641AB4" w:rsidRDefault="00641AB4" w:rsidP="00CE1196">
            <w:pPr>
              <w:pStyle w:val="rvps2"/>
              <w:shd w:val="clear" w:color="auto" w:fill="FFFFFF"/>
              <w:spacing w:before="0" w:beforeAutospacing="0" w:after="150" w:afterAutospacing="0"/>
              <w:ind w:firstLine="450"/>
              <w:jc w:val="both"/>
              <w:rPr>
                <w:b/>
                <w:color w:val="000000"/>
              </w:rPr>
            </w:pPr>
            <w:r w:rsidRPr="00641AB4">
              <w:rPr>
                <w:rStyle w:val="rvts9"/>
                <w:b/>
                <w:bCs/>
                <w:color w:val="000000"/>
              </w:rPr>
              <w:t>Стаття 7. </w:t>
            </w:r>
            <w:r w:rsidRPr="00641AB4">
              <w:rPr>
                <w:b/>
                <w:color w:val="000000"/>
              </w:rPr>
              <w:t>Напрями розвитку систем теплопостачання</w:t>
            </w:r>
          </w:p>
          <w:p w14:paraId="355DEC3D"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Основними напрямами розвитку систем теплопостачання є:</w:t>
            </w:r>
          </w:p>
          <w:p w14:paraId="6F3CBCEB"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 xml:space="preserve">планування теплопостачання, розроблення та реалізація схем теплопостачання міст та інших населених пунктів України, строк дії яких </w:t>
            </w:r>
            <w:r w:rsidRPr="00641AB4">
              <w:rPr>
                <w:b/>
                <w:color w:val="000000"/>
              </w:rPr>
              <w:t>має бути не менше 5-7 років</w:t>
            </w:r>
            <w:r w:rsidRPr="00641AB4">
              <w:rPr>
                <w:color w:val="000000"/>
              </w:rPr>
              <w:t xml:space="preserve"> на основі оптимального поєднання централізованих та автономних систем теплопостачання;</w:t>
            </w:r>
          </w:p>
          <w:p w14:paraId="76212A16" w14:textId="08287EA2" w:rsidR="00641AB4" w:rsidRDefault="00641AB4" w:rsidP="00641AB4">
            <w:pPr>
              <w:spacing w:line="240" w:lineRule="auto"/>
              <w:rPr>
                <w:rFonts w:ascii="Times New Roman" w:hAnsi="Times New Roman"/>
                <w:sz w:val="24"/>
                <w:szCs w:val="24"/>
                <w:lang w:val="uk-UA"/>
              </w:rPr>
            </w:pPr>
            <w:r w:rsidRPr="00641AB4">
              <w:rPr>
                <w:rFonts w:ascii="Times New Roman" w:hAnsi="Times New Roman"/>
                <w:sz w:val="24"/>
                <w:szCs w:val="24"/>
                <w:lang w:val="uk-UA"/>
              </w:rPr>
              <w:t>…</w:t>
            </w:r>
          </w:p>
        </w:tc>
        <w:tc>
          <w:tcPr>
            <w:tcW w:w="7564" w:type="dxa"/>
          </w:tcPr>
          <w:p w14:paraId="148EB8B0" w14:textId="77777777" w:rsidR="00641AB4" w:rsidRPr="00641AB4" w:rsidRDefault="00641AB4" w:rsidP="00CE1196">
            <w:pPr>
              <w:pStyle w:val="rvps2"/>
              <w:shd w:val="clear" w:color="auto" w:fill="FFFFFF"/>
              <w:spacing w:before="0" w:beforeAutospacing="0" w:after="150" w:afterAutospacing="0"/>
              <w:ind w:firstLine="450"/>
              <w:jc w:val="both"/>
              <w:rPr>
                <w:b/>
                <w:color w:val="000000"/>
              </w:rPr>
            </w:pPr>
            <w:r w:rsidRPr="00641AB4">
              <w:rPr>
                <w:rStyle w:val="rvts9"/>
                <w:b/>
                <w:bCs/>
                <w:color w:val="000000"/>
              </w:rPr>
              <w:t>Стаття 7. </w:t>
            </w:r>
            <w:r w:rsidRPr="00641AB4">
              <w:rPr>
                <w:b/>
                <w:color w:val="000000"/>
              </w:rPr>
              <w:t>Напрями розвитку систем теплопостачання</w:t>
            </w:r>
          </w:p>
          <w:p w14:paraId="424FF561"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Основними напрямами розвитку систем теплопостачання є:</w:t>
            </w:r>
          </w:p>
          <w:p w14:paraId="108561FC" w14:textId="77777777" w:rsidR="00641AB4" w:rsidRPr="00641AB4" w:rsidRDefault="00641AB4" w:rsidP="00CE1196">
            <w:pPr>
              <w:pStyle w:val="rvps2"/>
              <w:shd w:val="clear" w:color="auto" w:fill="FFFFFF"/>
              <w:spacing w:before="0" w:beforeAutospacing="0" w:after="150" w:afterAutospacing="0"/>
              <w:ind w:firstLine="450"/>
              <w:jc w:val="both"/>
              <w:rPr>
                <w:color w:val="000000"/>
              </w:rPr>
            </w:pPr>
            <w:r w:rsidRPr="00641AB4">
              <w:rPr>
                <w:color w:val="000000"/>
              </w:rPr>
              <w:t xml:space="preserve">планування теплопостачання, розроблення та реалізація схем теплопостачання міст та інших населених пунктів України, строк дії яких </w:t>
            </w:r>
            <w:r w:rsidRPr="00641AB4">
              <w:rPr>
                <w:b/>
              </w:rPr>
              <w:t>становить 7 років</w:t>
            </w:r>
            <w:r w:rsidRPr="00641AB4">
              <w:rPr>
                <w:color w:val="000000"/>
              </w:rPr>
              <w:t xml:space="preserve"> на основі оптимального поєднання централізованих та автономних систем теплопостачання;</w:t>
            </w:r>
          </w:p>
          <w:p w14:paraId="71587671" w14:textId="680CA88E" w:rsidR="00641AB4" w:rsidRDefault="00641AB4" w:rsidP="00641AB4">
            <w:pPr>
              <w:spacing w:line="240" w:lineRule="auto"/>
              <w:rPr>
                <w:rFonts w:ascii="Times New Roman" w:hAnsi="Times New Roman"/>
                <w:sz w:val="24"/>
                <w:szCs w:val="24"/>
                <w:lang w:val="uk-UA"/>
              </w:rPr>
            </w:pPr>
            <w:r w:rsidRPr="00641AB4">
              <w:rPr>
                <w:rFonts w:ascii="Times New Roman" w:hAnsi="Times New Roman"/>
                <w:sz w:val="24"/>
                <w:szCs w:val="24"/>
                <w:lang w:val="uk-UA"/>
              </w:rPr>
              <w:t>…</w:t>
            </w:r>
          </w:p>
        </w:tc>
      </w:tr>
      <w:tr w:rsidR="00641AB4" w14:paraId="19CADDD8" w14:textId="77777777" w:rsidTr="00C0224B">
        <w:tc>
          <w:tcPr>
            <w:tcW w:w="15127" w:type="dxa"/>
            <w:gridSpan w:val="2"/>
          </w:tcPr>
          <w:p w14:paraId="0E4575F5" w14:textId="5555EEF6" w:rsidR="00641AB4" w:rsidRDefault="00641AB4" w:rsidP="000F315B">
            <w:pPr>
              <w:spacing w:line="240" w:lineRule="auto"/>
              <w:jc w:val="center"/>
              <w:rPr>
                <w:rFonts w:ascii="Times New Roman" w:hAnsi="Times New Roman"/>
                <w:sz w:val="24"/>
                <w:szCs w:val="24"/>
                <w:lang w:val="uk-UA"/>
              </w:rPr>
            </w:pPr>
            <w:r w:rsidRPr="00641AB4">
              <w:rPr>
                <w:rFonts w:ascii="Times New Roman" w:hAnsi="Times New Roman"/>
                <w:b/>
                <w:sz w:val="24"/>
                <w:szCs w:val="24"/>
                <w:lang w:val="uk-UA"/>
              </w:rPr>
              <w:t>Закон України “Про Національну комісію, що здійснює державне регулювання у сферах енергетики та комунальних послуг”</w:t>
            </w:r>
          </w:p>
        </w:tc>
      </w:tr>
      <w:tr w:rsidR="00641AB4" w14:paraId="613BE819" w14:textId="77777777" w:rsidTr="00641AB4">
        <w:tc>
          <w:tcPr>
            <w:tcW w:w="7563" w:type="dxa"/>
          </w:tcPr>
          <w:p w14:paraId="1427ACB3" w14:textId="77777777" w:rsidR="00641AB4" w:rsidRPr="00641AB4" w:rsidRDefault="00641AB4" w:rsidP="001C0203">
            <w:pPr>
              <w:pStyle w:val="rvps2"/>
              <w:shd w:val="clear" w:color="auto" w:fill="FFFFFF"/>
              <w:ind w:firstLine="450"/>
              <w:jc w:val="both"/>
              <w:rPr>
                <w:rStyle w:val="rvts9"/>
                <w:b/>
                <w:bCs/>
                <w:color w:val="000000"/>
              </w:rPr>
            </w:pPr>
            <w:r w:rsidRPr="00641AB4">
              <w:rPr>
                <w:rStyle w:val="rvts9"/>
                <w:b/>
                <w:bCs/>
                <w:color w:val="000000"/>
              </w:rPr>
              <w:lastRenderedPageBreak/>
              <w:t>Стаття 22. Відповідальність за порушення законодавства у сферах енергетики та комунальних послуг</w:t>
            </w:r>
          </w:p>
          <w:p w14:paraId="16AD76E5" w14:textId="5118FD42" w:rsidR="00641AB4" w:rsidRDefault="00641AB4" w:rsidP="001C0203">
            <w:pPr>
              <w:spacing w:line="240" w:lineRule="auto"/>
              <w:ind w:firstLine="454"/>
              <w:jc w:val="both"/>
              <w:rPr>
                <w:rFonts w:ascii="Times New Roman" w:hAnsi="Times New Roman"/>
                <w:sz w:val="24"/>
                <w:szCs w:val="24"/>
                <w:lang w:val="uk-UA"/>
              </w:rPr>
            </w:pPr>
            <w:r w:rsidRPr="00641AB4">
              <w:rPr>
                <w:rStyle w:val="rvts9"/>
                <w:rFonts w:ascii="Times New Roman" w:hAnsi="Times New Roman"/>
                <w:bCs/>
                <w:color w:val="000000"/>
                <w:sz w:val="24"/>
                <w:szCs w:val="24"/>
              </w:rPr>
              <w:t>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законами України "Про природні монополії", "Про комбіноване виробництво теплової та електричної енергії (когенерацію) та використання скидного енергопотенціалу", "Про ринок електричної енергії", "Про ринок природного газу", "Про трубопровідний транспорт", "Про теплопостачання", "Про питну воду та питне водопостачання", "Про державне регулювання у сфері комунальних послуг" та іншими законами, що регулюють відносини у відповідних сферах.</w:t>
            </w:r>
          </w:p>
        </w:tc>
        <w:tc>
          <w:tcPr>
            <w:tcW w:w="7564" w:type="dxa"/>
          </w:tcPr>
          <w:p w14:paraId="46B8A996" w14:textId="77777777" w:rsidR="00641AB4" w:rsidRPr="00641AB4" w:rsidRDefault="00641AB4" w:rsidP="001C0203">
            <w:pPr>
              <w:pStyle w:val="rvps2"/>
              <w:shd w:val="clear" w:color="auto" w:fill="FFFFFF"/>
              <w:spacing w:after="150"/>
              <w:ind w:firstLine="450"/>
              <w:jc w:val="both"/>
              <w:rPr>
                <w:rStyle w:val="rvts9"/>
                <w:b/>
                <w:bCs/>
                <w:color w:val="000000"/>
              </w:rPr>
            </w:pPr>
            <w:r w:rsidRPr="00641AB4">
              <w:rPr>
                <w:rStyle w:val="rvts9"/>
                <w:b/>
                <w:bCs/>
                <w:color w:val="000000"/>
              </w:rPr>
              <w:t>Стаття 22. Відповідальність за порушення законодавства у сферах енергетики та комунальних послуг</w:t>
            </w:r>
          </w:p>
          <w:p w14:paraId="17B6F75A" w14:textId="354ECCD0" w:rsidR="00641AB4" w:rsidRDefault="00641AB4" w:rsidP="001C0203">
            <w:pPr>
              <w:spacing w:line="240" w:lineRule="auto"/>
              <w:ind w:firstLine="404"/>
              <w:jc w:val="both"/>
              <w:rPr>
                <w:rFonts w:ascii="Times New Roman" w:hAnsi="Times New Roman"/>
                <w:sz w:val="24"/>
                <w:szCs w:val="24"/>
                <w:lang w:val="uk-UA"/>
              </w:rPr>
            </w:pPr>
            <w:r w:rsidRPr="00641AB4">
              <w:rPr>
                <w:rStyle w:val="rvts9"/>
                <w:rFonts w:ascii="Times New Roman" w:hAnsi="Times New Roman"/>
                <w:bCs/>
                <w:color w:val="000000"/>
                <w:sz w:val="24"/>
                <w:szCs w:val="24"/>
              </w:rPr>
              <w:t xml:space="preserve">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законами України "Про природні монополії", "Про комбіноване виробництво теплової та електричної енергії (когенерацію) та використання скидного енергопотенціалу", "Про ринок електричної енергії", "Про ринок природного газу", "Про трубопровідний транспорт", "Про теплопостачання", "Про питну воду та питне водопостачання", "Про державне регулювання у сфері комунальних послуг", </w:t>
            </w:r>
            <w:r w:rsidRPr="00641AB4">
              <w:rPr>
                <w:rStyle w:val="rvts9"/>
                <w:rFonts w:ascii="Times New Roman" w:hAnsi="Times New Roman"/>
                <w:b/>
                <w:bCs/>
                <w:color w:val="000000"/>
                <w:sz w:val="24"/>
                <w:szCs w:val="24"/>
              </w:rPr>
              <w:t>"Про енергетичну ефективність"</w:t>
            </w:r>
            <w:r w:rsidRPr="00641AB4">
              <w:rPr>
                <w:rStyle w:val="rvts9"/>
                <w:rFonts w:ascii="Times New Roman" w:hAnsi="Times New Roman"/>
                <w:bCs/>
                <w:color w:val="000000"/>
                <w:sz w:val="24"/>
                <w:szCs w:val="24"/>
              </w:rPr>
              <w:t xml:space="preserve"> та іншими законами, що регулюють відносини у відповідних сферах.</w:t>
            </w:r>
          </w:p>
        </w:tc>
      </w:tr>
      <w:tr w:rsidR="00641AB4" w14:paraId="6A1E5B25" w14:textId="77777777" w:rsidTr="00105AA4">
        <w:tc>
          <w:tcPr>
            <w:tcW w:w="15127" w:type="dxa"/>
            <w:gridSpan w:val="2"/>
          </w:tcPr>
          <w:p w14:paraId="130CB8E8" w14:textId="19F0607F" w:rsidR="00641AB4" w:rsidRDefault="000F315B" w:rsidP="000F315B">
            <w:pPr>
              <w:spacing w:line="240" w:lineRule="auto"/>
              <w:jc w:val="center"/>
              <w:rPr>
                <w:rFonts w:ascii="Times New Roman" w:hAnsi="Times New Roman"/>
                <w:sz w:val="24"/>
                <w:szCs w:val="24"/>
                <w:lang w:val="uk-UA"/>
              </w:rPr>
            </w:pPr>
            <w:r w:rsidRPr="00641AB4">
              <w:rPr>
                <w:rFonts w:ascii="Times New Roman" w:hAnsi="Times New Roman"/>
                <w:b/>
                <w:sz w:val="24"/>
                <w:szCs w:val="24"/>
                <w:lang w:val="uk-UA"/>
              </w:rPr>
              <w:t xml:space="preserve">Закон України </w:t>
            </w:r>
            <w:r w:rsidRPr="00641AB4">
              <w:rPr>
                <w:rFonts w:ascii="Times New Roman" w:hAnsi="Times New Roman"/>
                <w:b/>
                <w:sz w:val="24"/>
                <w:szCs w:val="24"/>
              </w:rPr>
              <w:t>“</w:t>
            </w:r>
            <w:r w:rsidRPr="00641AB4">
              <w:rPr>
                <w:rFonts w:ascii="Times New Roman" w:hAnsi="Times New Roman"/>
                <w:b/>
                <w:sz w:val="24"/>
                <w:szCs w:val="24"/>
                <w:lang w:val="uk-UA"/>
              </w:rPr>
              <w:t>Про енергетичну ефективність будівель</w:t>
            </w:r>
            <w:r w:rsidRPr="00641AB4">
              <w:rPr>
                <w:rFonts w:ascii="Times New Roman" w:hAnsi="Times New Roman"/>
                <w:b/>
                <w:sz w:val="24"/>
                <w:szCs w:val="24"/>
              </w:rPr>
              <w:t>”</w:t>
            </w:r>
          </w:p>
        </w:tc>
      </w:tr>
      <w:tr w:rsidR="00641AB4" w14:paraId="6149F935" w14:textId="77777777" w:rsidTr="00641AB4">
        <w:tc>
          <w:tcPr>
            <w:tcW w:w="7563" w:type="dxa"/>
          </w:tcPr>
          <w:p w14:paraId="67A6CBB0" w14:textId="77777777" w:rsidR="001C0203" w:rsidRPr="001C0203" w:rsidRDefault="001C0203" w:rsidP="001C0203">
            <w:pPr>
              <w:spacing w:after="150" w:line="240" w:lineRule="auto"/>
              <w:ind w:firstLine="450"/>
              <w:jc w:val="both"/>
              <w:rPr>
                <w:rFonts w:ascii="Times New Roman" w:eastAsiaTheme="minorHAnsi" w:hAnsi="Times New Roman"/>
                <w:color w:val="333333"/>
                <w:sz w:val="24"/>
                <w:szCs w:val="24"/>
                <w:lang w:val="en-US"/>
              </w:rPr>
            </w:pPr>
            <w:r w:rsidRPr="001C0203">
              <w:rPr>
                <w:rFonts w:ascii="Times New Roman" w:eastAsiaTheme="minorHAnsi" w:hAnsi="Times New Roman"/>
                <w:b/>
                <w:bCs/>
                <w:color w:val="333333"/>
                <w:sz w:val="24"/>
                <w:szCs w:val="24"/>
                <w:lang w:val="en-US"/>
              </w:rPr>
              <w:t>Стаття 1. </w:t>
            </w:r>
            <w:r w:rsidRPr="001C0203">
              <w:rPr>
                <w:rFonts w:ascii="Times New Roman" w:eastAsiaTheme="minorHAnsi" w:hAnsi="Times New Roman"/>
                <w:color w:val="333333"/>
                <w:sz w:val="24"/>
                <w:szCs w:val="24"/>
                <w:lang w:val="en-US"/>
              </w:rPr>
              <w:t>Визначення термінів</w:t>
            </w:r>
          </w:p>
          <w:p w14:paraId="04E10F2F" w14:textId="77777777" w:rsidR="001C0203" w:rsidRDefault="001C0203" w:rsidP="001C0203">
            <w:pPr>
              <w:pStyle w:val="rvps2"/>
              <w:numPr>
                <w:ilvl w:val="0"/>
                <w:numId w:val="1"/>
              </w:numPr>
              <w:shd w:val="clear" w:color="auto" w:fill="FFFFFF"/>
              <w:spacing w:before="0" w:beforeAutospacing="0" w:after="150" w:afterAutospacing="0"/>
              <w:jc w:val="both"/>
              <w:rPr>
                <w:color w:val="000000"/>
              </w:rPr>
            </w:pPr>
            <w:r w:rsidRPr="001C0203">
              <w:rPr>
                <w:color w:val="000000"/>
              </w:rPr>
              <w:t>У цьому Законі терміни вживаються в такому значенні:</w:t>
            </w:r>
          </w:p>
          <w:p w14:paraId="4910354C" w14:textId="77777777" w:rsidR="001C0203" w:rsidRPr="001C0203" w:rsidRDefault="001C0203" w:rsidP="001C0203">
            <w:pPr>
              <w:pStyle w:val="rvps2"/>
              <w:shd w:val="clear" w:color="auto" w:fill="FFFFFF"/>
              <w:spacing w:before="0" w:beforeAutospacing="0" w:after="150" w:afterAutospacing="0"/>
              <w:ind w:firstLine="450"/>
              <w:jc w:val="both"/>
              <w:rPr>
                <w:color w:val="000000"/>
              </w:rPr>
            </w:pPr>
            <w:r w:rsidRPr="00641AB4">
              <w:rPr>
                <w:color w:val="000000"/>
              </w:rPr>
              <w:t>…</w:t>
            </w:r>
          </w:p>
          <w:p w14:paraId="0DD9796E" w14:textId="77777777" w:rsidR="001C0203" w:rsidRPr="001C0203" w:rsidRDefault="001C0203" w:rsidP="001C0203">
            <w:pPr>
              <w:pStyle w:val="rvps2"/>
              <w:shd w:val="clear" w:color="auto" w:fill="FFFFFF"/>
              <w:spacing w:before="0" w:beforeAutospacing="0" w:after="150" w:afterAutospacing="0"/>
              <w:ind w:firstLine="450"/>
              <w:jc w:val="both"/>
              <w:rPr>
                <w:color w:val="000000"/>
              </w:rPr>
            </w:pPr>
            <w:r w:rsidRPr="001C0203">
              <w:rPr>
                <w:color w:val="000000"/>
              </w:rPr>
              <w:t xml:space="preserve">14) сертифікація енергетичної ефективності - </w:t>
            </w:r>
            <w:r w:rsidRPr="001C0203">
              <w:rPr>
                <w:b/>
                <w:color w:val="000000"/>
              </w:rPr>
              <w:t>вид енергетичного аудиту, під час якого</w:t>
            </w:r>
            <w:r w:rsidRPr="001C0203">
              <w:rPr>
                <w:color w:val="000000"/>
              </w:rPr>
              <w:t xml:space="preserve"> здійснюється аналіз інформації щодо фактичних або проектних характеристик огороджувальних конструкцій та інженерних систем, оцінюється відповідність розрахункового рівня енергетичної ефективності встановленим мінімальним вимогам до енергетичної ефективності будівель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w:t>
            </w:r>
          </w:p>
          <w:p w14:paraId="299B837E" w14:textId="66299FD4" w:rsidR="00641AB4" w:rsidRPr="001C0203" w:rsidRDefault="001C0203" w:rsidP="001C0203">
            <w:pPr>
              <w:pStyle w:val="rvps2"/>
              <w:shd w:val="clear" w:color="auto" w:fill="FFFFFF"/>
              <w:spacing w:before="0" w:beforeAutospacing="0" w:after="150" w:afterAutospacing="0"/>
              <w:ind w:firstLine="450"/>
              <w:jc w:val="both"/>
              <w:rPr>
                <w:color w:val="000000"/>
              </w:rPr>
            </w:pPr>
            <w:r w:rsidRPr="00641AB4">
              <w:rPr>
                <w:color w:val="000000"/>
              </w:rPr>
              <w:t>…</w:t>
            </w:r>
          </w:p>
        </w:tc>
        <w:tc>
          <w:tcPr>
            <w:tcW w:w="7564" w:type="dxa"/>
          </w:tcPr>
          <w:p w14:paraId="72714483" w14:textId="77777777" w:rsidR="001C0203" w:rsidRPr="001C0203" w:rsidRDefault="001C0203" w:rsidP="001C0203">
            <w:pPr>
              <w:spacing w:after="150" w:line="240" w:lineRule="auto"/>
              <w:ind w:firstLine="450"/>
              <w:jc w:val="both"/>
              <w:rPr>
                <w:rFonts w:ascii="Times New Roman" w:eastAsiaTheme="minorHAnsi" w:hAnsi="Times New Roman"/>
                <w:color w:val="333333"/>
                <w:sz w:val="24"/>
                <w:szCs w:val="24"/>
                <w:lang w:val="en-US"/>
              </w:rPr>
            </w:pPr>
            <w:r w:rsidRPr="001C0203">
              <w:rPr>
                <w:rFonts w:ascii="Times New Roman" w:eastAsiaTheme="minorHAnsi" w:hAnsi="Times New Roman"/>
                <w:b/>
                <w:bCs/>
                <w:color w:val="333333"/>
                <w:sz w:val="24"/>
                <w:szCs w:val="24"/>
                <w:lang w:val="en-US"/>
              </w:rPr>
              <w:t>Стаття 1. </w:t>
            </w:r>
            <w:r w:rsidRPr="001C0203">
              <w:rPr>
                <w:rFonts w:ascii="Times New Roman" w:eastAsiaTheme="minorHAnsi" w:hAnsi="Times New Roman"/>
                <w:color w:val="333333"/>
                <w:sz w:val="24"/>
                <w:szCs w:val="24"/>
                <w:lang w:val="en-US"/>
              </w:rPr>
              <w:t>Визначення термінів</w:t>
            </w:r>
          </w:p>
          <w:p w14:paraId="7E5E38A4" w14:textId="31C30257" w:rsidR="001C0203" w:rsidRDefault="001C0203" w:rsidP="001C0203">
            <w:pPr>
              <w:pStyle w:val="rvps2"/>
              <w:numPr>
                <w:ilvl w:val="0"/>
                <w:numId w:val="2"/>
              </w:numPr>
              <w:shd w:val="clear" w:color="auto" w:fill="FFFFFF"/>
              <w:spacing w:before="0" w:beforeAutospacing="0" w:after="150" w:afterAutospacing="0"/>
              <w:jc w:val="both"/>
              <w:rPr>
                <w:color w:val="000000"/>
              </w:rPr>
            </w:pPr>
            <w:bookmarkStart w:id="1" w:name="n6"/>
            <w:bookmarkEnd w:id="1"/>
            <w:r w:rsidRPr="001C0203">
              <w:rPr>
                <w:color w:val="000000"/>
              </w:rPr>
              <w:t>У цьому Законі терміни вживаються в такому значенні:</w:t>
            </w:r>
          </w:p>
          <w:p w14:paraId="646FD81F" w14:textId="5E815B86" w:rsidR="001C0203" w:rsidRPr="001C0203" w:rsidRDefault="001C0203" w:rsidP="001C0203">
            <w:pPr>
              <w:pStyle w:val="rvps2"/>
              <w:shd w:val="clear" w:color="auto" w:fill="FFFFFF"/>
              <w:spacing w:before="0" w:beforeAutospacing="0" w:after="150" w:afterAutospacing="0"/>
              <w:ind w:firstLine="450"/>
              <w:jc w:val="both"/>
              <w:rPr>
                <w:color w:val="000000"/>
              </w:rPr>
            </w:pPr>
            <w:r w:rsidRPr="00641AB4">
              <w:rPr>
                <w:color w:val="000000"/>
              </w:rPr>
              <w:t>…</w:t>
            </w:r>
          </w:p>
          <w:p w14:paraId="13670A60" w14:textId="3E612B76" w:rsidR="001C0203" w:rsidRPr="001C0203" w:rsidRDefault="001C0203" w:rsidP="001C0203">
            <w:pPr>
              <w:pStyle w:val="rvps2"/>
              <w:shd w:val="clear" w:color="auto" w:fill="FFFFFF"/>
              <w:spacing w:before="0" w:beforeAutospacing="0" w:after="150" w:afterAutospacing="0"/>
              <w:ind w:firstLine="450"/>
              <w:jc w:val="both"/>
              <w:rPr>
                <w:color w:val="000000"/>
              </w:rPr>
            </w:pPr>
            <w:r w:rsidRPr="001C0203">
              <w:rPr>
                <w:color w:val="000000"/>
              </w:rPr>
              <w:t xml:space="preserve">14) сертифікація енергетичної ефективності - </w:t>
            </w:r>
            <w:r w:rsidRPr="001C0203">
              <w:rPr>
                <w:b/>
              </w:rPr>
              <w:t>визначення енергетичних характеристик будівлі, під час якої</w:t>
            </w:r>
            <w:r w:rsidRPr="001C0203">
              <w:rPr>
                <w:color w:val="000000"/>
              </w:rPr>
              <w:t xml:space="preserve"> здійснюється аналіз інформації щодо фактичних або проектних характеристик огороджувальних конструкцій та інженерних систем, оцінюється відповідність розрахункового рівня енергетичної ефективності встановленим мінімальним вимогам до енергетичної ефективності будівель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w:t>
            </w:r>
          </w:p>
          <w:p w14:paraId="4E104593" w14:textId="7435D173" w:rsidR="00641AB4" w:rsidRPr="001C0203" w:rsidRDefault="001C0203" w:rsidP="001C0203">
            <w:pPr>
              <w:pStyle w:val="rvps2"/>
              <w:shd w:val="clear" w:color="auto" w:fill="FFFFFF"/>
              <w:spacing w:before="0" w:beforeAutospacing="0" w:after="150" w:afterAutospacing="0"/>
              <w:ind w:firstLine="450"/>
              <w:jc w:val="both"/>
              <w:rPr>
                <w:color w:val="000000"/>
              </w:rPr>
            </w:pPr>
            <w:r w:rsidRPr="00641AB4">
              <w:rPr>
                <w:color w:val="000000"/>
              </w:rPr>
              <w:t>…</w:t>
            </w:r>
          </w:p>
        </w:tc>
      </w:tr>
      <w:tr w:rsidR="00641AB4" w:rsidRPr="004325E7" w14:paraId="45B289D1" w14:textId="77777777" w:rsidTr="00641AB4">
        <w:tc>
          <w:tcPr>
            <w:tcW w:w="7563" w:type="dxa"/>
          </w:tcPr>
          <w:p w14:paraId="322BD002"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rStyle w:val="rvts9"/>
                <w:b/>
                <w:bCs/>
                <w:color w:val="000000"/>
              </w:rPr>
              <w:t>Стаття 7.</w:t>
            </w:r>
            <w:r w:rsidRPr="00641AB4">
              <w:rPr>
                <w:color w:val="000000"/>
              </w:rPr>
              <w:t> Сертифікація енергетичної ефективності</w:t>
            </w:r>
          </w:p>
          <w:p w14:paraId="55D7BA29"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t>1. Сертифікація енергетичної ефективності є обов’язковою для:</w:t>
            </w:r>
          </w:p>
          <w:p w14:paraId="500DA424"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t>…</w:t>
            </w:r>
          </w:p>
          <w:p w14:paraId="365ECC79"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lastRenderedPageBreak/>
              <w:t xml:space="preserve">2) будівель державної власності з опалюваною площею понад 250 квадратних метрів, які часто відвідують громадяни і </w:t>
            </w:r>
            <w:r w:rsidRPr="00641AB4">
              <w:rPr>
                <w:b/>
                <w:color w:val="000000"/>
              </w:rPr>
              <w:t>у всіх приміщеннях</w:t>
            </w:r>
            <w:r w:rsidRPr="00641AB4">
              <w:rPr>
                <w:color w:val="000000"/>
              </w:rPr>
              <w:t xml:space="preserve"> яких розташовані органи державної влади;</w:t>
            </w:r>
          </w:p>
          <w:p w14:paraId="6DD71E2A"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t>…</w:t>
            </w:r>
          </w:p>
          <w:p w14:paraId="41793343" w14:textId="77777777" w:rsidR="001C0203" w:rsidRPr="00282A05" w:rsidRDefault="001C0203" w:rsidP="001C0203">
            <w:pPr>
              <w:spacing w:after="150" w:line="240" w:lineRule="auto"/>
              <w:ind w:firstLine="450"/>
              <w:jc w:val="both"/>
              <w:rPr>
                <w:rFonts w:ascii="Times New Roman" w:eastAsiaTheme="minorHAnsi" w:hAnsi="Times New Roman"/>
                <w:b/>
                <w:color w:val="333333"/>
                <w:sz w:val="24"/>
                <w:szCs w:val="24"/>
                <w:lang w:val="uk-UA"/>
              </w:rPr>
            </w:pPr>
            <w:r w:rsidRPr="00282A05">
              <w:rPr>
                <w:rFonts w:ascii="Times New Roman" w:eastAsiaTheme="minorHAnsi" w:hAnsi="Times New Roman"/>
                <w:color w:val="333333"/>
                <w:sz w:val="24"/>
                <w:szCs w:val="24"/>
                <w:lang w:val="uk-UA"/>
              </w:rPr>
              <w:t xml:space="preserve">5. Сертифікація енергетичної ефективності будівель державної власності з опалюваною площею понад 250 квадратних метрів, які часто відвідують громадяни </w:t>
            </w:r>
            <w:r w:rsidRPr="00282A05">
              <w:rPr>
                <w:rFonts w:ascii="Times New Roman" w:eastAsiaTheme="minorHAnsi" w:hAnsi="Times New Roman"/>
                <w:b/>
                <w:color w:val="333333"/>
                <w:sz w:val="24"/>
                <w:szCs w:val="24"/>
                <w:lang w:val="uk-UA"/>
              </w:rPr>
              <w:t>і у всіх приміщеннях яких розташовані органи державної влади,</w:t>
            </w:r>
            <w:r w:rsidRPr="00282A05">
              <w:rPr>
                <w:rFonts w:ascii="Times New Roman" w:eastAsiaTheme="minorHAnsi" w:hAnsi="Times New Roman"/>
                <w:color w:val="333333"/>
                <w:sz w:val="24"/>
                <w:szCs w:val="24"/>
                <w:lang w:val="uk-UA"/>
              </w:rPr>
              <w:t xml:space="preserve"> здійснюється на договірних засадах </w:t>
            </w:r>
            <w:r w:rsidRPr="00282A05">
              <w:rPr>
                <w:rFonts w:ascii="Times New Roman" w:eastAsiaTheme="minorHAnsi" w:hAnsi="Times New Roman"/>
                <w:b/>
                <w:color w:val="333333"/>
                <w:sz w:val="24"/>
                <w:szCs w:val="24"/>
                <w:lang w:val="uk-UA"/>
              </w:rPr>
              <w:t>на замовлення таких органів.</w:t>
            </w:r>
          </w:p>
          <w:p w14:paraId="61B057EC"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lang w:val="uk-UA"/>
              </w:rPr>
            </w:pPr>
            <w:bookmarkStart w:id="2" w:name="n83"/>
            <w:bookmarkEnd w:id="2"/>
            <w:r w:rsidRPr="00282A05">
              <w:rPr>
                <w:rFonts w:ascii="Times New Roman" w:eastAsiaTheme="minorHAnsi" w:hAnsi="Times New Roman"/>
                <w:color w:val="333333"/>
                <w:sz w:val="24"/>
                <w:szCs w:val="24"/>
                <w:lang w:val="uk-UA"/>
              </w:rPr>
              <w:t xml:space="preserve">Сертифікація енергетичної ефективності будівель з опалюваною площею понад 250 квадратних метрів, у всіх приміщеннях яких розташовані органи місцевого самоврядування </w:t>
            </w:r>
            <w:r w:rsidRPr="00282A05">
              <w:rPr>
                <w:rFonts w:ascii="Times New Roman" w:eastAsiaTheme="minorHAnsi" w:hAnsi="Times New Roman"/>
                <w:b/>
                <w:color w:val="333333"/>
                <w:sz w:val="24"/>
                <w:szCs w:val="24"/>
                <w:lang w:val="uk-UA"/>
              </w:rPr>
              <w:t>(у разі здійснення ними термомодернізації таких будівель)</w:t>
            </w:r>
            <w:r w:rsidRPr="00282A05">
              <w:rPr>
                <w:rFonts w:ascii="Times New Roman" w:eastAsiaTheme="minorHAnsi" w:hAnsi="Times New Roman"/>
                <w:color w:val="333333"/>
                <w:sz w:val="24"/>
                <w:szCs w:val="24"/>
                <w:lang w:val="uk-UA"/>
              </w:rPr>
              <w:t>, здійснюється на договірних засадах та за рахунок замовника термомодернізації.</w:t>
            </w:r>
          </w:p>
          <w:p w14:paraId="6DEA5A2A" w14:textId="77777777" w:rsidR="00641AB4" w:rsidRDefault="00641AB4" w:rsidP="00641AB4">
            <w:pPr>
              <w:spacing w:line="240" w:lineRule="auto"/>
              <w:rPr>
                <w:rFonts w:ascii="Times New Roman" w:hAnsi="Times New Roman"/>
                <w:sz w:val="24"/>
                <w:szCs w:val="24"/>
                <w:lang w:val="uk-UA"/>
              </w:rPr>
            </w:pPr>
          </w:p>
        </w:tc>
        <w:tc>
          <w:tcPr>
            <w:tcW w:w="7564" w:type="dxa"/>
          </w:tcPr>
          <w:p w14:paraId="5479C4AF"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rStyle w:val="rvts9"/>
                <w:b/>
                <w:bCs/>
                <w:color w:val="000000"/>
              </w:rPr>
              <w:lastRenderedPageBreak/>
              <w:t>Стаття 7.</w:t>
            </w:r>
            <w:r w:rsidRPr="00641AB4">
              <w:rPr>
                <w:color w:val="000000"/>
              </w:rPr>
              <w:t> Сертифікація енергетичної ефективності</w:t>
            </w:r>
          </w:p>
          <w:p w14:paraId="5E7B587F"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t>1. Сертифікація енергетичної ефективності є обов’язковою для:</w:t>
            </w:r>
          </w:p>
          <w:p w14:paraId="3CFEE1B2"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t>…</w:t>
            </w:r>
          </w:p>
          <w:p w14:paraId="1925302D" w14:textId="77777777" w:rsidR="000F315B" w:rsidRPr="00641AB4" w:rsidRDefault="000F315B" w:rsidP="000F315B">
            <w:pPr>
              <w:pStyle w:val="rvps2"/>
              <w:shd w:val="clear" w:color="auto" w:fill="FFFFFF"/>
              <w:spacing w:before="0" w:beforeAutospacing="0" w:after="150" w:afterAutospacing="0"/>
              <w:ind w:firstLine="450"/>
              <w:jc w:val="both"/>
              <w:rPr>
                <w:color w:val="000000"/>
              </w:rPr>
            </w:pPr>
            <w:r w:rsidRPr="00641AB4">
              <w:rPr>
                <w:color w:val="000000"/>
              </w:rPr>
              <w:lastRenderedPageBreak/>
              <w:t xml:space="preserve">2) будівель державної власності з опалюваною площею понад 250 квадратних метрів, які часто відвідують громадяни і </w:t>
            </w:r>
            <w:r w:rsidRPr="00641AB4">
              <w:rPr>
                <w:b/>
              </w:rPr>
              <w:t>хоча б в одному приміщенні</w:t>
            </w:r>
            <w:r w:rsidRPr="00641AB4">
              <w:rPr>
                <w:color w:val="000000"/>
              </w:rPr>
              <w:t xml:space="preserve"> яких розташовані органи державної влади;</w:t>
            </w:r>
          </w:p>
          <w:p w14:paraId="42B5DEE7" w14:textId="77777777" w:rsidR="000F315B" w:rsidRPr="001C0203" w:rsidRDefault="000F315B" w:rsidP="000F315B">
            <w:pPr>
              <w:pStyle w:val="rvps2"/>
              <w:shd w:val="clear" w:color="auto" w:fill="FFFFFF"/>
              <w:spacing w:before="0" w:beforeAutospacing="0" w:after="150" w:afterAutospacing="0"/>
              <w:ind w:firstLine="450"/>
              <w:jc w:val="both"/>
              <w:rPr>
                <w:color w:val="000000"/>
              </w:rPr>
            </w:pPr>
            <w:r w:rsidRPr="001C0203">
              <w:rPr>
                <w:color w:val="000000"/>
              </w:rPr>
              <w:t>…</w:t>
            </w:r>
          </w:p>
          <w:p w14:paraId="5635125E" w14:textId="77777777" w:rsidR="000F315B" w:rsidRPr="00282A05" w:rsidRDefault="000F315B" w:rsidP="001C0203">
            <w:pPr>
              <w:spacing w:line="240" w:lineRule="auto"/>
              <w:ind w:firstLine="709"/>
              <w:jc w:val="both"/>
              <w:rPr>
                <w:rFonts w:ascii="Times New Roman" w:hAnsi="Times New Roman"/>
                <w:b/>
                <w:sz w:val="24"/>
                <w:szCs w:val="24"/>
                <w:lang w:val="uk-UA"/>
              </w:rPr>
            </w:pPr>
            <w:r w:rsidRPr="00282A05">
              <w:rPr>
                <w:rFonts w:ascii="Times New Roman" w:hAnsi="Times New Roman"/>
                <w:sz w:val="24"/>
                <w:szCs w:val="24"/>
                <w:lang w:val="uk-UA"/>
              </w:rPr>
              <w:t xml:space="preserve">5. Сертифікація енергетичної ефективності будівель державної власності, в яких розміщені органи державної влади, що займають понад 250 квадратних метрів опалювальної площі, та які часто відвідують громадяни, здійснюється на договірних засадах та </w:t>
            </w:r>
            <w:r w:rsidRPr="00282A05">
              <w:rPr>
                <w:rFonts w:ascii="Times New Roman" w:hAnsi="Times New Roman"/>
                <w:b/>
                <w:sz w:val="24"/>
                <w:szCs w:val="24"/>
                <w:lang w:val="uk-UA"/>
              </w:rPr>
              <w:t>за рахунок замовника термомодернізації.</w:t>
            </w:r>
          </w:p>
          <w:p w14:paraId="4D0E80CE" w14:textId="30CD3485" w:rsidR="000F315B" w:rsidRPr="001C0203" w:rsidRDefault="000F315B" w:rsidP="000F315B">
            <w:pPr>
              <w:pStyle w:val="rvps2"/>
              <w:shd w:val="clear" w:color="auto" w:fill="FFFFFF"/>
              <w:spacing w:before="0" w:beforeAutospacing="0" w:after="150" w:afterAutospacing="0"/>
              <w:ind w:firstLine="450"/>
              <w:jc w:val="both"/>
            </w:pPr>
            <w:r w:rsidRPr="001C0203">
              <w:t xml:space="preserve">Сертифікація енергетичної ефективності будівель державної та/або комунальної власності, в яких розміщені органи місцевого самоврядування, що займають понад 250 квадратних метрів опалювальної площі, </w:t>
            </w:r>
            <w:r w:rsidRPr="001C0203">
              <w:rPr>
                <w:b/>
              </w:rPr>
              <w:t>та які часто відвідують громадяни</w:t>
            </w:r>
            <w:r w:rsidRPr="001C0203">
              <w:t>, здійснюється на договірних засадах та за рахунок замовника термомодернізації</w:t>
            </w:r>
            <w:r w:rsidR="001C0203" w:rsidRPr="001C0203">
              <w:t>.</w:t>
            </w:r>
          </w:p>
          <w:p w14:paraId="5291FD62" w14:textId="77777777" w:rsidR="00641AB4" w:rsidRDefault="00641AB4" w:rsidP="00641AB4">
            <w:pPr>
              <w:spacing w:line="240" w:lineRule="auto"/>
              <w:rPr>
                <w:rFonts w:ascii="Times New Roman" w:hAnsi="Times New Roman"/>
                <w:sz w:val="24"/>
                <w:szCs w:val="24"/>
                <w:lang w:val="uk-UA"/>
              </w:rPr>
            </w:pPr>
          </w:p>
        </w:tc>
      </w:tr>
      <w:tr w:rsidR="00641AB4" w14:paraId="40367F25" w14:textId="77777777" w:rsidTr="00641AB4">
        <w:tc>
          <w:tcPr>
            <w:tcW w:w="7563" w:type="dxa"/>
          </w:tcPr>
          <w:p w14:paraId="6D5E025F" w14:textId="63D37300" w:rsidR="00641AB4" w:rsidRDefault="000F315B" w:rsidP="00641AB4">
            <w:pPr>
              <w:spacing w:line="240" w:lineRule="auto"/>
              <w:rPr>
                <w:rFonts w:ascii="Times New Roman" w:hAnsi="Times New Roman"/>
                <w:sz w:val="24"/>
                <w:szCs w:val="24"/>
                <w:lang w:val="uk-UA"/>
              </w:rPr>
            </w:pPr>
            <w:r w:rsidRPr="00641AB4">
              <w:rPr>
                <w:rFonts w:ascii="Times New Roman" w:hAnsi="Times New Roman"/>
                <w:b/>
                <w:sz w:val="24"/>
                <w:szCs w:val="24"/>
                <w:lang w:val="uk-UA"/>
              </w:rPr>
              <w:lastRenderedPageBreak/>
              <w:t>Стаття відсутня.</w:t>
            </w:r>
          </w:p>
        </w:tc>
        <w:tc>
          <w:tcPr>
            <w:tcW w:w="7564" w:type="dxa"/>
          </w:tcPr>
          <w:p w14:paraId="781C14D4" w14:textId="1DD38177" w:rsidR="000F315B" w:rsidRPr="000F315B" w:rsidRDefault="000F315B" w:rsidP="000F315B">
            <w:pPr>
              <w:pStyle w:val="rvps2"/>
              <w:shd w:val="clear" w:color="auto" w:fill="FFFFFF"/>
              <w:spacing w:after="150"/>
              <w:ind w:firstLine="450"/>
              <w:jc w:val="both"/>
              <w:rPr>
                <w:b/>
                <w:color w:val="000000"/>
              </w:rPr>
            </w:pPr>
            <w:r w:rsidRPr="000F315B">
              <w:rPr>
                <w:b/>
                <w:color w:val="000000"/>
              </w:rPr>
              <w:t>Стаття 15</w:t>
            </w:r>
            <w:r w:rsidRPr="000F315B">
              <w:rPr>
                <w:b/>
                <w:color w:val="000000"/>
                <w:vertAlign w:val="superscript"/>
              </w:rPr>
              <w:t>1</w:t>
            </w:r>
            <w:r w:rsidRPr="000F315B">
              <w:rPr>
                <w:b/>
                <w:color w:val="000000"/>
              </w:rPr>
              <w:t>. Стратегія термомодернізації будівель</w:t>
            </w:r>
          </w:p>
          <w:p w14:paraId="685805C5" w14:textId="77777777" w:rsidR="000F315B" w:rsidRPr="00282A05" w:rsidRDefault="000F315B" w:rsidP="000F315B">
            <w:pPr>
              <w:pStyle w:val="a9"/>
              <w:ind w:firstLine="546"/>
              <w:jc w:val="both"/>
              <w:rPr>
                <w:rFonts w:ascii="Times New Roman" w:hAnsi="Times New Roman"/>
                <w:b/>
                <w:sz w:val="24"/>
                <w:szCs w:val="24"/>
                <w:lang w:val="uk-UA"/>
              </w:rPr>
            </w:pPr>
            <w:r w:rsidRPr="00282A05">
              <w:rPr>
                <w:lang w:val="uk-UA"/>
              </w:rPr>
              <w:t>1</w:t>
            </w:r>
            <w:r w:rsidRPr="00282A05">
              <w:rPr>
                <w:rFonts w:ascii="Times New Roman" w:hAnsi="Times New Roman"/>
                <w:b/>
                <w:sz w:val="24"/>
                <w:szCs w:val="24"/>
                <w:lang w:val="uk-UA"/>
              </w:rPr>
              <w:t>. Стратегія термомодернізації будівель (далі - Стратегія) розробляється центральним органом виконавчої влади, що забезпечує формування державної політики у сфері забезпечення енергетичної ефективності будівель та затверджується Кабінетом Міністрів України.</w:t>
            </w:r>
          </w:p>
          <w:p w14:paraId="13E2410B" w14:textId="77777777" w:rsidR="000F315B" w:rsidRPr="00282A05" w:rsidRDefault="000F315B" w:rsidP="000F315B">
            <w:pPr>
              <w:pStyle w:val="a9"/>
              <w:ind w:firstLine="546"/>
              <w:jc w:val="both"/>
              <w:rPr>
                <w:rFonts w:ascii="Times New Roman" w:hAnsi="Times New Roman"/>
                <w:b/>
                <w:sz w:val="24"/>
                <w:szCs w:val="24"/>
                <w:lang w:val="uk-UA"/>
              </w:rPr>
            </w:pPr>
            <w:r w:rsidRPr="00282A05">
              <w:rPr>
                <w:rFonts w:ascii="Times New Roman" w:hAnsi="Times New Roman"/>
                <w:b/>
                <w:sz w:val="24"/>
                <w:szCs w:val="24"/>
                <w:lang w:val="uk-UA"/>
              </w:rPr>
              <w:t xml:space="preserve">Стратегія затверджується на період до 2050 року, поширюється на житлові та нежитлові будівлі усіх форм власності (далі – національний фонд будівель), містить довгострокові та проміжні цілі з підвищення енергетичної ефективності будівель та зниження викидів парникових газів. </w:t>
            </w:r>
          </w:p>
          <w:p w14:paraId="69E5FABE"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2. Стратегія містить:</w:t>
            </w:r>
          </w:p>
          <w:p w14:paraId="36D12A42"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1)</w:t>
            </w:r>
            <w:r w:rsidRPr="000F315B">
              <w:rPr>
                <w:rFonts w:ascii="Times New Roman" w:hAnsi="Times New Roman"/>
                <w:b/>
                <w:sz w:val="24"/>
                <w:szCs w:val="24"/>
              </w:rPr>
              <w:tab/>
              <w:t>огляд національного фонду будівель;</w:t>
            </w:r>
          </w:p>
          <w:p w14:paraId="114EFAA6"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2)</w:t>
            </w:r>
            <w:r w:rsidRPr="000F315B">
              <w:rPr>
                <w:rFonts w:ascii="Times New Roman" w:hAnsi="Times New Roman"/>
                <w:b/>
                <w:sz w:val="24"/>
                <w:szCs w:val="24"/>
              </w:rPr>
              <w:tab/>
              <w:t>аналіз проблем у сфері забезпечення енергетичної ефективності будівель;</w:t>
            </w:r>
          </w:p>
          <w:p w14:paraId="1DF26F86"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lastRenderedPageBreak/>
              <w:t>3)</w:t>
            </w:r>
            <w:r w:rsidRPr="000F315B">
              <w:rPr>
                <w:rFonts w:ascii="Times New Roman" w:hAnsi="Times New Roman"/>
                <w:b/>
                <w:sz w:val="24"/>
                <w:szCs w:val="24"/>
              </w:rPr>
              <w:tab/>
              <w:t>довгострокові та проміжні цілі з підвищення енергетичної ефективності будівель та зниження викидів парникових газів;</w:t>
            </w:r>
          </w:p>
          <w:p w14:paraId="78AD2A83"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4)</w:t>
            </w:r>
            <w:r w:rsidRPr="000F315B">
              <w:rPr>
                <w:rFonts w:ascii="Times New Roman" w:hAnsi="Times New Roman"/>
                <w:b/>
                <w:sz w:val="24"/>
                <w:szCs w:val="24"/>
              </w:rPr>
              <w:tab/>
              <w:t>напрями державної політики та заходи, які направлені на стимулювання до здійснення термомодернізації будівель, в тому числі поетапної термомодернізації, створення умов та запровадження необхідних механізмів для залучення інвестицій у сфері забезпечення енергетичної ефективності будівель, просування технологій для управління енергоспоживанням в будівлях та в територіальних громадах, покращення якості професійної (професійно-технічної) підготовки, перепідготовки і підвищення кваліфікації осіб в сферах будівництва та забезпечення енергетичної ефективності будівель;</w:t>
            </w:r>
          </w:p>
          <w:p w14:paraId="2644E4B1"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5)</w:t>
            </w:r>
            <w:r w:rsidRPr="000F315B">
              <w:rPr>
                <w:rFonts w:ascii="Times New Roman" w:hAnsi="Times New Roman"/>
                <w:b/>
                <w:sz w:val="24"/>
                <w:szCs w:val="24"/>
              </w:rPr>
              <w:tab/>
              <w:t>розрахунок очікуваного обсягу економії енергії, обсягу зниження викидів парникових газів та інших результатів впровадження енергоефективних заходів, які пов’язані з покращенням здоров’я людей, безпеки та якості повітря в будівлях;</w:t>
            </w:r>
          </w:p>
          <w:p w14:paraId="3C0632F1"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6)</w:t>
            </w:r>
            <w:r w:rsidRPr="000F315B">
              <w:rPr>
                <w:rFonts w:ascii="Times New Roman" w:hAnsi="Times New Roman"/>
                <w:b/>
                <w:sz w:val="24"/>
                <w:szCs w:val="24"/>
              </w:rPr>
              <w:tab/>
              <w:t>інші відомості та заходи, які направлені на досягнення цілей встановлених в Стратегії.</w:t>
            </w:r>
          </w:p>
          <w:p w14:paraId="54DD1CD1"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Стратегія переглядається кожні три роки з урахуванням результатів моніторингу Стратегії. План заходів щодо її реалізації повинен бути невід'ємною частиною Стратегії. Стратегія опубліковується на офіційному веб-сайті центрального органу виконавчої влади, що забезпечує формування державної політики у сфері забезпечення енергетичної ефективності будівель, та оновлюється кожні три роки. Стратегія і надсилається до Секретаріату Енергетичного Співтовариства.</w:t>
            </w:r>
          </w:p>
          <w:p w14:paraId="41A772E4"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3. Центральний орган виконавчої влади, що забезпечує реалізацію державної політики у сфері ефективного використання паливно-енергетичних ресурсів, енергозбереження, відновлюваних джерел енергії та альтернативних видів палива здійснює моніторинг реалізації Стратегії. Порядок здійснення моніторингу затверджується Кабінетом Міністрів України.</w:t>
            </w:r>
          </w:p>
          <w:p w14:paraId="4FEF5D0F"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 xml:space="preserve">4. З метою здійснення моніторингу реалізації Стратегії та систематизації даних щодо енергетичної ефективності будівель створюється база даних національного фонду будівель (далі - База даних будівель). </w:t>
            </w:r>
          </w:p>
          <w:p w14:paraId="2CD1E630"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lastRenderedPageBreak/>
              <w:t>База даних будівель формується та ведеться центральним органом виконавчої влади, що забезпечує реалізацію державної політики у сфері забезпечення енергетичної ефективності будівель, та оприлюднюється на офіційному веб-сайті зазначеного органу. Доступ до бази даних будівель є безоплатним.</w:t>
            </w:r>
          </w:p>
          <w:p w14:paraId="0B787BD5"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З моменту створення Національної системи моніторингу та верифікації економії енергії інформація з Бази даних будівель включається до цієї системи, формується та ведеться відповідно до законодавства.</w:t>
            </w:r>
          </w:p>
          <w:p w14:paraId="28335D4B"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Центральні органи виконавчої влади, місцеві органи виконавчої влади, органи місцевого самоврядування, суб’єкти господарювання, надають центральному органу виконавчої влади, що забезпечує реалізацію державної політики у сфері забезпечення енергетичної ефективності необхідні відомості для формування та ведення Бази даних будівель.</w:t>
            </w:r>
          </w:p>
          <w:p w14:paraId="4A8DE27C" w14:textId="60A5924C" w:rsidR="00641AB4" w:rsidRPr="000F315B" w:rsidRDefault="000F315B" w:rsidP="000F315B">
            <w:pPr>
              <w:pStyle w:val="a9"/>
              <w:ind w:firstLine="546"/>
              <w:jc w:val="both"/>
              <w:rPr>
                <w:lang w:val="uk-UA"/>
              </w:rPr>
            </w:pPr>
            <w:r w:rsidRPr="000F315B">
              <w:rPr>
                <w:rFonts w:ascii="Times New Roman" w:hAnsi="Times New Roman"/>
                <w:b/>
                <w:sz w:val="24"/>
                <w:szCs w:val="24"/>
              </w:rPr>
              <w:t>Порядок формування та ведення Бази даних будівель, її оприлюднення та обміну інформації з базою даних енергетичних сертифікатів затверджується Кабінетом Міністрів України. У порядку формування та ведення Бази даних будівель встановлюються вимоги до процедури збору та обробки інформації про енергетичні, експлуатаційні та інші характеристики будівель, а також етапність її наповнення.</w:t>
            </w:r>
          </w:p>
        </w:tc>
      </w:tr>
      <w:tr w:rsidR="00641AB4" w14:paraId="7C8785AC" w14:textId="77777777" w:rsidTr="00641AB4">
        <w:tc>
          <w:tcPr>
            <w:tcW w:w="7563" w:type="dxa"/>
          </w:tcPr>
          <w:p w14:paraId="05B88EF4" w14:textId="41F15EED" w:rsidR="00641AB4" w:rsidRDefault="000F315B" w:rsidP="00641AB4">
            <w:pPr>
              <w:spacing w:line="240" w:lineRule="auto"/>
              <w:rPr>
                <w:rFonts w:ascii="Times New Roman" w:hAnsi="Times New Roman"/>
                <w:sz w:val="24"/>
                <w:szCs w:val="24"/>
                <w:lang w:val="uk-UA"/>
              </w:rPr>
            </w:pPr>
            <w:r w:rsidRPr="00641AB4">
              <w:rPr>
                <w:rFonts w:ascii="Times New Roman" w:hAnsi="Times New Roman"/>
                <w:b/>
                <w:sz w:val="24"/>
                <w:szCs w:val="24"/>
                <w:lang w:val="uk-UA"/>
              </w:rPr>
              <w:lastRenderedPageBreak/>
              <w:t>Стаття відсутня.</w:t>
            </w:r>
          </w:p>
        </w:tc>
        <w:tc>
          <w:tcPr>
            <w:tcW w:w="7564" w:type="dxa"/>
          </w:tcPr>
          <w:p w14:paraId="7F01E0D4" w14:textId="6A0C47C6"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Стаття 15</w:t>
            </w:r>
            <w:r w:rsidRPr="000F315B">
              <w:rPr>
                <w:rFonts w:ascii="Times New Roman" w:hAnsi="Times New Roman"/>
                <w:b/>
                <w:sz w:val="24"/>
                <w:szCs w:val="24"/>
                <w:vertAlign w:val="superscript"/>
              </w:rPr>
              <w:t>2</w:t>
            </w:r>
            <w:r w:rsidRPr="000F315B">
              <w:rPr>
                <w:rFonts w:ascii="Times New Roman" w:hAnsi="Times New Roman"/>
                <w:b/>
                <w:sz w:val="24"/>
                <w:szCs w:val="24"/>
              </w:rPr>
              <w:t>. Зразкова роль центральних органів виконавчої влади у сфері забезпечення енергетичної ефективності будівель</w:t>
            </w:r>
          </w:p>
          <w:p w14:paraId="061B32B5"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1. З метою забезпечення зразкової ролі центральних органів виконавчої влади у підвищенні енергетичної ефективності будівель, Кабінет Міністрів України встановлює цільовий показник економії енергії в будівлях центральних органів виконавчої влади (далі – цільовий показник економії енергії в будівлях).</w:t>
            </w:r>
          </w:p>
          <w:p w14:paraId="5C750FCF"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 xml:space="preserve">Цільовий показник економії енергії в будівлях розраховується в абсолютних значеннях первинного споживання енергії та кінцевого споживання енергії центральним органом виконавчої влади, що забезпечує формування державної політики у сфері забезпечення енергетичної ефективності будівель, та повинен становити не менш, ніж обсяг щорічної економії енергії, який можна було б отримати в результаті термомодернізації 1% </w:t>
            </w:r>
            <w:r w:rsidRPr="000F315B">
              <w:rPr>
                <w:rFonts w:ascii="Times New Roman" w:hAnsi="Times New Roman"/>
                <w:b/>
                <w:sz w:val="24"/>
                <w:szCs w:val="24"/>
              </w:rPr>
              <w:lastRenderedPageBreak/>
              <w:t>загальної площі таких будівель на рік з метою приведення рівня енергетичної ефективності будівель у відповідність мінімальним вимогам до енергетичної ефективності.</w:t>
            </w:r>
          </w:p>
          <w:p w14:paraId="11EC7209"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Методика розрахунку цільового показника економії енергії в будівлях центральних органів виконавчої влади розробляється та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 з урахуванням вимог актів законодавства Європейського Союзу, нормативно-правової бази Енергетичного Співтовариства.</w:t>
            </w:r>
          </w:p>
          <w:p w14:paraId="36DF8415"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2. Будівлі, на які поширюється вимога по досягненню цільового показника економії енергії в будівлях, одночасно відповідають таким ознакам:</w:t>
            </w:r>
          </w:p>
          <w:p w14:paraId="37DAF80A"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1)</w:t>
            </w:r>
            <w:r w:rsidRPr="000F315B">
              <w:rPr>
                <w:rFonts w:ascii="Times New Roman" w:hAnsi="Times New Roman"/>
                <w:b/>
                <w:sz w:val="24"/>
                <w:szCs w:val="24"/>
              </w:rPr>
              <w:tab/>
              <w:t>перебувають у державній чи комунальній власності;</w:t>
            </w:r>
          </w:p>
          <w:p w14:paraId="666A6C60"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2)</w:t>
            </w:r>
            <w:r w:rsidRPr="000F315B">
              <w:rPr>
                <w:rFonts w:ascii="Times New Roman" w:hAnsi="Times New Roman"/>
                <w:b/>
                <w:sz w:val="24"/>
                <w:szCs w:val="24"/>
              </w:rPr>
              <w:tab/>
              <w:t>в них розміщується апарат центральних органів виконавчої влади;</w:t>
            </w:r>
          </w:p>
          <w:p w14:paraId="1BCC896D"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3)</w:t>
            </w:r>
            <w:r w:rsidRPr="000F315B">
              <w:rPr>
                <w:rFonts w:ascii="Times New Roman" w:hAnsi="Times New Roman"/>
                <w:b/>
                <w:sz w:val="24"/>
                <w:szCs w:val="24"/>
              </w:rPr>
              <w:tab/>
              <w:t>опалювана площа складає більше 250 квадратних метрів;</w:t>
            </w:r>
          </w:p>
          <w:p w14:paraId="10C0D951"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4)</w:t>
            </w:r>
            <w:r w:rsidRPr="000F315B">
              <w:rPr>
                <w:rFonts w:ascii="Times New Roman" w:hAnsi="Times New Roman"/>
                <w:b/>
                <w:sz w:val="24"/>
                <w:szCs w:val="24"/>
              </w:rPr>
              <w:tab/>
              <w:t>рівень енергетичної ефективності будівель станом на дату набрання чинності цим Законом не відповідає мінімальним вимогам до енергетичної ефективності будівель.</w:t>
            </w:r>
          </w:p>
          <w:p w14:paraId="515DAD2D"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3. Вимога по досягненню цільового показника економії енергії в будівлях не поширюється на будівлі:</w:t>
            </w:r>
          </w:p>
          <w:p w14:paraId="11C96C65"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1)</w:t>
            </w:r>
            <w:r w:rsidRPr="000F315B">
              <w:rPr>
                <w:rFonts w:ascii="Times New Roman" w:hAnsi="Times New Roman"/>
                <w:b/>
                <w:sz w:val="24"/>
                <w:szCs w:val="24"/>
              </w:rPr>
              <w:tab/>
              <w:t>які віднесені до об’єктів культурної спадщини;</w:t>
            </w:r>
          </w:p>
          <w:p w14:paraId="77501862"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2)</w:t>
            </w:r>
            <w:r w:rsidRPr="000F315B">
              <w:rPr>
                <w:rFonts w:ascii="Times New Roman" w:hAnsi="Times New Roman"/>
                <w:b/>
                <w:sz w:val="24"/>
                <w:szCs w:val="24"/>
              </w:rPr>
              <w:tab/>
              <w:t>які використовуються під час богослужінь, релігійних обрядів і церемоній, навчання релігії;</w:t>
            </w:r>
          </w:p>
          <w:p w14:paraId="56C4628F"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3)</w:t>
            </w:r>
            <w:r w:rsidRPr="000F315B">
              <w:rPr>
                <w:rFonts w:ascii="Times New Roman" w:hAnsi="Times New Roman"/>
                <w:b/>
                <w:sz w:val="24"/>
                <w:szCs w:val="24"/>
              </w:rPr>
              <w:tab/>
              <w:t>які забезпечують діяльність Збройних сил України або інших органів державної влади, що забезпечують формування державної політики та реалізацію функцій із забезпечення національної безпеки та оборони.</w:t>
            </w:r>
          </w:p>
          <w:p w14:paraId="4705E4A3"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 xml:space="preserve">4. Центральний орган виконавчої влади, що забезпечує формування державної політики у сфері забезпечення енергетичної ефективності будівель, формує та оприлюднює базу даних будівель, які перебувають у власності, володінні, користуванні центральних органів виконавчої влади та в яких розміщується апарат центральних органів виконавчої влади (далі – база даних будівель).  Доступ до бази даних будівель є безоплатним та забезпечується </w:t>
            </w:r>
            <w:r w:rsidRPr="000F315B">
              <w:rPr>
                <w:rFonts w:ascii="Times New Roman" w:hAnsi="Times New Roman"/>
                <w:b/>
                <w:sz w:val="24"/>
                <w:szCs w:val="24"/>
              </w:rPr>
              <w:lastRenderedPageBreak/>
              <w:t>через офіційний веб-сайт центрального органу виконавчої влади, що забезпечує формування державної політики у сфері забезпечення енергетичної ефективності будівель.</w:t>
            </w:r>
          </w:p>
          <w:p w14:paraId="48210F24"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База даних будівель містить інформацію про площу будівель, показники та клас енергетичної ефективності будівель центральних органів виконавчої влади та іншу інформацію, визначену Кабінетом Міністрів України.</w:t>
            </w:r>
          </w:p>
          <w:p w14:paraId="374EAE52"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База даних будівель формується без урахування будівель, визначених у частині третій цієї статті.</w:t>
            </w:r>
          </w:p>
          <w:p w14:paraId="60825C40"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Порядок формування, ведення, внесення змін до бази даних будівель, її оприлюднення та обміну інформації з базою даних енергетичних сертифікатів затверджується Кабінетом Міністрів України.</w:t>
            </w:r>
          </w:p>
          <w:p w14:paraId="0419E2A3"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5. Центральні органи виконавчої влади надають центральному органу виконавчої влади, що забезпечує формування державної політики у сфері забезпечення енергетичної ефективності будівель, відомості, необхідні для формування бази даних будівель.</w:t>
            </w:r>
          </w:p>
          <w:p w14:paraId="70184374"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6. Центральний орган виконавчої влади, що забезпечує формування державної політики у сфері забезпечення енергетичної ефективності будівель, щорічно до 30 травня формує план по підвищенню рівня енергоефективності в будівлях центральних органів виконавчої влади на наступний календарний рік із зазначенням джерел фінансування таких заходів.</w:t>
            </w:r>
          </w:p>
          <w:p w14:paraId="6DE0BAD7"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План по підвищенню рівня енергоефективності в будівлях центральних органів виконавчої влади затверджується Кабінетом Міністрів України.</w:t>
            </w:r>
          </w:p>
          <w:p w14:paraId="616CB421"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7. З метою виконання зобов’язань щодо досягнення цільового показника економії енергії в будівлях здійснюються з метою виконання зобов’язань щодо досягнення цільового показника економії енергії в будівлях здійснюються заходи, що визначені в статті 12 цього Закону.</w:t>
            </w:r>
          </w:p>
          <w:p w14:paraId="224730BB"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8. Джерелами фінансування заходів з енергоефективності, спрямованих на досягнення цільового показника економії енергії можуть бути:</w:t>
            </w:r>
          </w:p>
          <w:p w14:paraId="20252823"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1)</w:t>
            </w:r>
            <w:r w:rsidRPr="000F315B">
              <w:rPr>
                <w:rFonts w:ascii="Times New Roman" w:hAnsi="Times New Roman"/>
                <w:b/>
                <w:sz w:val="24"/>
                <w:szCs w:val="24"/>
              </w:rPr>
              <w:tab/>
              <w:t>кошти, передбачені законом про Державний бюджет України на відповідний рік;</w:t>
            </w:r>
          </w:p>
          <w:p w14:paraId="4C819504"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lastRenderedPageBreak/>
              <w:t>2)</w:t>
            </w:r>
            <w:r w:rsidRPr="000F315B">
              <w:rPr>
                <w:rFonts w:ascii="Times New Roman" w:hAnsi="Times New Roman"/>
                <w:b/>
                <w:sz w:val="24"/>
                <w:szCs w:val="24"/>
              </w:rPr>
              <w:tab/>
              <w:t>кошти, залучені на безоплатній та безповоротній основі;</w:t>
            </w:r>
          </w:p>
          <w:p w14:paraId="223E8D2D"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3)</w:t>
            </w:r>
            <w:r w:rsidRPr="000F315B">
              <w:rPr>
                <w:rFonts w:ascii="Times New Roman" w:hAnsi="Times New Roman"/>
                <w:b/>
                <w:sz w:val="24"/>
                <w:szCs w:val="24"/>
              </w:rPr>
              <w:tab/>
              <w:t>інші джерела не заборонені законодавством України.</w:t>
            </w:r>
          </w:p>
          <w:p w14:paraId="54BABF34"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9. Центральний орган виконавчої влади, що забезпечує формування державної політики у сфері забезпечення енергетичної ефективності будівель, здійснює моніторинг досягнення цільового показника економії енергії та подає щороку до 10 (десятого) числа другого місяця, що настає за звітним періодом, Кабінету Міністрів України зведену інформацію про результати.</w:t>
            </w:r>
          </w:p>
          <w:p w14:paraId="1B460F26" w14:textId="77777777" w:rsidR="000F315B" w:rsidRPr="000F315B" w:rsidRDefault="000F315B" w:rsidP="000F315B">
            <w:pPr>
              <w:pStyle w:val="a9"/>
              <w:ind w:firstLine="546"/>
              <w:jc w:val="both"/>
              <w:rPr>
                <w:rFonts w:ascii="Times New Roman" w:hAnsi="Times New Roman"/>
                <w:b/>
                <w:sz w:val="24"/>
                <w:szCs w:val="24"/>
              </w:rPr>
            </w:pPr>
            <w:r w:rsidRPr="000F315B">
              <w:rPr>
                <w:rFonts w:ascii="Times New Roman" w:hAnsi="Times New Roman"/>
                <w:b/>
                <w:sz w:val="24"/>
                <w:szCs w:val="24"/>
              </w:rPr>
              <w:t>Моніторинг стану досягнення цільового показника економії енергії в будівлях органів державної влади здійснюється у порядку, затвердженому центральним органом виконавчої влади, що забезпечує формування державної політики у сфері забезпечення енергетичної ефективності будівель.</w:t>
            </w:r>
          </w:p>
          <w:p w14:paraId="1450D852" w14:textId="6EAC02EC" w:rsidR="00641AB4" w:rsidRPr="000F315B" w:rsidRDefault="000F315B" w:rsidP="000F315B">
            <w:pPr>
              <w:pStyle w:val="a9"/>
              <w:ind w:firstLine="546"/>
              <w:jc w:val="both"/>
              <w:rPr>
                <w:lang w:val="uk-UA"/>
              </w:rPr>
            </w:pPr>
            <w:r w:rsidRPr="000F315B">
              <w:rPr>
                <w:rFonts w:ascii="Times New Roman" w:hAnsi="Times New Roman"/>
                <w:b/>
                <w:sz w:val="24"/>
                <w:szCs w:val="24"/>
              </w:rPr>
              <w:t>10. Центральний орган виконавчої влади, що забезпечує формування державної політики у сфері забезпечення енергетичної ефективності будівель, повідомляє Секретаріат Енергетичного Співтовариства про досягнення цільового показника економії енергії з урахуванням вимог актів законодавства Європейського Союзу, Енергетичного Співтовариства кожні три роки до 30 квітня.».</w:t>
            </w:r>
          </w:p>
        </w:tc>
      </w:tr>
      <w:tr w:rsidR="000F315B" w14:paraId="41C72248" w14:textId="77777777" w:rsidTr="00F51803">
        <w:tc>
          <w:tcPr>
            <w:tcW w:w="15127" w:type="dxa"/>
            <w:gridSpan w:val="2"/>
          </w:tcPr>
          <w:p w14:paraId="45BB6965" w14:textId="4529D69F" w:rsidR="000F315B" w:rsidRDefault="000F315B" w:rsidP="001C0203">
            <w:pPr>
              <w:spacing w:line="240" w:lineRule="auto"/>
              <w:jc w:val="center"/>
              <w:rPr>
                <w:rFonts w:ascii="Times New Roman" w:hAnsi="Times New Roman"/>
                <w:sz w:val="24"/>
                <w:szCs w:val="24"/>
                <w:lang w:val="uk-UA"/>
              </w:rPr>
            </w:pPr>
            <w:r>
              <w:rPr>
                <w:rFonts w:ascii="Times New Roman" w:hAnsi="Times New Roman"/>
                <w:b/>
                <w:color w:val="000000"/>
                <w:sz w:val="24"/>
                <w:szCs w:val="24"/>
              </w:rPr>
              <w:lastRenderedPageBreak/>
              <w:t>Закон</w:t>
            </w:r>
            <w:r w:rsidRPr="00641AB4">
              <w:rPr>
                <w:rFonts w:ascii="Times New Roman" w:hAnsi="Times New Roman"/>
                <w:b/>
                <w:color w:val="000000"/>
                <w:sz w:val="24"/>
                <w:szCs w:val="24"/>
              </w:rPr>
              <w:t xml:space="preserve"> України “Про комбіноване виробництво теплової та електричної енергії (когенерацію) та використання скидного енергопотенціалу”</w:t>
            </w:r>
          </w:p>
        </w:tc>
      </w:tr>
      <w:tr w:rsidR="00641AB4" w14:paraId="55564548" w14:textId="77777777" w:rsidTr="00641AB4">
        <w:tc>
          <w:tcPr>
            <w:tcW w:w="7563" w:type="dxa"/>
          </w:tcPr>
          <w:p w14:paraId="22EF2336"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r w:rsidRPr="00282A05">
              <w:rPr>
                <w:rFonts w:ascii="Times New Roman" w:eastAsiaTheme="minorHAnsi" w:hAnsi="Times New Roman"/>
                <w:b/>
                <w:bCs/>
                <w:color w:val="333333"/>
                <w:sz w:val="24"/>
                <w:szCs w:val="24"/>
              </w:rPr>
              <w:t>Стаття 11.</w:t>
            </w:r>
            <w:r w:rsidRPr="001C0203">
              <w:rPr>
                <w:rFonts w:ascii="Times New Roman" w:eastAsiaTheme="minorHAnsi" w:hAnsi="Times New Roman"/>
                <w:b/>
                <w:bCs/>
                <w:color w:val="333333"/>
                <w:sz w:val="24"/>
                <w:szCs w:val="24"/>
                <w:lang w:val="en-US"/>
              </w:rPr>
              <w:t> </w:t>
            </w:r>
            <w:r w:rsidRPr="00282A05">
              <w:rPr>
                <w:rFonts w:ascii="Times New Roman" w:eastAsiaTheme="minorHAnsi" w:hAnsi="Times New Roman"/>
                <w:color w:val="333333"/>
                <w:sz w:val="24"/>
                <w:szCs w:val="24"/>
              </w:rPr>
              <w:t>Кваліфікація когенераційних установок</w:t>
            </w:r>
          </w:p>
          <w:p w14:paraId="4B269BDE"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bookmarkStart w:id="3" w:name="n77"/>
            <w:bookmarkEnd w:id="3"/>
            <w:r w:rsidRPr="00282A05">
              <w:rPr>
                <w:rFonts w:ascii="Times New Roman" w:eastAsiaTheme="minorHAnsi" w:hAnsi="Times New Roman"/>
                <w:color w:val="333333"/>
                <w:sz w:val="24"/>
                <w:szCs w:val="24"/>
              </w:rPr>
              <w:t>Когенераційні установки, які відпускають частину або весь обсяг виробленої електричної енергії споживачам, крім потреб власного споживання, можуть бути визнані як кваліфіковані, якщо вони відповідають кваліфікаційним показникам однієї з двох таких умов:</w:t>
            </w:r>
          </w:p>
          <w:p w14:paraId="233677E8"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bookmarkStart w:id="4" w:name="n78"/>
            <w:bookmarkEnd w:id="4"/>
            <w:r w:rsidRPr="00282A05">
              <w:rPr>
                <w:rFonts w:ascii="Times New Roman" w:eastAsiaTheme="minorHAnsi" w:hAnsi="Times New Roman"/>
                <w:color w:val="333333"/>
                <w:sz w:val="24"/>
                <w:szCs w:val="24"/>
              </w:rPr>
              <w:t>1) як основне паливо використовується скидний енергетичний потенціал технологічних процесів; для таких установок виробництво теплової енергії не є обов’язковим.</w:t>
            </w:r>
          </w:p>
          <w:p w14:paraId="7BA2B41A" w14:textId="77777777" w:rsidR="001C0203" w:rsidRPr="001C0203" w:rsidRDefault="001C0203" w:rsidP="001C0203">
            <w:pPr>
              <w:spacing w:after="150" w:line="240" w:lineRule="auto"/>
              <w:ind w:firstLine="450"/>
              <w:jc w:val="both"/>
              <w:rPr>
                <w:rFonts w:ascii="Times New Roman" w:eastAsiaTheme="minorHAnsi" w:hAnsi="Times New Roman"/>
                <w:color w:val="333333"/>
                <w:sz w:val="24"/>
                <w:szCs w:val="24"/>
                <w:lang w:val="en-US"/>
              </w:rPr>
            </w:pPr>
            <w:bookmarkStart w:id="5" w:name="n79"/>
            <w:bookmarkEnd w:id="5"/>
            <w:r w:rsidRPr="00282A05">
              <w:rPr>
                <w:rFonts w:ascii="Times New Roman" w:eastAsiaTheme="minorHAnsi" w:hAnsi="Times New Roman"/>
                <w:color w:val="333333"/>
                <w:sz w:val="24"/>
                <w:szCs w:val="24"/>
              </w:rPr>
              <w:t xml:space="preserve">Якщо застосовується додаткове паливо, то ефективність використання додаткового палива протягом одного року з дня введення </w:t>
            </w:r>
            <w:r w:rsidRPr="00282A05">
              <w:rPr>
                <w:rFonts w:ascii="Times New Roman" w:eastAsiaTheme="minorHAnsi" w:hAnsi="Times New Roman"/>
                <w:color w:val="333333"/>
                <w:sz w:val="24"/>
                <w:szCs w:val="24"/>
              </w:rPr>
              <w:lastRenderedPageBreak/>
              <w:t xml:space="preserve">в експлуатацію цієї установки і кожних наступних 12 місяців повинна бути не меншою </w:t>
            </w:r>
            <w:r w:rsidRPr="001C0203">
              <w:rPr>
                <w:rFonts w:ascii="Times New Roman" w:eastAsiaTheme="minorHAnsi" w:hAnsi="Times New Roman"/>
                <w:color w:val="333333"/>
                <w:sz w:val="24"/>
                <w:szCs w:val="24"/>
                <w:lang w:val="en-US"/>
              </w:rPr>
              <w:t>42 відсотків.</w:t>
            </w:r>
          </w:p>
          <w:p w14:paraId="2BE44BD2"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bookmarkStart w:id="6" w:name="n80"/>
            <w:bookmarkEnd w:id="6"/>
            <w:r w:rsidRPr="00282A05">
              <w:rPr>
                <w:rFonts w:ascii="Times New Roman" w:eastAsiaTheme="minorHAnsi" w:hAnsi="Times New Roman"/>
                <w:color w:val="333333"/>
                <w:sz w:val="24"/>
                <w:szCs w:val="24"/>
              </w:rPr>
              <w:t>У разі, якщо спалення додаткового палива застосовується для підтримання проектної електричної потужності когенераційної установки при тимчасовому зменшенні теплової потужності скидного енергетичного потенціалу стосовно його значення, прийнятого у технічному проекті когенераційної установки, обсяг витрат додаткового палива повинен бути узгоджений з центральним органом виконавчої влади у сфері енергозбереження;</w:t>
            </w:r>
          </w:p>
          <w:p w14:paraId="66A371DF" w14:textId="756F6315"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bookmarkStart w:id="7" w:name="n81"/>
            <w:bookmarkEnd w:id="7"/>
            <w:r w:rsidRPr="00282A05">
              <w:rPr>
                <w:rFonts w:ascii="Times New Roman" w:eastAsiaTheme="minorHAnsi" w:hAnsi="Times New Roman"/>
                <w:color w:val="333333"/>
                <w:sz w:val="24"/>
                <w:szCs w:val="24"/>
              </w:rPr>
              <w:t>2) як основне паливо використовується традиційне (органічне) паливо, при цьому обсяг відпущеної теплової енергії повинен бути не менше 10 відсотків від загального виробництва електричної і теплової енергії протягом одного року з дня її введення в експлуатацію і протягом кожних наступних 12 місяців; протягом вказаного строку обсяг відпущеної електричної та теплової енергії по відношенню до енергії основного та додаткового палива повинен становити не менше 42 відсотків.</w:t>
            </w:r>
          </w:p>
          <w:p w14:paraId="0545ED0B" w14:textId="244D3AF5"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bookmarkStart w:id="8" w:name="n82"/>
            <w:bookmarkEnd w:id="8"/>
            <w:r w:rsidRPr="00282A05">
              <w:rPr>
                <w:rFonts w:ascii="Times New Roman" w:eastAsiaTheme="minorHAnsi" w:hAnsi="Times New Roman"/>
                <w:color w:val="333333"/>
                <w:sz w:val="24"/>
                <w:szCs w:val="24"/>
              </w:rPr>
              <w:t>Кваліфікацію когенераційних установок здійснює центральний орган виконавчої влади у сфері енергозбереження у</w:t>
            </w:r>
            <w:r w:rsidRPr="001C0203">
              <w:rPr>
                <w:rFonts w:ascii="Times New Roman" w:eastAsiaTheme="minorHAnsi" w:hAnsi="Times New Roman"/>
                <w:color w:val="333333"/>
                <w:sz w:val="24"/>
                <w:szCs w:val="24"/>
                <w:lang w:val="en-US"/>
              </w:rPr>
              <w:t> </w:t>
            </w:r>
            <w:r w:rsidRPr="00282A05">
              <w:rPr>
                <w:rFonts w:ascii="Times New Roman" w:eastAsiaTheme="minorHAnsi" w:hAnsi="Times New Roman"/>
                <w:color w:val="333333"/>
                <w:sz w:val="24"/>
                <w:szCs w:val="24"/>
              </w:rPr>
              <w:t>порядку, затвердженому Кабінетом Міністрів України. Строк дії кваліфікації становить один рік. Кваліфікація когенераційної установки, яка вперше введена в експлуатацію, провадиться за проектними даними та результатами випробувань когенераційної установки на експлуатаційних режимах. Кваліфікація когенераційної установки на кожний наступний рік після спливу строку її попередньої кваліфікації здійснюється за фактичними показниками експлуатації когенераційної установки за попередні 12 місяців.</w:t>
            </w:r>
          </w:p>
          <w:p w14:paraId="0F7AEECA" w14:textId="77777777" w:rsidR="00641AB4" w:rsidRDefault="00641AB4" w:rsidP="00641AB4">
            <w:pPr>
              <w:spacing w:line="240" w:lineRule="auto"/>
              <w:rPr>
                <w:rFonts w:ascii="Times New Roman" w:hAnsi="Times New Roman"/>
                <w:sz w:val="24"/>
                <w:szCs w:val="24"/>
                <w:lang w:val="uk-UA"/>
              </w:rPr>
            </w:pPr>
          </w:p>
        </w:tc>
        <w:tc>
          <w:tcPr>
            <w:tcW w:w="7564" w:type="dxa"/>
          </w:tcPr>
          <w:p w14:paraId="60E5CAA1"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lang w:val="uk-UA"/>
              </w:rPr>
            </w:pPr>
            <w:r w:rsidRPr="00282A05">
              <w:rPr>
                <w:rFonts w:ascii="Times New Roman" w:eastAsiaTheme="minorHAnsi" w:hAnsi="Times New Roman"/>
                <w:b/>
                <w:bCs/>
                <w:color w:val="333333"/>
                <w:sz w:val="24"/>
                <w:szCs w:val="24"/>
                <w:lang w:val="uk-UA"/>
              </w:rPr>
              <w:lastRenderedPageBreak/>
              <w:t>Стаття 11.</w:t>
            </w:r>
            <w:r w:rsidRPr="001C0203">
              <w:rPr>
                <w:rFonts w:ascii="Times New Roman" w:eastAsiaTheme="minorHAnsi" w:hAnsi="Times New Roman"/>
                <w:b/>
                <w:bCs/>
                <w:color w:val="333333"/>
                <w:sz w:val="24"/>
                <w:szCs w:val="24"/>
                <w:lang w:val="en-US"/>
              </w:rPr>
              <w:t> </w:t>
            </w:r>
            <w:r w:rsidRPr="00282A05">
              <w:rPr>
                <w:rFonts w:ascii="Times New Roman" w:eastAsiaTheme="minorHAnsi" w:hAnsi="Times New Roman"/>
                <w:color w:val="333333"/>
                <w:sz w:val="24"/>
                <w:szCs w:val="24"/>
                <w:lang w:val="uk-UA"/>
              </w:rPr>
              <w:t>Кваліфікація когенераційних установок</w:t>
            </w:r>
          </w:p>
          <w:p w14:paraId="6A9B6637"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lang w:val="uk-UA"/>
              </w:rPr>
            </w:pPr>
            <w:r w:rsidRPr="00282A05">
              <w:rPr>
                <w:rFonts w:ascii="Times New Roman" w:eastAsiaTheme="minorHAnsi" w:hAnsi="Times New Roman"/>
                <w:color w:val="333333"/>
                <w:sz w:val="24"/>
                <w:szCs w:val="24"/>
                <w:lang w:val="uk-UA"/>
              </w:rPr>
              <w:t>Когенераційні установки, які відпускають частину або весь обсяг виробленої електричної енергії споживачам, крім потреб власного споживання, можуть бути визнані як кваліфіковані, якщо вони відповідають кваліфікаційним показникам однієї з двох таких умов:</w:t>
            </w:r>
          </w:p>
          <w:p w14:paraId="66AD431D"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r w:rsidRPr="00282A05">
              <w:rPr>
                <w:rFonts w:ascii="Times New Roman" w:eastAsiaTheme="minorHAnsi" w:hAnsi="Times New Roman"/>
                <w:color w:val="333333"/>
                <w:sz w:val="24"/>
                <w:szCs w:val="24"/>
              </w:rPr>
              <w:t>1) як основне паливо використовується скидний енергетичний потенціал технологічних процесів; для таких установок виробництво теплової енергії не є обов’язковим.</w:t>
            </w:r>
          </w:p>
          <w:p w14:paraId="1FF4A866" w14:textId="77777777" w:rsidR="001C0203" w:rsidRPr="001C0203" w:rsidRDefault="001C0203" w:rsidP="001C0203">
            <w:pPr>
              <w:spacing w:after="150" w:line="240" w:lineRule="auto"/>
              <w:ind w:firstLine="450"/>
              <w:jc w:val="both"/>
              <w:rPr>
                <w:rFonts w:ascii="Times New Roman" w:eastAsiaTheme="minorHAnsi" w:hAnsi="Times New Roman"/>
                <w:color w:val="333333"/>
                <w:sz w:val="24"/>
                <w:szCs w:val="24"/>
                <w:lang w:val="en-US"/>
              </w:rPr>
            </w:pPr>
            <w:r w:rsidRPr="00282A05">
              <w:rPr>
                <w:rFonts w:ascii="Times New Roman" w:eastAsiaTheme="minorHAnsi" w:hAnsi="Times New Roman"/>
                <w:color w:val="333333"/>
                <w:sz w:val="24"/>
                <w:szCs w:val="24"/>
              </w:rPr>
              <w:t xml:space="preserve">Якщо застосовується додаткове паливо, то ефективність використання додаткового палива протягом одного року з дня введення </w:t>
            </w:r>
            <w:r w:rsidRPr="00282A05">
              <w:rPr>
                <w:rFonts w:ascii="Times New Roman" w:eastAsiaTheme="minorHAnsi" w:hAnsi="Times New Roman"/>
                <w:color w:val="333333"/>
                <w:sz w:val="24"/>
                <w:szCs w:val="24"/>
              </w:rPr>
              <w:lastRenderedPageBreak/>
              <w:t xml:space="preserve">в експлуатацію цієї установки і кожних наступних 12 місяців повинна бути не меншою </w:t>
            </w:r>
            <w:r w:rsidRPr="001C0203">
              <w:rPr>
                <w:rFonts w:ascii="Times New Roman" w:eastAsiaTheme="minorHAnsi" w:hAnsi="Times New Roman"/>
                <w:color w:val="333333"/>
                <w:sz w:val="24"/>
                <w:szCs w:val="24"/>
                <w:lang w:val="en-US"/>
              </w:rPr>
              <w:t>42 відсотків.</w:t>
            </w:r>
          </w:p>
          <w:p w14:paraId="07ED0402"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r w:rsidRPr="00282A05">
              <w:rPr>
                <w:rFonts w:ascii="Times New Roman" w:eastAsiaTheme="minorHAnsi" w:hAnsi="Times New Roman"/>
                <w:color w:val="333333"/>
                <w:sz w:val="24"/>
                <w:szCs w:val="24"/>
              </w:rPr>
              <w:t>У разі, якщо спалення додаткового палива застосовується для підтримання проектної електричної потужності когенераційної установки при тимчасовому зменшенні теплової потужності скидного енергетичного потенціалу стосовно його значення, прийнятого у технічному проекті когенераційної установки, обсяг витрат додаткового палива повинен бути узгоджений з центральним органом виконавчої влади у сфері енергозбереження;</w:t>
            </w:r>
          </w:p>
          <w:p w14:paraId="2ABF87FC" w14:textId="77777777"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r w:rsidRPr="00282A05">
              <w:rPr>
                <w:rFonts w:ascii="Times New Roman" w:eastAsiaTheme="minorHAnsi" w:hAnsi="Times New Roman"/>
                <w:color w:val="333333"/>
                <w:sz w:val="24"/>
                <w:szCs w:val="24"/>
              </w:rPr>
              <w:t>2) як основне паливо використовується традиційне (органічне) паливо, при цьому обсяг відпущеної теплової енергії повинен бути не менше 10 відсотків від загального виробництва електричної і теплової енергії протягом одного року з дня її введення в експлуатацію і протягом кожних наступних 12 місяців; протягом вказаного строку обсяг відпущеної електричної та теплової енергії по відношенню до енергії основного та додаткового палива повинен становити не менше 42 відсотків.</w:t>
            </w:r>
          </w:p>
          <w:p w14:paraId="2359CA1A" w14:textId="77777777" w:rsidR="001C0203" w:rsidRPr="00641AB4" w:rsidRDefault="001C0203" w:rsidP="001C0203">
            <w:pPr>
              <w:pStyle w:val="rvps2"/>
              <w:shd w:val="clear" w:color="auto" w:fill="FFFFFF"/>
              <w:spacing w:after="150"/>
              <w:ind w:firstLine="450"/>
              <w:jc w:val="both"/>
              <w:rPr>
                <w:b/>
                <w:color w:val="000000"/>
              </w:rPr>
            </w:pPr>
            <w:r w:rsidRPr="00641AB4">
              <w:rPr>
                <w:b/>
                <w:color w:val="000000"/>
              </w:rPr>
              <w:t>Когенераційні установки можуть бути визнані як кваліфіковані високоефективні когенераційні установки, якщо вони відповідають кваліфікаційним показникам однієї з двох таких умов:</w:t>
            </w:r>
          </w:p>
          <w:p w14:paraId="46AB155F" w14:textId="77777777" w:rsidR="001C0203" w:rsidRPr="00641AB4" w:rsidRDefault="001C0203" w:rsidP="001C0203">
            <w:pPr>
              <w:pStyle w:val="rvps2"/>
              <w:shd w:val="clear" w:color="auto" w:fill="FFFFFF"/>
              <w:spacing w:after="150"/>
              <w:ind w:firstLine="450"/>
              <w:jc w:val="both"/>
              <w:rPr>
                <w:b/>
                <w:color w:val="000000"/>
              </w:rPr>
            </w:pPr>
            <w:r w:rsidRPr="00641AB4">
              <w:rPr>
                <w:b/>
                <w:color w:val="000000"/>
              </w:rPr>
              <w:t>1) когенераційне виробництво на когенераційних установках забезпечує економію первинної енергії на рівні мінімум 10% порівняно з еталонними значеннями при окремому виробництві тепла і електроенергії;</w:t>
            </w:r>
          </w:p>
          <w:p w14:paraId="10D09E6C" w14:textId="2C5FB3C1" w:rsidR="001C0203" w:rsidRPr="001C0203" w:rsidRDefault="001C0203" w:rsidP="001C0203">
            <w:pPr>
              <w:pStyle w:val="rvps2"/>
              <w:shd w:val="clear" w:color="auto" w:fill="FFFFFF"/>
              <w:spacing w:after="150"/>
              <w:ind w:firstLine="450"/>
              <w:jc w:val="both"/>
              <w:rPr>
                <w:b/>
                <w:color w:val="000000"/>
              </w:rPr>
            </w:pPr>
            <w:r w:rsidRPr="00641AB4">
              <w:rPr>
                <w:b/>
                <w:color w:val="000000"/>
              </w:rPr>
              <w:t>2) когенераційна установка є дрібномасштабною або мікро-когенераційною, та забезпечує економію первинної енергії.</w:t>
            </w:r>
          </w:p>
          <w:p w14:paraId="7A276B8F" w14:textId="762A3ECF" w:rsidR="001C0203" w:rsidRPr="00282A05" w:rsidRDefault="001C0203" w:rsidP="001C0203">
            <w:pPr>
              <w:spacing w:after="150" w:line="240" w:lineRule="auto"/>
              <w:ind w:firstLine="450"/>
              <w:jc w:val="both"/>
              <w:rPr>
                <w:rFonts w:ascii="Times New Roman" w:eastAsiaTheme="minorHAnsi" w:hAnsi="Times New Roman"/>
                <w:color w:val="333333"/>
                <w:sz w:val="24"/>
                <w:szCs w:val="24"/>
              </w:rPr>
            </w:pPr>
            <w:r w:rsidRPr="00282A05">
              <w:rPr>
                <w:rFonts w:ascii="Times New Roman" w:eastAsiaTheme="minorHAnsi" w:hAnsi="Times New Roman"/>
                <w:color w:val="333333"/>
                <w:sz w:val="24"/>
                <w:szCs w:val="24"/>
              </w:rPr>
              <w:t xml:space="preserve">Кваліфікацію когенераційних установок, </w:t>
            </w:r>
            <w:r w:rsidRPr="00641AB4">
              <w:rPr>
                <w:rFonts w:ascii="Times New Roman" w:hAnsi="Times New Roman"/>
                <w:b/>
                <w:color w:val="000000"/>
                <w:sz w:val="24"/>
                <w:szCs w:val="24"/>
              </w:rPr>
              <w:t>високоефективних когенераційних установок</w:t>
            </w:r>
            <w:r w:rsidRPr="00282A05">
              <w:rPr>
                <w:rFonts w:ascii="Times New Roman" w:eastAsiaTheme="minorHAnsi" w:hAnsi="Times New Roman"/>
                <w:color w:val="333333"/>
                <w:sz w:val="24"/>
                <w:szCs w:val="24"/>
              </w:rPr>
              <w:t xml:space="preserve"> здійснює центральний орган виконавчої влади у сфері енергозбереження у</w:t>
            </w:r>
            <w:r w:rsidRPr="001C0203">
              <w:rPr>
                <w:rFonts w:ascii="Times New Roman" w:eastAsiaTheme="minorHAnsi" w:hAnsi="Times New Roman"/>
                <w:color w:val="333333"/>
                <w:sz w:val="24"/>
                <w:szCs w:val="24"/>
                <w:lang w:val="en-US"/>
              </w:rPr>
              <w:t> </w:t>
            </w:r>
            <w:r w:rsidRPr="00282A05">
              <w:rPr>
                <w:rFonts w:ascii="Times New Roman" w:eastAsiaTheme="minorHAnsi" w:hAnsi="Times New Roman"/>
                <w:color w:val="333333"/>
                <w:sz w:val="24"/>
                <w:szCs w:val="24"/>
              </w:rPr>
              <w:t xml:space="preserve">порядку, затвердженому Кабінетом Міністрів України. Строк дії кваліфікації становить один рік. </w:t>
            </w:r>
            <w:r w:rsidRPr="00282A05">
              <w:rPr>
                <w:rFonts w:ascii="Times New Roman" w:eastAsiaTheme="minorHAnsi" w:hAnsi="Times New Roman"/>
                <w:color w:val="333333"/>
                <w:sz w:val="24"/>
                <w:szCs w:val="24"/>
              </w:rPr>
              <w:lastRenderedPageBreak/>
              <w:t>Кваліфікація когенераційної установки, яка вперше введена в експлуатацію, провадиться за проектними даними та результатами випробувань когенераційної установки на експлуатаційних режимах. Кваліфікація когенераційної установки на кожний наступний рік після спливу строку її попередньої кваліфікації здійснюється за фактичними показниками експлуатації когенераційної установки за попередні 12 місяців.</w:t>
            </w:r>
          </w:p>
        </w:tc>
      </w:tr>
    </w:tbl>
    <w:p w14:paraId="0D81FFB7" w14:textId="77777777" w:rsidR="00641AB4" w:rsidRPr="00641AB4" w:rsidRDefault="00641AB4" w:rsidP="00641AB4">
      <w:pPr>
        <w:spacing w:line="240" w:lineRule="auto"/>
        <w:rPr>
          <w:rFonts w:ascii="Times New Roman" w:hAnsi="Times New Roman"/>
          <w:sz w:val="24"/>
          <w:szCs w:val="24"/>
          <w:lang w:val="uk-UA"/>
        </w:rPr>
      </w:pPr>
    </w:p>
    <w:sectPr w:rsidR="00641AB4" w:rsidRPr="00641AB4" w:rsidSect="00F535DF">
      <w:footerReference w:type="default" r:id="rId10"/>
      <w:pgSz w:w="16838" w:h="11906" w:orient="landscape"/>
      <w:pgMar w:top="397"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CB03F" w14:textId="77777777" w:rsidR="00150E33" w:rsidRDefault="00150E33">
      <w:pPr>
        <w:spacing w:after="0" w:line="240" w:lineRule="auto"/>
      </w:pPr>
      <w:r>
        <w:separator/>
      </w:r>
    </w:p>
  </w:endnote>
  <w:endnote w:type="continuationSeparator" w:id="0">
    <w:p w14:paraId="2647F111" w14:textId="77777777" w:rsidR="00150E33" w:rsidRDefault="00150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323055"/>
      <w:docPartObj>
        <w:docPartGallery w:val="Page Numbers (Bottom of Page)"/>
        <w:docPartUnique/>
      </w:docPartObj>
    </w:sdtPr>
    <w:sdtEndPr/>
    <w:sdtContent>
      <w:p w14:paraId="331E4D6D" w14:textId="27D302FB" w:rsidR="00F87094" w:rsidRDefault="00C417BB">
        <w:pPr>
          <w:pStyle w:val="a5"/>
          <w:jc w:val="center"/>
        </w:pPr>
        <w:r>
          <w:fldChar w:fldCharType="begin"/>
        </w:r>
        <w:r>
          <w:instrText xml:space="preserve"> PAGE   \* MERGEFORMAT </w:instrText>
        </w:r>
        <w:r>
          <w:fldChar w:fldCharType="separate"/>
        </w:r>
        <w:r w:rsidR="004325E7">
          <w:rPr>
            <w:noProof/>
          </w:rPr>
          <w:t>2</w:t>
        </w:r>
        <w:r>
          <w:rPr>
            <w:noProof/>
          </w:rPr>
          <w:fldChar w:fldCharType="end"/>
        </w:r>
      </w:p>
    </w:sdtContent>
  </w:sdt>
  <w:p w14:paraId="2C8D199A" w14:textId="77777777" w:rsidR="00F87094" w:rsidRDefault="00150E3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BC97C" w14:textId="77777777" w:rsidR="00150E33" w:rsidRDefault="00150E33">
      <w:pPr>
        <w:spacing w:after="0" w:line="240" w:lineRule="auto"/>
      </w:pPr>
      <w:r>
        <w:separator/>
      </w:r>
    </w:p>
  </w:footnote>
  <w:footnote w:type="continuationSeparator" w:id="0">
    <w:p w14:paraId="4764643C" w14:textId="77777777" w:rsidR="00150E33" w:rsidRDefault="00150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524CB4"/>
    <w:multiLevelType w:val="hybridMultilevel"/>
    <w:tmpl w:val="0ABAD568"/>
    <w:lvl w:ilvl="0" w:tplc="734E00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712C7468"/>
    <w:multiLevelType w:val="hybridMultilevel"/>
    <w:tmpl w:val="0ABAD568"/>
    <w:lvl w:ilvl="0" w:tplc="734E00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AB"/>
    <w:rsid w:val="000F315B"/>
    <w:rsid w:val="00150E33"/>
    <w:rsid w:val="001B1DF4"/>
    <w:rsid w:val="001C0203"/>
    <w:rsid w:val="00282A05"/>
    <w:rsid w:val="003356DC"/>
    <w:rsid w:val="00423436"/>
    <w:rsid w:val="004325E7"/>
    <w:rsid w:val="005038C6"/>
    <w:rsid w:val="00532AE4"/>
    <w:rsid w:val="00552F2A"/>
    <w:rsid w:val="00591EAB"/>
    <w:rsid w:val="005F1772"/>
    <w:rsid w:val="00641AB4"/>
    <w:rsid w:val="008C16AB"/>
    <w:rsid w:val="00B17AF1"/>
    <w:rsid w:val="00BE03B2"/>
    <w:rsid w:val="00BE19BE"/>
    <w:rsid w:val="00BF2CDB"/>
    <w:rsid w:val="00C417BB"/>
    <w:rsid w:val="00C60062"/>
    <w:rsid w:val="00C949AB"/>
    <w:rsid w:val="00E208AB"/>
    <w:rsid w:val="00EA7919"/>
    <w:rsid w:val="00F535DF"/>
    <w:rsid w:val="00F613E8"/>
    <w:rsid w:val="00FC69E2"/>
    <w:rsid w:val="00FF21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CF12"/>
  <w15:chartTrackingRefBased/>
  <w15:docId w15:val="{00F71B9E-057F-4A23-94AA-0A73263F3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EAB"/>
    <w:pPr>
      <w:spacing w:after="200" w:line="27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uiPriority w:val="99"/>
    <w:rsid w:val="00591EAB"/>
  </w:style>
  <w:style w:type="character" w:customStyle="1" w:styleId="rvts9">
    <w:name w:val="rvts9"/>
    <w:basedOn w:val="a0"/>
    <w:rsid w:val="00591EAB"/>
  </w:style>
  <w:style w:type="paragraph" w:styleId="a3">
    <w:name w:val="header"/>
    <w:basedOn w:val="a"/>
    <w:link w:val="a4"/>
    <w:uiPriority w:val="99"/>
    <w:unhideWhenUsed/>
    <w:rsid w:val="00591EAB"/>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591EAB"/>
    <w:rPr>
      <w:rFonts w:ascii="Calibri" w:eastAsia="Calibri" w:hAnsi="Calibri" w:cs="Times New Roman"/>
      <w:lang w:val="ru-RU"/>
    </w:rPr>
  </w:style>
  <w:style w:type="paragraph" w:styleId="a5">
    <w:name w:val="footer"/>
    <w:basedOn w:val="a"/>
    <w:link w:val="a6"/>
    <w:uiPriority w:val="99"/>
    <w:unhideWhenUsed/>
    <w:rsid w:val="00591EAB"/>
    <w:pPr>
      <w:tabs>
        <w:tab w:val="center" w:pos="4819"/>
        <w:tab w:val="right" w:pos="9639"/>
      </w:tabs>
      <w:spacing w:after="0" w:line="240" w:lineRule="auto"/>
    </w:pPr>
  </w:style>
  <w:style w:type="character" w:customStyle="1" w:styleId="a6">
    <w:name w:val="Нижній колонтитул Знак"/>
    <w:basedOn w:val="a0"/>
    <w:link w:val="a5"/>
    <w:uiPriority w:val="99"/>
    <w:rsid w:val="00591EAB"/>
    <w:rPr>
      <w:rFonts w:ascii="Calibri" w:eastAsia="Calibri" w:hAnsi="Calibri" w:cs="Times New Roman"/>
      <w:lang w:val="ru-RU"/>
    </w:rPr>
  </w:style>
  <w:style w:type="paragraph" w:customStyle="1" w:styleId="a7">
    <w:name w:val="Нормальний текст"/>
    <w:basedOn w:val="a"/>
    <w:rsid w:val="00591EAB"/>
    <w:pPr>
      <w:spacing w:before="120" w:after="0" w:line="240" w:lineRule="auto"/>
      <w:ind w:firstLine="567"/>
      <w:jc w:val="both"/>
    </w:pPr>
    <w:rPr>
      <w:rFonts w:ascii="Antiqua" w:eastAsia="Times New Roman" w:hAnsi="Antiqua"/>
      <w:sz w:val="26"/>
      <w:szCs w:val="20"/>
      <w:lang w:val="uk-UA" w:eastAsia="ru-RU"/>
    </w:rPr>
  </w:style>
  <w:style w:type="character" w:customStyle="1" w:styleId="4">
    <w:name w:val="Основний текст4"/>
    <w:basedOn w:val="a0"/>
    <w:rsid w:val="00591EAB"/>
    <w:rPr>
      <w:rFonts w:ascii="Times New Roman" w:eastAsia="Times New Roman" w:hAnsi="Times New Roman" w:cs="Times New Roman"/>
      <w:b w:val="0"/>
      <w:bCs w:val="0"/>
      <w:i w:val="0"/>
      <w:iCs w:val="0"/>
      <w:smallCaps w:val="0"/>
      <w:strike w:val="0"/>
      <w:spacing w:val="0"/>
      <w:sz w:val="26"/>
      <w:szCs w:val="26"/>
      <w:u w:val="single"/>
    </w:rPr>
  </w:style>
  <w:style w:type="paragraph" w:customStyle="1" w:styleId="rvps2">
    <w:name w:val="rvps2"/>
    <w:basedOn w:val="a"/>
    <w:rsid w:val="00591EA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6">
    <w:name w:val="rvts46"/>
    <w:basedOn w:val="a0"/>
    <w:rsid w:val="00591EAB"/>
  </w:style>
  <w:style w:type="character" w:styleId="a8">
    <w:name w:val="Hyperlink"/>
    <w:basedOn w:val="a0"/>
    <w:uiPriority w:val="99"/>
    <w:semiHidden/>
    <w:unhideWhenUsed/>
    <w:rsid w:val="00591EAB"/>
    <w:rPr>
      <w:color w:val="0000FF"/>
      <w:u w:val="single"/>
    </w:rPr>
  </w:style>
  <w:style w:type="character" w:customStyle="1" w:styleId="rvts37">
    <w:name w:val="rvts37"/>
    <w:basedOn w:val="a0"/>
    <w:rsid w:val="00591EAB"/>
  </w:style>
  <w:style w:type="paragraph" w:styleId="a9">
    <w:name w:val="No Spacing"/>
    <w:uiPriority w:val="1"/>
    <w:qFormat/>
    <w:rsid w:val="00EA7919"/>
    <w:pPr>
      <w:spacing w:after="0" w:line="240" w:lineRule="auto"/>
    </w:pPr>
    <w:rPr>
      <w:rFonts w:ascii="Calibri" w:eastAsia="Calibri" w:hAnsi="Calibri" w:cs="Times New Roman"/>
      <w:lang w:val="ru-RU"/>
    </w:rPr>
  </w:style>
  <w:style w:type="paragraph" w:styleId="aa">
    <w:name w:val="Normal (Web)"/>
    <w:basedOn w:val="a"/>
    <w:uiPriority w:val="99"/>
    <w:semiHidden/>
    <w:unhideWhenUsed/>
    <w:rsid w:val="00641AB4"/>
    <w:pPr>
      <w:spacing w:before="100" w:beforeAutospacing="1" w:after="100" w:afterAutospacing="1" w:line="240" w:lineRule="auto"/>
      <w:jc w:val="both"/>
    </w:pPr>
    <w:rPr>
      <w:rFonts w:ascii="Times New Roman" w:eastAsiaTheme="minorEastAsia" w:hAnsi="Times New Roman"/>
      <w:sz w:val="24"/>
      <w:szCs w:val="24"/>
      <w:highlight w:val="yellow"/>
      <w:lang w:val="uk-UA" w:eastAsia="uk-UA"/>
    </w:rPr>
  </w:style>
  <w:style w:type="table" w:styleId="ab">
    <w:name w:val="Table Grid"/>
    <w:basedOn w:val="a1"/>
    <w:uiPriority w:val="39"/>
    <w:rsid w:val="00641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1C0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2882">
      <w:bodyDiv w:val="1"/>
      <w:marLeft w:val="0"/>
      <w:marRight w:val="0"/>
      <w:marTop w:val="0"/>
      <w:marBottom w:val="0"/>
      <w:divBdr>
        <w:top w:val="none" w:sz="0" w:space="0" w:color="auto"/>
        <w:left w:val="none" w:sz="0" w:space="0" w:color="auto"/>
        <w:bottom w:val="none" w:sz="0" w:space="0" w:color="auto"/>
        <w:right w:val="none" w:sz="0" w:space="0" w:color="auto"/>
      </w:divBdr>
    </w:div>
    <w:div w:id="351684920">
      <w:bodyDiv w:val="1"/>
      <w:marLeft w:val="0"/>
      <w:marRight w:val="0"/>
      <w:marTop w:val="0"/>
      <w:marBottom w:val="0"/>
      <w:divBdr>
        <w:top w:val="none" w:sz="0" w:space="0" w:color="auto"/>
        <w:left w:val="none" w:sz="0" w:space="0" w:color="auto"/>
        <w:bottom w:val="none" w:sz="0" w:space="0" w:color="auto"/>
        <w:right w:val="none" w:sz="0" w:space="0" w:color="auto"/>
      </w:divBdr>
    </w:div>
    <w:div w:id="477890058">
      <w:bodyDiv w:val="1"/>
      <w:marLeft w:val="0"/>
      <w:marRight w:val="0"/>
      <w:marTop w:val="0"/>
      <w:marBottom w:val="0"/>
      <w:divBdr>
        <w:top w:val="none" w:sz="0" w:space="0" w:color="auto"/>
        <w:left w:val="none" w:sz="0" w:space="0" w:color="auto"/>
        <w:bottom w:val="none" w:sz="0" w:space="0" w:color="auto"/>
        <w:right w:val="none" w:sz="0" w:space="0" w:color="auto"/>
      </w:divBdr>
    </w:div>
    <w:div w:id="601110374">
      <w:bodyDiv w:val="1"/>
      <w:marLeft w:val="0"/>
      <w:marRight w:val="0"/>
      <w:marTop w:val="0"/>
      <w:marBottom w:val="0"/>
      <w:divBdr>
        <w:top w:val="none" w:sz="0" w:space="0" w:color="auto"/>
        <w:left w:val="none" w:sz="0" w:space="0" w:color="auto"/>
        <w:bottom w:val="none" w:sz="0" w:space="0" w:color="auto"/>
        <w:right w:val="none" w:sz="0" w:space="0" w:color="auto"/>
      </w:divBdr>
    </w:div>
    <w:div w:id="632904095">
      <w:bodyDiv w:val="1"/>
      <w:marLeft w:val="0"/>
      <w:marRight w:val="0"/>
      <w:marTop w:val="0"/>
      <w:marBottom w:val="0"/>
      <w:divBdr>
        <w:top w:val="none" w:sz="0" w:space="0" w:color="auto"/>
        <w:left w:val="none" w:sz="0" w:space="0" w:color="auto"/>
        <w:bottom w:val="none" w:sz="0" w:space="0" w:color="auto"/>
        <w:right w:val="none" w:sz="0" w:space="0" w:color="auto"/>
      </w:divBdr>
    </w:div>
    <w:div w:id="719324364">
      <w:bodyDiv w:val="1"/>
      <w:marLeft w:val="0"/>
      <w:marRight w:val="0"/>
      <w:marTop w:val="0"/>
      <w:marBottom w:val="0"/>
      <w:divBdr>
        <w:top w:val="none" w:sz="0" w:space="0" w:color="auto"/>
        <w:left w:val="none" w:sz="0" w:space="0" w:color="auto"/>
        <w:bottom w:val="none" w:sz="0" w:space="0" w:color="auto"/>
        <w:right w:val="none" w:sz="0" w:space="0" w:color="auto"/>
      </w:divBdr>
    </w:div>
    <w:div w:id="847139305">
      <w:bodyDiv w:val="1"/>
      <w:marLeft w:val="0"/>
      <w:marRight w:val="0"/>
      <w:marTop w:val="0"/>
      <w:marBottom w:val="0"/>
      <w:divBdr>
        <w:top w:val="none" w:sz="0" w:space="0" w:color="auto"/>
        <w:left w:val="none" w:sz="0" w:space="0" w:color="auto"/>
        <w:bottom w:val="none" w:sz="0" w:space="0" w:color="auto"/>
        <w:right w:val="none" w:sz="0" w:space="0" w:color="auto"/>
      </w:divBdr>
    </w:div>
    <w:div w:id="942497936">
      <w:bodyDiv w:val="1"/>
      <w:marLeft w:val="0"/>
      <w:marRight w:val="0"/>
      <w:marTop w:val="0"/>
      <w:marBottom w:val="0"/>
      <w:divBdr>
        <w:top w:val="none" w:sz="0" w:space="0" w:color="auto"/>
        <w:left w:val="none" w:sz="0" w:space="0" w:color="auto"/>
        <w:bottom w:val="none" w:sz="0" w:space="0" w:color="auto"/>
        <w:right w:val="none" w:sz="0" w:space="0" w:color="auto"/>
      </w:divBdr>
    </w:div>
    <w:div w:id="1004212845">
      <w:bodyDiv w:val="1"/>
      <w:marLeft w:val="0"/>
      <w:marRight w:val="0"/>
      <w:marTop w:val="0"/>
      <w:marBottom w:val="0"/>
      <w:divBdr>
        <w:top w:val="none" w:sz="0" w:space="0" w:color="auto"/>
        <w:left w:val="none" w:sz="0" w:space="0" w:color="auto"/>
        <w:bottom w:val="none" w:sz="0" w:space="0" w:color="auto"/>
        <w:right w:val="none" w:sz="0" w:space="0" w:color="auto"/>
      </w:divBdr>
    </w:div>
    <w:div w:id="1313410554">
      <w:bodyDiv w:val="1"/>
      <w:marLeft w:val="0"/>
      <w:marRight w:val="0"/>
      <w:marTop w:val="0"/>
      <w:marBottom w:val="0"/>
      <w:divBdr>
        <w:top w:val="none" w:sz="0" w:space="0" w:color="auto"/>
        <w:left w:val="none" w:sz="0" w:space="0" w:color="auto"/>
        <w:bottom w:val="none" w:sz="0" w:space="0" w:color="auto"/>
        <w:right w:val="none" w:sz="0" w:space="0" w:color="auto"/>
      </w:divBdr>
    </w:div>
    <w:div w:id="1438284570">
      <w:bodyDiv w:val="1"/>
      <w:marLeft w:val="0"/>
      <w:marRight w:val="0"/>
      <w:marTop w:val="0"/>
      <w:marBottom w:val="0"/>
      <w:divBdr>
        <w:top w:val="none" w:sz="0" w:space="0" w:color="auto"/>
        <w:left w:val="none" w:sz="0" w:space="0" w:color="auto"/>
        <w:bottom w:val="none" w:sz="0" w:space="0" w:color="auto"/>
        <w:right w:val="none" w:sz="0" w:space="0" w:color="auto"/>
      </w:divBdr>
    </w:div>
    <w:div w:id="1670282782">
      <w:bodyDiv w:val="1"/>
      <w:marLeft w:val="0"/>
      <w:marRight w:val="0"/>
      <w:marTop w:val="0"/>
      <w:marBottom w:val="0"/>
      <w:divBdr>
        <w:top w:val="none" w:sz="0" w:space="0" w:color="auto"/>
        <w:left w:val="none" w:sz="0" w:space="0" w:color="auto"/>
        <w:bottom w:val="none" w:sz="0" w:space="0" w:color="auto"/>
        <w:right w:val="none" w:sz="0" w:space="0" w:color="auto"/>
      </w:divBdr>
    </w:div>
    <w:div w:id="1875388958">
      <w:bodyDiv w:val="1"/>
      <w:marLeft w:val="0"/>
      <w:marRight w:val="0"/>
      <w:marTop w:val="0"/>
      <w:marBottom w:val="0"/>
      <w:divBdr>
        <w:top w:val="none" w:sz="0" w:space="0" w:color="auto"/>
        <w:left w:val="none" w:sz="0" w:space="0" w:color="auto"/>
        <w:bottom w:val="none" w:sz="0" w:space="0" w:color="auto"/>
        <w:right w:val="none" w:sz="0" w:space="0" w:color="auto"/>
      </w:divBdr>
    </w:div>
    <w:div w:id="1885368692">
      <w:bodyDiv w:val="1"/>
      <w:marLeft w:val="0"/>
      <w:marRight w:val="0"/>
      <w:marTop w:val="0"/>
      <w:marBottom w:val="0"/>
      <w:divBdr>
        <w:top w:val="none" w:sz="0" w:space="0" w:color="auto"/>
        <w:left w:val="none" w:sz="0" w:space="0" w:color="auto"/>
        <w:bottom w:val="none" w:sz="0" w:space="0" w:color="auto"/>
        <w:right w:val="none" w:sz="0" w:space="0" w:color="auto"/>
      </w:divBdr>
    </w:div>
    <w:div w:id="206964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5CD67A-33A6-40A4-A1B7-95FF63639451}">
  <ds:schemaRefs>
    <ds:schemaRef ds:uri="http://schemas.microsoft.com/sharepoint/v3/contenttype/forms"/>
  </ds:schemaRefs>
</ds:datastoreItem>
</file>

<file path=customXml/itemProps2.xml><?xml version="1.0" encoding="utf-8"?>
<ds:datastoreItem xmlns:ds="http://schemas.openxmlformats.org/officeDocument/2006/customXml" ds:itemID="{BD62604B-88C4-47E9-AC9E-67E818C0F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64A87F-1C38-412F-8561-181BAFB9AB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13431</Words>
  <Characters>7656</Characters>
  <Application>Microsoft Office Word</Application>
  <DocSecurity>0</DocSecurity>
  <Lines>63</Lines>
  <Paragraphs>42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2020-12-17T08:10:00Z</dcterms:created>
  <dcterms:modified xsi:type="dcterms:W3CDTF">2020-12-17T08:10:00Z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