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6B802" w14:textId="3C7DEEAE" w:rsidR="000C7232" w:rsidRDefault="000C7232" w:rsidP="000C7232">
      <w:pPr>
        <w:tabs>
          <w:tab w:val="left" w:pos="709"/>
        </w:tabs>
        <w:suppressAutoHyphens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14:paraId="6B1BEFBC" w14:textId="77777777" w:rsidR="004500E0" w:rsidRDefault="004500E0" w:rsidP="009D2FF8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"/>
        </w:rPr>
      </w:pPr>
    </w:p>
    <w:p w14:paraId="2067A367" w14:textId="77777777" w:rsidR="009D2FF8" w:rsidRDefault="009D2FF8" w:rsidP="004500E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b/>
          <w:bCs/>
          <w:sz w:val="28"/>
          <w:szCs w:val="28"/>
          <w:lang w:val="uk"/>
        </w:rPr>
        <w:t>ПОЯСНЮВАЛЬНА ЗАПИСКА</w:t>
      </w: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6CE02DDA" w14:textId="1A8EDB35" w:rsidR="009D2FF8" w:rsidRPr="009D2FF8" w:rsidRDefault="009D2FF8" w:rsidP="004500E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1D69283D">
        <w:rPr>
          <w:rFonts w:ascii="Times New Roman" w:hAnsi="Times New Roman"/>
          <w:b/>
          <w:bCs/>
          <w:sz w:val="28"/>
          <w:szCs w:val="28"/>
          <w:lang w:val="uk"/>
        </w:rPr>
        <w:t>до</w:t>
      </w:r>
      <w:r>
        <w:rPr>
          <w:rFonts w:ascii="Times New Roman" w:hAnsi="Times New Roman"/>
          <w:b/>
          <w:bCs/>
          <w:sz w:val="28"/>
          <w:szCs w:val="28"/>
        </w:rPr>
        <w:t xml:space="preserve"> проекту Закону України </w:t>
      </w:r>
      <w:r w:rsidRPr="000C7232">
        <w:rPr>
          <w:rFonts w:ascii="Times New Roman" w:hAnsi="Times New Roman"/>
          <w:b/>
          <w:bCs/>
          <w:color w:val="000000"/>
          <w:sz w:val="28"/>
          <w:szCs w:val="28"/>
        </w:rPr>
        <w:t>«Про енергетичну ефективність»</w:t>
      </w:r>
    </w:p>
    <w:p w14:paraId="375BEA85" w14:textId="77777777" w:rsidR="009D2FF8" w:rsidRDefault="009D2FF8" w:rsidP="004500E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5C40CCC7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b/>
          <w:bCs/>
          <w:sz w:val="28"/>
          <w:szCs w:val="28"/>
          <w:lang w:val="uk"/>
        </w:rPr>
        <w:t>1. Обґрунтування необхідності прийняття акта</w:t>
      </w: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1FF170C4" w14:textId="77777777" w:rsidR="009D2FF8" w:rsidRPr="000C7232" w:rsidRDefault="009D2FF8" w:rsidP="004500E0">
      <w:pPr>
        <w:pStyle w:val="a8"/>
        <w:spacing w:line="276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C7232">
        <w:rPr>
          <w:rFonts w:ascii="Times New Roman" w:eastAsia="Calibri" w:hAnsi="Times New Roman"/>
          <w:sz w:val="28"/>
          <w:szCs w:val="28"/>
          <w:lang w:eastAsia="en-US"/>
        </w:rPr>
        <w:t>Проект акта розроблено на виконання Договору про заснування Енергетичного Співтовариства та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Україна взяла на себе зобов’язання сприяти енергоефективності та енергозбереженню, у тому числі шляхом формування політики щодо енергоефективності та нормативно-правової бази з метою досягнення значного прогресу відповідно до стандартів ЄС. Рішенням Ради Міністрів Енергетичного Співтовариства від 14 серпня 2015 року щодо імплементації Директиви 2012/27/ЄС Європейського парламенту та Ради від 25 жовтня 2012 р. про енергоефективність передбачено обов’язок держав-членів транспонувати цю Директиву до національного законодавства. Імплементація Директиви 2012/27/ЄС передбачена пунктом 707 Плану заходів з виконання Угоди про асоціацію, затвердженого постановою Кабінету Міністрів України від 25.10.2017 №1106, пунктом 172 Плану пріоритетних дій Уряду на 2018 рік, затвердженого розпорядженням Кабінету Міністрів України від 28 березня 2018 р. № 244-р, пункту 64 Плану заходів з реалізації етапу “Реформування енергетичного сектору (до 2020 року)” Енергетичної стратегії України  на період до 2035 року “Безпека, енергоефективність, конкурентоспроможність”, затвердженого розпорядженням Кабінету Міністрів України від 6 червня 2018 р. № 497-р.</w:t>
      </w:r>
    </w:p>
    <w:p w14:paraId="21954979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Style w:val="a3"/>
          <w:b w:val="0"/>
          <w:sz w:val="28"/>
          <w:szCs w:val="28"/>
        </w:rPr>
      </w:pPr>
      <w:r w:rsidRPr="000C7232">
        <w:rPr>
          <w:rStyle w:val="a3"/>
          <w:b w:val="0"/>
          <w:sz w:val="28"/>
          <w:szCs w:val="28"/>
        </w:rPr>
        <w:t>Україна щорічно споживає близько 92 млн тон нафтового еквіваленту енергії (тне) та має одну з найбільш енергоємних економік в світі. Майже половина (44%) виробленої та імпортованої енергії втрачається при її перетворенні та</w:t>
      </w:r>
      <w:r w:rsidRPr="000C7232">
        <w:rPr>
          <w:rStyle w:val="a3"/>
          <w:b w:val="0"/>
          <w:sz w:val="28"/>
          <w:szCs w:val="28"/>
          <w:lang w:val="ru-RU"/>
        </w:rPr>
        <w:t xml:space="preserve"> </w:t>
      </w:r>
      <w:r w:rsidRPr="000C7232">
        <w:rPr>
          <w:rStyle w:val="a3"/>
          <w:b w:val="0"/>
          <w:sz w:val="28"/>
          <w:szCs w:val="28"/>
        </w:rPr>
        <w:t>транспортуванні до фінального споживача, що на 12% вище ніж в країнах ЄС. Так з 92 млн тне</w:t>
      </w:r>
      <w:r w:rsidRPr="000C7232">
        <w:rPr>
          <w:rStyle w:val="a3"/>
          <w:b w:val="0"/>
          <w:sz w:val="28"/>
          <w:szCs w:val="28"/>
          <w:lang w:val="ru-RU"/>
        </w:rPr>
        <w:t xml:space="preserve"> </w:t>
      </w:r>
      <w:r w:rsidRPr="000C7232">
        <w:rPr>
          <w:rStyle w:val="a3"/>
          <w:b w:val="0"/>
          <w:sz w:val="28"/>
          <w:szCs w:val="28"/>
        </w:rPr>
        <w:t>постачання первинної енергії, споживається близько 52 млн тне. Потенціал скорочення витрат енергії при споживанні може досягати 60%. Тільки за оцінкою в трьох секторах – житловий, бюджетний та постачання енергії (разом близько 63% енергетичного балансу України) потенціал енергоефективності дорівнює заощадженню близько 19 млн тне або 8,0 млрд євро щорічно.</w:t>
      </w:r>
    </w:p>
    <w:p w14:paraId="77306F1C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Style w:val="a3"/>
          <w:b w:val="0"/>
          <w:sz w:val="28"/>
          <w:szCs w:val="28"/>
        </w:rPr>
      </w:pPr>
      <w:r w:rsidRPr="000C7232">
        <w:rPr>
          <w:rStyle w:val="a3"/>
          <w:b w:val="0"/>
          <w:sz w:val="28"/>
          <w:szCs w:val="28"/>
        </w:rPr>
        <w:t>Проект Закону України «Про енергетичну ефективність» (далі – проект Закону) розроблено з метою врегулювання на законодавчому рівні питання щодо підвищення ефективного використання паливно-енергетичних ресурсів в Україні.</w:t>
      </w:r>
      <w:r w:rsidRPr="000C7232">
        <w:rPr>
          <w:rStyle w:val="a3"/>
          <w:sz w:val="28"/>
          <w:szCs w:val="28"/>
        </w:rPr>
        <w:t xml:space="preserve"> </w:t>
      </w:r>
      <w:r w:rsidRPr="000C7232">
        <w:rPr>
          <w:rStyle w:val="a3"/>
          <w:b w:val="0"/>
          <w:sz w:val="28"/>
          <w:szCs w:val="28"/>
        </w:rPr>
        <w:t xml:space="preserve">Для досягнення максимального ефекту за кожним напрямком системи енергоефективності (будівлі, промисловість та транспортування/розподіл </w:t>
      </w:r>
      <w:r w:rsidRPr="000C7232">
        <w:rPr>
          <w:rStyle w:val="a3"/>
          <w:b w:val="0"/>
          <w:sz w:val="28"/>
          <w:szCs w:val="28"/>
        </w:rPr>
        <w:lastRenderedPageBreak/>
        <w:t>енергії) повинні бути створені передумови для ефективних відносин в галузі, регуляторні інструменти та механізми підтримки.</w:t>
      </w:r>
    </w:p>
    <w:p w14:paraId="1823824E" w14:textId="77777777" w:rsidR="009D2FF8" w:rsidRPr="000C7232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Підвищення енергоефективності є необхідним елементом для зростання енергонезалежності країни та скорочення енергоємності економіки. Наразі, показник енергоємності ВВП за паритетом купівельної спроможності в України втричі вище ніж у більшості країн Європи. Прийняття законопроекту забезпечить врегулювання правових та організаційних засад державної політики у сфері забезпечення енергоефективності.</w:t>
      </w:r>
    </w:p>
    <w:p w14:paraId="67412D61" w14:textId="77777777" w:rsidR="009D2FF8" w:rsidRPr="006476BB" w:rsidRDefault="009D2FF8" w:rsidP="004500E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A76DD7F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b/>
          <w:bCs/>
          <w:sz w:val="28"/>
          <w:szCs w:val="28"/>
          <w:lang w:val="uk"/>
        </w:rPr>
        <w:t>2. Мета і шляхи її досягнення</w:t>
      </w: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52EE4E47" w14:textId="77777777" w:rsidR="009D2FF8" w:rsidRPr="000C7232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2FF8">
        <w:rPr>
          <w:rFonts w:ascii="Times New Roman" w:hAnsi="Times New Roman"/>
          <w:sz w:val="28"/>
          <w:szCs w:val="28"/>
          <w:lang w:val="uk"/>
        </w:rPr>
        <w:t>Законопроект</w:t>
      </w:r>
      <w:r w:rsidRPr="1D69283D">
        <w:rPr>
          <w:rFonts w:ascii="Times New Roman" w:hAnsi="Times New Roman"/>
          <w:sz w:val="28"/>
          <w:szCs w:val="28"/>
          <w:lang w:val="uk"/>
        </w:rPr>
        <w:t xml:space="preserve"> розроблено з метою </w:t>
      </w:r>
      <w:r w:rsidRPr="000C7232">
        <w:rPr>
          <w:rFonts w:ascii="Times New Roman" w:hAnsi="Times New Roman"/>
          <w:sz w:val="28"/>
          <w:szCs w:val="28"/>
        </w:rPr>
        <w:t>встановлення правових, економічних та організаційних засад діяльності у сфері забезпечення енергетичної ефективності, забезпечення здійснення енергоефективних заходів, які проводитимуться під час виробництва, транспортування, передачі, розподілу, постачання та споживання енергії.</w:t>
      </w:r>
    </w:p>
    <w:p w14:paraId="75ADAD6E" w14:textId="5B287863" w:rsidR="009D2FF8" w:rsidRDefault="009D2FF8" w:rsidP="004500E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2E34488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b/>
          <w:bCs/>
          <w:sz w:val="28"/>
          <w:szCs w:val="28"/>
          <w:lang w:val="uk"/>
        </w:rPr>
        <w:t>3. Загальна характеристика та основні положення законопроекту</w:t>
      </w: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24C776FE" w14:textId="77777777" w:rsidR="009D2FF8" w:rsidRPr="000C7232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 xml:space="preserve">У проекті Закону визначаються: </w:t>
      </w:r>
    </w:p>
    <w:p w14:paraId="132CAAE5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основні засади державної політики у сфері забезпечення енергетичної ефективності;</w:t>
      </w:r>
    </w:p>
    <w:p w14:paraId="33A4C4A5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особливості формування та виконання національних планів дій з енергоефективності;</w:t>
      </w:r>
    </w:p>
    <w:p w14:paraId="5318C349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підходи до формування стратегії забезпечення енергетичної ефективності будівель;</w:t>
      </w:r>
    </w:p>
    <w:p w14:paraId="78089D16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засади забезпечення економії енергії в будівлях центральних органів виконавчої влади;</w:t>
      </w:r>
    </w:p>
    <w:p w14:paraId="7D7F3F76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особливості врахування критеріїв енергоефективності під час здійснення публічних закупівельчи придбання та найму (оренди) будівель органами державної влади, органами місцевого самоврядування та юридичними особами, які забезпечують потреби держави або територіальної громади;</w:t>
      </w:r>
    </w:p>
    <w:p w14:paraId="15B2966B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вимоги до екодизайну продуктів, пов’язаних із споживанням енергії;</w:t>
      </w:r>
    </w:p>
    <w:p w14:paraId="7F4146C8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засади енергетичного аудиту та енергетичного менеджменту;</w:t>
      </w:r>
    </w:p>
    <w:p w14:paraId="0645648A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особливості запровадження інтелектуальних систем обліку;</w:t>
      </w:r>
    </w:p>
    <w:p w14:paraId="2F2EBB9B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стимулювання енергоефективності в сфері передачі та розподілу електричної енергії, транспортування та розподілу природного газу;</w:t>
      </w:r>
    </w:p>
    <w:p w14:paraId="2EDFE900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стимулювання енергоефективності в сфері теплопостачання;</w:t>
      </w:r>
    </w:p>
    <w:p w14:paraId="5EFA679C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основні засади здійснення енергосервісу;</w:t>
      </w:r>
    </w:p>
    <w:p w14:paraId="4765B7DE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популяризація та стимулювання підвищення рівня енергоефективності серед споживачів;</w:t>
      </w:r>
    </w:p>
    <w:p w14:paraId="7ACC3E82" w14:textId="25DAAC50" w:rsidR="009D2FF8" w:rsidRP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lastRenderedPageBreak/>
        <w:t>відповідальність за порушення законодавства у сфері забезпечення енергетичної ефективності.</w:t>
      </w:r>
    </w:p>
    <w:p w14:paraId="0886ED0D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3B40CDE3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b/>
          <w:bCs/>
          <w:sz w:val="28"/>
          <w:szCs w:val="28"/>
          <w:lang w:val="uk"/>
        </w:rPr>
        <w:t>4. Стан нормативно-правової бази у даній сфері правового регулювання</w:t>
      </w: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5A296463" w14:textId="77777777" w:rsidR="009D2FF8" w:rsidRPr="000C7232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C7232">
        <w:rPr>
          <w:rFonts w:ascii="Times New Roman" w:hAnsi="Times New Roman"/>
          <w:bCs/>
          <w:sz w:val="28"/>
          <w:szCs w:val="28"/>
        </w:rPr>
        <w:t>У даній сфері правового регулювання діють такі нормативно-правові акти:</w:t>
      </w:r>
    </w:p>
    <w:p w14:paraId="00FD090E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Цивільний кодекс України;</w:t>
      </w:r>
    </w:p>
    <w:p w14:paraId="0650FE75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0C7232">
        <w:rPr>
          <w:rFonts w:ascii="Times New Roman" w:hAnsi="Times New Roman"/>
          <w:sz w:val="28"/>
          <w:szCs w:val="28"/>
        </w:rPr>
        <w:t>осподарський кодекс України;</w:t>
      </w:r>
    </w:p>
    <w:p w14:paraId="6C3E93F6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Закон України «Про енергозбереження»;</w:t>
      </w:r>
    </w:p>
    <w:p w14:paraId="37BF3851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Закон України «Про запровадження нових інвестиційних можливостей, гарантування прав та законних інтересів суб’єктів підприємницької діяльності для проведення масштабної енергомодернізації»;</w:t>
      </w:r>
    </w:p>
    <w:p w14:paraId="3DE03DE3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Закон України «Про ринок природного газу»;</w:t>
      </w:r>
    </w:p>
    <w:p w14:paraId="5EB30BB9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Закон України «Про ринок електричної енергії»;</w:t>
      </w:r>
    </w:p>
    <w:p w14:paraId="15D5A561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Закон України «Про теплопостачання»;</w:t>
      </w:r>
    </w:p>
    <w:p w14:paraId="403646AA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Закон України «Про публічні закупівлі»;</w:t>
      </w:r>
    </w:p>
    <w:p w14:paraId="7D41CC15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Закон України «Про Національну комісію, що здійснює державне регулювання у сферах енергетики та комунальних послуг»;</w:t>
      </w:r>
    </w:p>
    <w:p w14:paraId="603F4A26" w14:textId="77777777" w:rsidR="009D2FF8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Закон України «Про енергетичну ефективність будівель»;</w:t>
      </w:r>
    </w:p>
    <w:p w14:paraId="770C6BD8" w14:textId="77777777" w:rsidR="009D2FF8" w:rsidRPr="000C7232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>Закон України «Про Фонд енергоефективності».</w:t>
      </w:r>
    </w:p>
    <w:p w14:paraId="1FF0FBE0" w14:textId="757C4808" w:rsidR="009D2FF8" w:rsidRDefault="009D2FF8" w:rsidP="004500E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AFB85D5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b/>
          <w:bCs/>
          <w:sz w:val="28"/>
          <w:szCs w:val="28"/>
          <w:lang w:val="uk"/>
        </w:rPr>
        <w:t>5. Фінансово-економічне обґрунтування</w:t>
      </w: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1E4A24D5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sz w:val="28"/>
          <w:szCs w:val="28"/>
          <w:lang w:val="uk"/>
        </w:rPr>
        <w:t>Реалізація законопроекту після його прийняття не потребує додаткових витрат із Державного бюджету України.</w:t>
      </w: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1D73BAF3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7BD7BF43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b/>
          <w:bCs/>
          <w:sz w:val="28"/>
          <w:szCs w:val="28"/>
          <w:lang w:val="uk"/>
        </w:rPr>
        <w:t xml:space="preserve">6. </w:t>
      </w:r>
      <w:r w:rsidRPr="1D69283D">
        <w:rPr>
          <w:rFonts w:ascii="Times New Roman" w:hAnsi="Times New Roman"/>
          <w:b/>
          <w:bCs/>
          <w:sz w:val="28"/>
          <w:szCs w:val="28"/>
        </w:rPr>
        <w:t>Запобігання корупції</w:t>
      </w: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1ED15604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sz w:val="28"/>
          <w:szCs w:val="28"/>
          <w:lang w:val="uk"/>
        </w:rPr>
        <w:t>У проекті закону відсутні правила і процедури, які можуть містити ризики вчинення корупційних правопорушень.</w:t>
      </w: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5FDDA7D9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557D2C36" w14:textId="77777777" w:rsidR="009D2FF8" w:rsidRDefault="009D2FF8" w:rsidP="004500E0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"/>
        </w:rPr>
        <w:t>7</w:t>
      </w:r>
      <w:r w:rsidRPr="1D69283D">
        <w:rPr>
          <w:rFonts w:ascii="Times New Roman" w:hAnsi="Times New Roman"/>
          <w:b/>
          <w:bCs/>
          <w:sz w:val="28"/>
          <w:szCs w:val="28"/>
        </w:rPr>
        <w:t>. Прогнозовані соціально-економічні та інші наслідки прийняття законопроекту</w:t>
      </w:r>
      <w:r w:rsidRPr="1D69283D">
        <w:rPr>
          <w:rFonts w:ascii="Times New Roman" w:hAnsi="Times New Roman"/>
          <w:sz w:val="28"/>
          <w:szCs w:val="28"/>
        </w:rPr>
        <w:t xml:space="preserve"> </w:t>
      </w:r>
    </w:p>
    <w:p w14:paraId="5C8AFD68" w14:textId="7E63C5C7" w:rsidR="009D2FF8" w:rsidRPr="00C27322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 xml:space="preserve">Реалізація положень проекту Закону «Про енергетичну ефективність» сприятиме створенню умов для підвищення ефективності </w:t>
      </w:r>
      <w:r w:rsidRPr="000C7232">
        <w:rPr>
          <w:rStyle w:val="a3"/>
          <w:b w:val="0"/>
          <w:sz w:val="28"/>
          <w:szCs w:val="28"/>
        </w:rPr>
        <w:t>використання паливно-енергетичних ресурсів в Україні</w:t>
      </w:r>
      <w:r w:rsidRPr="000C7232">
        <w:rPr>
          <w:rFonts w:ascii="Times New Roman" w:hAnsi="Times New Roman"/>
          <w:sz w:val="28"/>
          <w:szCs w:val="28"/>
        </w:rPr>
        <w:t>, покращенню рівня життя населення внаслідок скорочення витрат на оплату енергетичних ресурсів, раціональному використанню коштів державного та місцевих бюджетів, які спрямовуються на компенсацію витрат, пов’язаних з використанням енергетичних ресурсів, та сприятиме підвищенню енергетичної незалежності та енергетичної безпеки держави.</w:t>
      </w:r>
    </w:p>
    <w:p w14:paraId="73BE2143" w14:textId="368FABE3" w:rsidR="009D2FF8" w:rsidRDefault="009D2FF8" w:rsidP="004500E0">
      <w:pPr>
        <w:pStyle w:val="a8"/>
        <w:spacing w:line="276" w:lineRule="auto"/>
        <w:ind w:firstLine="709"/>
        <w:jc w:val="both"/>
        <w:rPr>
          <w:rStyle w:val="ab"/>
          <w:rFonts w:ascii="Times New Roman" w:hAnsi="Times New Roman"/>
          <w:i w:val="0"/>
          <w:iCs w:val="0"/>
          <w:sz w:val="28"/>
          <w:szCs w:val="28"/>
        </w:rPr>
      </w:pPr>
      <w:r w:rsidRPr="000C7232">
        <w:rPr>
          <w:rStyle w:val="ab"/>
          <w:rFonts w:ascii="Times New Roman" w:hAnsi="Times New Roman"/>
          <w:i w:val="0"/>
          <w:sz w:val="28"/>
          <w:szCs w:val="28"/>
        </w:rPr>
        <w:lastRenderedPageBreak/>
        <w:t>Реалізація проекту Закону позитивно вплине на ринок праці. Положеннями законопроекту передбачено врегулювання діяльності з енергетичного аудиту, яке включає порядок та особливості кваліфікації енергетичних аудиторів, процедури здійснення енергетичного аудиту.</w:t>
      </w:r>
      <w:r>
        <w:rPr>
          <w:rStyle w:val="ab"/>
          <w:rFonts w:ascii="Times New Roman" w:hAnsi="Times New Roman"/>
          <w:i w:val="0"/>
          <w:iCs w:val="0"/>
          <w:sz w:val="28"/>
          <w:szCs w:val="28"/>
        </w:rPr>
        <w:t xml:space="preserve"> </w:t>
      </w:r>
      <w:r w:rsidRPr="000C7232">
        <w:rPr>
          <w:rStyle w:val="ab"/>
          <w:rFonts w:ascii="Times New Roman" w:hAnsi="Times New Roman"/>
          <w:i w:val="0"/>
          <w:sz w:val="28"/>
          <w:szCs w:val="28"/>
        </w:rPr>
        <w:t>Крім того, проект Закону створює умови для розвитку ринку енергоефективних заходів та проектів, що сприятиме збільшенню показнику зайнятості у цій сфері суспільних відносин.</w:t>
      </w:r>
    </w:p>
    <w:p w14:paraId="375442B3" w14:textId="77777777" w:rsidR="009D2FF8" w:rsidRPr="000C7232" w:rsidRDefault="009D2FF8" w:rsidP="004500E0">
      <w:pPr>
        <w:pStyle w:val="a8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7232">
        <w:rPr>
          <w:rFonts w:ascii="Times New Roman" w:hAnsi="Times New Roman"/>
          <w:sz w:val="28"/>
          <w:szCs w:val="28"/>
        </w:rPr>
        <w:t xml:space="preserve">Для держави вигодами від прийняття акта буде можливість моніторингу рівня споживання енергії, оцінки ефективності державних політик та, </w:t>
      </w:r>
      <w:r>
        <w:rPr>
          <w:rFonts w:ascii="Times New Roman" w:hAnsi="Times New Roman"/>
          <w:sz w:val="28"/>
          <w:szCs w:val="28"/>
        </w:rPr>
        <w:t xml:space="preserve">за </w:t>
      </w:r>
      <w:r w:rsidRPr="000C7232">
        <w:rPr>
          <w:rFonts w:ascii="Times New Roman" w:hAnsi="Times New Roman"/>
          <w:sz w:val="28"/>
          <w:szCs w:val="28"/>
        </w:rPr>
        <w:t>необхідності, запровадження додаткових заходів для досягнення планів з ефективного споживання енергії в Україні.</w:t>
      </w:r>
    </w:p>
    <w:p w14:paraId="6D45D084" w14:textId="77777777" w:rsidR="009D2FF8" w:rsidRDefault="009D2FF8" w:rsidP="004500E0">
      <w:pPr>
        <w:spacing w:after="0"/>
        <w:rPr>
          <w:rFonts w:ascii="Times New Roman" w:hAnsi="Times New Roman"/>
          <w:sz w:val="28"/>
          <w:szCs w:val="28"/>
        </w:rPr>
      </w:pPr>
    </w:p>
    <w:p w14:paraId="2A5D3970" w14:textId="77777777" w:rsidR="009D2FF8" w:rsidRDefault="009D2FF8" w:rsidP="009D2FF8">
      <w:pPr>
        <w:spacing w:after="0" w:line="257" w:lineRule="auto"/>
        <w:rPr>
          <w:rFonts w:ascii="Times New Roman" w:hAnsi="Times New Roman"/>
          <w:sz w:val="28"/>
          <w:szCs w:val="28"/>
        </w:rPr>
      </w:pPr>
    </w:p>
    <w:p w14:paraId="55713D4D" w14:textId="33458A65" w:rsidR="009D2FF8" w:rsidRDefault="009D2FF8" w:rsidP="009D2FF8">
      <w:pPr>
        <w:spacing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023233">
        <w:rPr>
          <w:rFonts w:ascii="Times New Roman" w:hAnsi="Times New Roman"/>
          <w:b/>
          <w:sz w:val="28"/>
          <w:szCs w:val="28"/>
        </w:rPr>
        <w:t>Народні депутати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14:paraId="55D51172" w14:textId="22FC50FA" w:rsidR="000C7232" w:rsidRPr="009D2FF8" w:rsidRDefault="009D2FF8" w:rsidP="009D2FF8">
      <w:pPr>
        <w:spacing w:line="240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</w:p>
    <w:sectPr w:rsidR="000C7232" w:rsidRPr="009D2FF8" w:rsidSect="00A97C64">
      <w:headerReference w:type="default" r:id="rId10"/>
      <w:pgSz w:w="11906" w:h="16838"/>
      <w:pgMar w:top="851" w:right="851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06A02" w14:textId="77777777" w:rsidR="006B5E92" w:rsidRDefault="006B5E92" w:rsidP="00A97C64">
      <w:pPr>
        <w:spacing w:after="0" w:line="240" w:lineRule="auto"/>
      </w:pPr>
      <w:r>
        <w:separator/>
      </w:r>
    </w:p>
  </w:endnote>
  <w:endnote w:type="continuationSeparator" w:id="0">
    <w:p w14:paraId="1763A1EA" w14:textId="77777777" w:rsidR="006B5E92" w:rsidRDefault="006B5E92" w:rsidP="00A97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572CD" w14:textId="77777777" w:rsidR="006B5E92" w:rsidRDefault="006B5E92" w:rsidP="00A97C64">
      <w:pPr>
        <w:spacing w:after="0" w:line="240" w:lineRule="auto"/>
      </w:pPr>
      <w:r>
        <w:separator/>
      </w:r>
    </w:p>
  </w:footnote>
  <w:footnote w:type="continuationSeparator" w:id="0">
    <w:p w14:paraId="13DB05C9" w14:textId="77777777" w:rsidR="006B5E92" w:rsidRDefault="006B5E92" w:rsidP="00A97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0506980"/>
      <w:docPartObj>
        <w:docPartGallery w:val="Page Numbers (Top of Page)"/>
        <w:docPartUnique/>
      </w:docPartObj>
    </w:sdtPr>
    <w:sdtEndPr/>
    <w:sdtContent>
      <w:p w14:paraId="6D8833AC" w14:textId="592C8512" w:rsidR="00A97C64" w:rsidRDefault="00A97C6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BBC">
          <w:rPr>
            <w:noProof/>
          </w:rPr>
          <w:t>2</w:t>
        </w:r>
        <w:r>
          <w:fldChar w:fldCharType="end"/>
        </w:r>
      </w:p>
    </w:sdtContent>
  </w:sdt>
  <w:p w14:paraId="32337FB6" w14:textId="77777777" w:rsidR="00A97C64" w:rsidRDefault="00A97C6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B70A3"/>
    <w:multiLevelType w:val="hybridMultilevel"/>
    <w:tmpl w:val="CDA4ABA6"/>
    <w:lvl w:ilvl="0" w:tplc="A5C875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0A8F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C2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4E3E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F0C6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04A0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3C3B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B800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F8DB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77D99"/>
    <w:multiLevelType w:val="hybridMultilevel"/>
    <w:tmpl w:val="65CEEC40"/>
    <w:lvl w:ilvl="0" w:tplc="E7007F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86B4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4476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E605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07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7A99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96BF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5C4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8CB4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313742"/>
    <w:multiLevelType w:val="hybridMultilevel"/>
    <w:tmpl w:val="4B9E610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5B293F"/>
    <w:multiLevelType w:val="hybridMultilevel"/>
    <w:tmpl w:val="F10AC6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481BC1"/>
    <w:multiLevelType w:val="hybridMultilevel"/>
    <w:tmpl w:val="F6A0125E"/>
    <w:lvl w:ilvl="0" w:tplc="006ED30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4789208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A510C67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F2C273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B8574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B380E2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6C097B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F3096C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7AE7AC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DC23D20"/>
    <w:multiLevelType w:val="hybridMultilevel"/>
    <w:tmpl w:val="5E5A1336"/>
    <w:lvl w:ilvl="0" w:tplc="77A6C1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7C65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C488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D60B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7855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2ECC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087A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CCD6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52A4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446"/>
    <w:rsid w:val="0002437F"/>
    <w:rsid w:val="00041722"/>
    <w:rsid w:val="00051B0F"/>
    <w:rsid w:val="00091422"/>
    <w:rsid w:val="0009441D"/>
    <w:rsid w:val="000C7232"/>
    <w:rsid w:val="000E51FF"/>
    <w:rsid w:val="001C1E50"/>
    <w:rsid w:val="001D0795"/>
    <w:rsid w:val="001D20E0"/>
    <w:rsid w:val="00222122"/>
    <w:rsid w:val="0034173C"/>
    <w:rsid w:val="003B2B7B"/>
    <w:rsid w:val="003C54AB"/>
    <w:rsid w:val="003C7A16"/>
    <w:rsid w:val="003E01C1"/>
    <w:rsid w:val="00447508"/>
    <w:rsid w:val="004500E0"/>
    <w:rsid w:val="0052482F"/>
    <w:rsid w:val="00583DB1"/>
    <w:rsid w:val="00666806"/>
    <w:rsid w:val="006B5E92"/>
    <w:rsid w:val="00762A64"/>
    <w:rsid w:val="00765BD1"/>
    <w:rsid w:val="007A6F55"/>
    <w:rsid w:val="007A7C29"/>
    <w:rsid w:val="007B4842"/>
    <w:rsid w:val="007C50AF"/>
    <w:rsid w:val="007D4A10"/>
    <w:rsid w:val="00831D10"/>
    <w:rsid w:val="00856DF7"/>
    <w:rsid w:val="00883635"/>
    <w:rsid w:val="00886992"/>
    <w:rsid w:val="008C3201"/>
    <w:rsid w:val="008C3446"/>
    <w:rsid w:val="00912CB3"/>
    <w:rsid w:val="0097491E"/>
    <w:rsid w:val="009930F5"/>
    <w:rsid w:val="009C20E3"/>
    <w:rsid w:val="009C62E0"/>
    <w:rsid w:val="009D2FF8"/>
    <w:rsid w:val="009F243D"/>
    <w:rsid w:val="00A73053"/>
    <w:rsid w:val="00A97C64"/>
    <w:rsid w:val="00AA7F47"/>
    <w:rsid w:val="00AE4BBC"/>
    <w:rsid w:val="00B04029"/>
    <w:rsid w:val="00B044E1"/>
    <w:rsid w:val="00B54C3B"/>
    <w:rsid w:val="00B621C5"/>
    <w:rsid w:val="00C27322"/>
    <w:rsid w:val="00D25C71"/>
    <w:rsid w:val="00D2711D"/>
    <w:rsid w:val="00D46E29"/>
    <w:rsid w:val="00D80C6C"/>
    <w:rsid w:val="00DD5B18"/>
    <w:rsid w:val="00E04AD7"/>
    <w:rsid w:val="00E54BBC"/>
    <w:rsid w:val="00ED7273"/>
    <w:rsid w:val="00F105CC"/>
    <w:rsid w:val="00FB676E"/>
    <w:rsid w:val="00FB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CE66F"/>
  <w15:docId w15:val="{F3C34663-4C72-4E72-A50A-E93E83CAE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4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E29"/>
    <w:pPr>
      <w:spacing w:after="200" w:line="276" w:lineRule="auto"/>
    </w:pPr>
    <w:rPr>
      <w:rFonts w:ascii="Calibri" w:eastAsia="Times New Roman" w:hAnsi="Calibri" w:cs="Times New Roman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D46E29"/>
    <w:rPr>
      <w:rFonts w:ascii="Times New Roman" w:hAnsi="Times New Roman" w:cs="Times New Roman" w:hint="default"/>
      <w:b/>
      <w:bCs w:val="0"/>
    </w:rPr>
  </w:style>
  <w:style w:type="paragraph" w:styleId="a4">
    <w:name w:val="Body Text Indent"/>
    <w:basedOn w:val="a"/>
    <w:link w:val="a5"/>
    <w:uiPriority w:val="99"/>
    <w:unhideWhenUsed/>
    <w:rsid w:val="00D46E29"/>
    <w:pPr>
      <w:spacing w:before="51" w:after="51" w:line="240" w:lineRule="auto"/>
      <w:ind w:left="142" w:firstLine="425"/>
      <w:jc w:val="both"/>
    </w:pPr>
    <w:rPr>
      <w:rFonts w:ascii="Times New Roman" w:eastAsia="Calibri" w:hAnsi="Times New Roman"/>
      <w:color w:val="000000"/>
      <w:sz w:val="28"/>
      <w:szCs w:val="28"/>
      <w:lang w:eastAsia="ru-RU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D46E29"/>
    <w:rPr>
      <w:rFonts w:eastAsia="Calibri" w:cs="Times New Roman"/>
      <w:color w:val="000000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D46E29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rsid w:val="00D46E29"/>
    <w:rPr>
      <w:rFonts w:ascii="Calibri" w:eastAsia="Times New Roman" w:hAnsi="Calibri" w:cs="Times New Roman"/>
      <w:sz w:val="22"/>
      <w:lang w:eastAsia="uk-UA"/>
    </w:rPr>
  </w:style>
  <w:style w:type="paragraph" w:styleId="a6">
    <w:name w:val="Plain Text"/>
    <w:basedOn w:val="a"/>
    <w:link w:val="a7"/>
    <w:uiPriority w:val="99"/>
    <w:semiHidden/>
    <w:unhideWhenUsed/>
    <w:rsid w:val="00D46E29"/>
    <w:pPr>
      <w:autoSpaceDE w:val="0"/>
      <w:autoSpaceDN w:val="0"/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uiPriority w:val="99"/>
    <w:semiHidden/>
    <w:rsid w:val="00D46E29"/>
    <w:rPr>
      <w:rFonts w:ascii="Courier New" w:eastAsia="Calibri" w:hAnsi="Courier New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D46E29"/>
    <w:pPr>
      <w:spacing w:after="0" w:line="240" w:lineRule="auto"/>
    </w:pPr>
    <w:rPr>
      <w:rFonts w:ascii="Calibri" w:eastAsia="Times New Roman" w:hAnsi="Calibri" w:cs="Times New Roman"/>
      <w:sz w:val="22"/>
      <w:lang w:eastAsia="uk-UA"/>
    </w:rPr>
  </w:style>
  <w:style w:type="character" w:customStyle="1" w:styleId="rvts0">
    <w:name w:val="rvts0"/>
    <w:rsid w:val="00D46E29"/>
    <w:rPr>
      <w:rFonts w:ascii="Times New Roman" w:hAnsi="Times New Roman" w:cs="Times New Roman" w:hint="default"/>
    </w:rPr>
  </w:style>
  <w:style w:type="character" w:customStyle="1" w:styleId="rvts82">
    <w:name w:val="rvts82"/>
    <w:basedOn w:val="a0"/>
    <w:rsid w:val="00D46E29"/>
  </w:style>
  <w:style w:type="paragraph" w:customStyle="1" w:styleId="a9">
    <w:name w:val="Íîđěŕëüíčé ňĺęńň"/>
    <w:basedOn w:val="a"/>
    <w:uiPriority w:val="99"/>
    <w:rsid w:val="00D46E29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a">
    <w:name w:val="List Paragraph"/>
    <w:basedOn w:val="a"/>
    <w:uiPriority w:val="34"/>
    <w:qFormat/>
    <w:rsid w:val="00E04AD7"/>
    <w:pPr>
      <w:ind w:left="720"/>
      <w:contextualSpacing/>
    </w:pPr>
  </w:style>
  <w:style w:type="character" w:styleId="ab">
    <w:name w:val="Emphasis"/>
    <w:basedOn w:val="a0"/>
    <w:qFormat/>
    <w:rsid w:val="00E04AD7"/>
    <w:rPr>
      <w:i/>
      <w:iCs/>
    </w:rPr>
  </w:style>
  <w:style w:type="character" w:styleId="ac">
    <w:name w:val="Hyperlink"/>
    <w:basedOn w:val="a0"/>
    <w:uiPriority w:val="99"/>
    <w:rsid w:val="00912CB3"/>
    <w:rPr>
      <w:rFonts w:cs="Times New Roman"/>
      <w:color w:val="0260D0"/>
      <w:u w:val="none"/>
      <w:effect w:val="none"/>
    </w:rPr>
  </w:style>
  <w:style w:type="character" w:styleId="ad">
    <w:name w:val="FollowedHyperlink"/>
    <w:basedOn w:val="a0"/>
    <w:uiPriority w:val="99"/>
    <w:semiHidden/>
    <w:unhideWhenUsed/>
    <w:rsid w:val="0009441D"/>
    <w:rPr>
      <w:color w:val="954F72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8C32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8C3201"/>
    <w:rPr>
      <w:rFonts w:ascii="Segoe UI" w:eastAsia="Times New Roman" w:hAnsi="Segoe UI" w:cs="Segoe UI"/>
      <w:sz w:val="18"/>
      <w:szCs w:val="18"/>
      <w:lang w:eastAsia="uk-UA"/>
    </w:rPr>
  </w:style>
  <w:style w:type="paragraph" w:styleId="af0">
    <w:name w:val="header"/>
    <w:basedOn w:val="a"/>
    <w:link w:val="af1"/>
    <w:uiPriority w:val="99"/>
    <w:unhideWhenUsed/>
    <w:rsid w:val="00A97C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A97C64"/>
    <w:rPr>
      <w:rFonts w:ascii="Calibri" w:eastAsia="Times New Roman" w:hAnsi="Calibri" w:cs="Times New Roman"/>
      <w:sz w:val="22"/>
      <w:lang w:eastAsia="uk-UA"/>
    </w:rPr>
  </w:style>
  <w:style w:type="paragraph" w:styleId="af2">
    <w:name w:val="footer"/>
    <w:basedOn w:val="a"/>
    <w:link w:val="af3"/>
    <w:uiPriority w:val="99"/>
    <w:unhideWhenUsed/>
    <w:rsid w:val="00A97C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A97C64"/>
    <w:rPr>
      <w:rFonts w:ascii="Calibri" w:eastAsia="Times New Roman" w:hAnsi="Calibri" w:cs="Times New Roman"/>
      <w:sz w:val="22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A00900-9F1A-41DE-AB9B-181F0D7FFC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25CB97-D674-434B-9353-5B4E4DD37C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873BAC-8867-4AA0-A675-1EDD5DC5B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4541</Words>
  <Characters>2589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2020-12-17T08:11:00Z</dcterms:created>
  <dcterms:modified xsi:type="dcterms:W3CDTF">2020-12-17T08:11:00Z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