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7B4" w:rsidRPr="002B178D" w:rsidRDefault="007157B4" w:rsidP="007157B4">
      <w:pPr>
        <w:widowControl w:val="0"/>
        <w:autoSpaceDE w:val="0"/>
        <w:autoSpaceDN w:val="0"/>
        <w:spacing w:before="71"/>
        <w:ind w:right="324"/>
        <w:outlineLvl w:val="0"/>
        <w:rPr>
          <w:b/>
          <w:bCs/>
          <w:color w:val="000000"/>
          <w:sz w:val="28"/>
          <w:szCs w:val="28"/>
          <w:lang w:val="en-US"/>
        </w:rPr>
      </w:pPr>
    </w:p>
    <w:p w:rsidR="00CB58C7" w:rsidRDefault="00CB58C7" w:rsidP="00006F36">
      <w:pPr>
        <w:widowControl w:val="0"/>
        <w:autoSpaceDE w:val="0"/>
        <w:autoSpaceDN w:val="0"/>
        <w:spacing w:before="71"/>
        <w:ind w:right="324"/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ПОЯСНЮВАЛЬНА ЗАПИСКА</w:t>
      </w:r>
    </w:p>
    <w:p w:rsidR="00CB58C7" w:rsidRDefault="00CB58C7" w:rsidP="00CB58C7">
      <w:pPr>
        <w:widowControl w:val="0"/>
        <w:autoSpaceDE w:val="0"/>
        <w:autoSpaceDN w:val="0"/>
        <w:spacing w:line="322" w:lineRule="exact"/>
        <w:ind w:left="320" w:right="327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до проекту Закону України „Про внесення змін до Закону України</w:t>
      </w:r>
    </w:p>
    <w:p w:rsidR="00CB58C7" w:rsidRDefault="00CB58C7" w:rsidP="00CB58C7">
      <w:pPr>
        <w:widowControl w:val="0"/>
        <w:autoSpaceDE w:val="0"/>
        <w:autoSpaceDN w:val="0"/>
        <w:ind w:left="320" w:right="26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„Про статус і соціальний захист громадян, які постраждали внаслідок Чорнобильської катастрофи” щодо підвищення рівня пенсійного забезпечення окремих категорій осіб”</w:t>
      </w:r>
    </w:p>
    <w:p w:rsidR="00CB58C7" w:rsidRDefault="00CB58C7" w:rsidP="00CB58C7">
      <w:pPr>
        <w:widowControl w:val="0"/>
        <w:numPr>
          <w:ilvl w:val="1"/>
          <w:numId w:val="1"/>
        </w:numPr>
        <w:tabs>
          <w:tab w:val="left" w:pos="851"/>
        </w:tabs>
        <w:autoSpaceDE w:val="0"/>
        <w:autoSpaceDN w:val="0"/>
        <w:spacing w:before="1" w:line="319" w:lineRule="exact"/>
        <w:ind w:left="0" w:firstLine="567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Резюме</w:t>
      </w:r>
    </w:p>
    <w:p w:rsidR="00CB58C7" w:rsidRPr="0039402D" w:rsidRDefault="00CB58C7" w:rsidP="00CB58C7">
      <w:pPr>
        <w:widowControl w:val="0"/>
        <w:tabs>
          <w:tab w:val="left" w:pos="851"/>
        </w:tabs>
        <w:autoSpaceDE w:val="0"/>
        <w:autoSpaceDN w:val="0"/>
        <w:ind w:right="125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Проект акта розроблено з метою встановлення рівних можливостей пенсійного забезпечення окремих категорій осіб з числа учасників ліквідації наслідків аварії на Чорнобильській АЕС, щодо яких встановлено причинний зв’язок інвалідності з Чорнобильською катастрофою, осіб, які брали безпосередню участь у ліквідації інших ядерних аварій та їх наслідків, у ядерних випробуваннях, у військових навчаннях із застосуванням ядерної зброї і внаслідок цього стали особами з інвалідністю. </w:t>
      </w:r>
    </w:p>
    <w:p w:rsidR="00CB58C7" w:rsidRDefault="00CB58C7" w:rsidP="00CB58C7">
      <w:pPr>
        <w:widowControl w:val="0"/>
        <w:numPr>
          <w:ilvl w:val="1"/>
          <w:numId w:val="1"/>
        </w:numPr>
        <w:tabs>
          <w:tab w:val="left" w:pos="851"/>
        </w:tabs>
        <w:autoSpaceDE w:val="0"/>
        <w:autoSpaceDN w:val="0"/>
        <w:spacing w:before="185" w:line="321" w:lineRule="exact"/>
        <w:ind w:left="0" w:firstLine="567"/>
        <w:jc w:val="both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Проблема, яка потребує розв’язання</w:t>
      </w: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ind w:right="119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Рішенням Конституційного Суду України № 1-р(ІІ)2019 від 25.04.2019 визнано положення частини третьої статті 59 Закону України „Про статус і соціальний захист громадян, які постраждали внаслідок Чорнобильської катастрофи” (далі – Закон) таким, що не відповідає Конституції України </w:t>
      </w:r>
      <w:r w:rsidR="00006F36">
        <w:rPr>
          <w:color w:val="000000"/>
          <w:sz w:val="28"/>
          <w:szCs w:val="28"/>
        </w:rPr>
        <w:t xml:space="preserve">                        </w:t>
      </w:r>
      <w:r>
        <w:rPr>
          <w:color w:val="000000"/>
          <w:sz w:val="28"/>
          <w:szCs w:val="28"/>
        </w:rPr>
        <w:t>(є неконституційним). На виконання цього Рішення розширено коло осіб, які мають</w:t>
      </w:r>
      <w:r>
        <w:rPr>
          <w:color w:val="000000"/>
          <w:spacing w:val="-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право</w:t>
      </w:r>
      <w:r>
        <w:rPr>
          <w:color w:val="000000"/>
          <w:spacing w:val="-2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</w:t>
      </w:r>
      <w:r>
        <w:rPr>
          <w:color w:val="000000"/>
          <w:spacing w:val="-2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отримання</w:t>
      </w:r>
      <w:r>
        <w:rPr>
          <w:color w:val="000000"/>
          <w:spacing w:val="-1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пенсії</w:t>
      </w:r>
      <w:r>
        <w:rPr>
          <w:color w:val="000000"/>
          <w:spacing w:val="-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</w:t>
      </w:r>
      <w:r>
        <w:rPr>
          <w:color w:val="000000"/>
          <w:spacing w:val="-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інвалідності,</w:t>
      </w:r>
      <w:r>
        <w:rPr>
          <w:color w:val="000000"/>
          <w:spacing w:val="-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що</w:t>
      </w:r>
      <w:r>
        <w:rPr>
          <w:color w:val="000000"/>
          <w:spacing w:val="-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обчислюється</w:t>
      </w:r>
      <w:r>
        <w:rPr>
          <w:color w:val="000000"/>
          <w:spacing w:val="-1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>
        <w:rPr>
          <w:color w:val="000000"/>
          <w:spacing w:val="-1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п’ятикратного розміру</w:t>
      </w:r>
      <w:r>
        <w:rPr>
          <w:color w:val="000000"/>
          <w:spacing w:val="-2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мінімальної</w:t>
      </w:r>
      <w:r>
        <w:rPr>
          <w:color w:val="000000"/>
          <w:spacing w:val="-2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заробітної</w:t>
      </w:r>
      <w:r>
        <w:rPr>
          <w:color w:val="000000"/>
          <w:spacing w:val="-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плати,</w:t>
      </w:r>
      <w:r>
        <w:rPr>
          <w:color w:val="000000"/>
          <w:spacing w:val="-2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встановленої</w:t>
      </w:r>
      <w:r>
        <w:rPr>
          <w:color w:val="000000"/>
          <w:spacing w:val="-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законом</w:t>
      </w:r>
      <w:r>
        <w:rPr>
          <w:color w:val="000000"/>
          <w:spacing w:val="-21"/>
          <w:sz w:val="28"/>
          <w:szCs w:val="28"/>
        </w:rPr>
        <w:t xml:space="preserve"> </w:t>
      </w:r>
      <w:r w:rsidR="00006F36">
        <w:rPr>
          <w:color w:val="000000"/>
          <w:spacing w:val="-21"/>
          <w:sz w:val="28"/>
          <w:szCs w:val="28"/>
        </w:rPr>
        <w:t xml:space="preserve">                </w:t>
      </w:r>
      <w:r>
        <w:rPr>
          <w:color w:val="000000"/>
          <w:sz w:val="28"/>
          <w:szCs w:val="28"/>
        </w:rPr>
        <w:t>на</w:t>
      </w:r>
      <w:r>
        <w:rPr>
          <w:color w:val="000000"/>
          <w:spacing w:val="-2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</w:t>
      </w:r>
      <w:r>
        <w:rPr>
          <w:color w:val="000000"/>
          <w:spacing w:val="-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січня</w:t>
      </w:r>
      <w:r>
        <w:rPr>
          <w:color w:val="000000"/>
          <w:spacing w:val="-1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відповідного року, зокрема для військовослужбовців, які брали участь у ліквідації наслідків Чорнобильської катастрофи, інших ядерних аварій та випробувань, у військових навчаннях із застосуванням ядерної зброї під час проходження військової служби (військових зборів) і внаслідок цього стали особами з</w:t>
      </w:r>
      <w:r>
        <w:rPr>
          <w:color w:val="000000"/>
          <w:spacing w:val="-1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інвалідністю.</w:t>
      </w: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ind w:right="123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цьому іншим учасникам ліквідації аварії на Чорнобильській АЕС (інших ядерних аварій) не надано право на отримання пенсій, обчислених з п’ятикратного розміру мінімальної заробітної</w:t>
      </w:r>
      <w:r>
        <w:rPr>
          <w:color w:val="000000"/>
          <w:spacing w:val="-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плати,</w:t>
      </w:r>
      <w:r>
        <w:rPr>
          <w:color w:val="000000"/>
          <w:spacing w:val="-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встановленої</w:t>
      </w:r>
      <w:r>
        <w:rPr>
          <w:color w:val="000000"/>
          <w:spacing w:val="-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законом</w:t>
      </w:r>
      <w:r>
        <w:rPr>
          <w:color w:val="000000"/>
          <w:spacing w:val="-11"/>
          <w:sz w:val="28"/>
          <w:szCs w:val="28"/>
        </w:rPr>
        <w:t xml:space="preserve"> </w:t>
      </w:r>
      <w:r w:rsidR="00006F36">
        <w:rPr>
          <w:color w:val="000000"/>
          <w:spacing w:val="-11"/>
          <w:sz w:val="28"/>
          <w:szCs w:val="28"/>
        </w:rPr>
        <w:t xml:space="preserve">                   </w:t>
      </w:r>
      <w:r>
        <w:rPr>
          <w:color w:val="000000"/>
          <w:sz w:val="28"/>
          <w:szCs w:val="28"/>
        </w:rPr>
        <w:t>на</w:t>
      </w:r>
      <w:r>
        <w:rPr>
          <w:color w:val="000000"/>
          <w:spacing w:val="-1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</w:t>
      </w:r>
      <w:r>
        <w:rPr>
          <w:color w:val="000000"/>
          <w:spacing w:val="-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січня</w:t>
      </w:r>
      <w:r>
        <w:rPr>
          <w:color w:val="000000"/>
          <w:spacing w:val="-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відповідного</w:t>
      </w:r>
      <w:r>
        <w:rPr>
          <w:color w:val="000000"/>
          <w:spacing w:val="-1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року,</w:t>
      </w:r>
      <w:r>
        <w:rPr>
          <w:color w:val="000000"/>
          <w:spacing w:val="-9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що порушує принцип соціальної </w:t>
      </w:r>
      <w:r>
        <w:rPr>
          <w:color w:val="000000"/>
          <w:spacing w:val="-1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справедливості.</w:t>
      </w:r>
    </w:p>
    <w:p w:rsidR="00CB58C7" w:rsidRDefault="00CB58C7" w:rsidP="00CB58C7">
      <w:pPr>
        <w:widowControl w:val="0"/>
        <w:numPr>
          <w:ilvl w:val="1"/>
          <w:numId w:val="1"/>
        </w:numPr>
        <w:tabs>
          <w:tab w:val="left" w:pos="851"/>
        </w:tabs>
        <w:autoSpaceDE w:val="0"/>
        <w:autoSpaceDN w:val="0"/>
        <w:spacing w:before="187" w:line="320" w:lineRule="exact"/>
        <w:ind w:left="0" w:firstLine="567"/>
        <w:jc w:val="both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Суть проекту</w:t>
      </w:r>
      <w:r>
        <w:rPr>
          <w:b/>
          <w:bCs/>
          <w:color w:val="000000"/>
          <w:spacing w:val="-4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акта</w:t>
      </w:r>
    </w:p>
    <w:p w:rsidR="00006F36" w:rsidRDefault="00CB58C7" w:rsidP="00CB58C7">
      <w:pPr>
        <w:widowControl w:val="0"/>
        <w:tabs>
          <w:tab w:val="left" w:pos="851"/>
        </w:tabs>
        <w:autoSpaceDE w:val="0"/>
        <w:autoSpaceDN w:val="0"/>
        <w:ind w:right="121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Проектом акта передбачено урегулювання питання забезпечення права на отримання державної пенсії, обчисленої з п’ятикратного розміру мінімальної заробітної плати, встановленої законом на 1 січня відповідного року, для всіх учасників ліквідації наслідків аварії на Чорнобильській АЕС, щодо яких встановлено причинний зв’язок інвалідності з Чорнобильською катастрофою, осіб, які брали безпосередню участь у ліквідації інших ядерних аварій та їх наслідків, у ядерних випробуваннях, у військових навчаннях із застосуванням ядерної зброї і внаслідок цьог</w:t>
      </w:r>
      <w:r w:rsidR="00006F36">
        <w:rPr>
          <w:color w:val="000000"/>
          <w:sz w:val="28"/>
          <w:szCs w:val="28"/>
        </w:rPr>
        <w:t>о стали особами з інвалідністю.</w:t>
      </w:r>
    </w:p>
    <w:p w:rsidR="00CB58C7" w:rsidRPr="00006F36" w:rsidRDefault="00CB58C7" w:rsidP="00CB58C7">
      <w:pPr>
        <w:widowControl w:val="0"/>
        <w:tabs>
          <w:tab w:val="left" w:pos="851"/>
        </w:tabs>
        <w:autoSpaceDE w:val="0"/>
        <w:autoSpaceDN w:val="0"/>
        <w:ind w:right="121" w:firstLine="567"/>
        <w:jc w:val="both"/>
        <w:rPr>
          <w:color w:val="000000"/>
          <w:sz w:val="14"/>
          <w:szCs w:val="14"/>
        </w:rPr>
      </w:pPr>
      <w:r>
        <w:rPr>
          <w:color w:val="000000"/>
          <w:sz w:val="28"/>
          <w:szCs w:val="28"/>
        </w:rPr>
        <w:t xml:space="preserve"> </w:t>
      </w: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ind w:right="121" w:firstLine="567"/>
        <w:jc w:val="both"/>
        <w:rPr>
          <w:b/>
          <w:bCs/>
          <w:color w:val="000000"/>
          <w:sz w:val="28"/>
          <w:szCs w:val="28"/>
        </w:rPr>
      </w:pPr>
      <w:r w:rsidRPr="00006F36">
        <w:rPr>
          <w:b/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Вплив на</w:t>
      </w:r>
      <w:r>
        <w:rPr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бюджет</w:t>
      </w: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ind w:right="12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Реалізація акта потребуватиме додаткових видатків з Державного бюджету України в розмірі 526,5 млн грн на 2021</w:t>
      </w:r>
      <w:r>
        <w:rPr>
          <w:color w:val="000000"/>
          <w:spacing w:val="-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рік (</w:t>
      </w:r>
      <w:r w:rsidR="00215B8A">
        <w:rPr>
          <w:color w:val="000000"/>
          <w:sz w:val="28"/>
          <w:szCs w:val="28"/>
        </w:rPr>
        <w:t>для виплат у липні – грудні</w:t>
      </w:r>
      <w:r>
        <w:rPr>
          <w:color w:val="000000"/>
          <w:sz w:val="28"/>
          <w:szCs w:val="28"/>
        </w:rPr>
        <w:t>). З урахуванням індексації пенсійних виплат у 2022 році сума додаткових</w:t>
      </w:r>
      <w:r w:rsidR="0039402D">
        <w:rPr>
          <w:color w:val="000000"/>
          <w:sz w:val="28"/>
          <w:szCs w:val="28"/>
        </w:rPr>
        <w:t xml:space="preserve"> </w:t>
      </w:r>
      <w:r w:rsidR="00215B8A">
        <w:rPr>
          <w:color w:val="000000"/>
          <w:sz w:val="28"/>
          <w:szCs w:val="28"/>
        </w:rPr>
        <w:t xml:space="preserve">видатків становитиме </w:t>
      </w:r>
      <w:r>
        <w:rPr>
          <w:color w:val="000000"/>
          <w:sz w:val="28"/>
          <w:szCs w:val="28"/>
        </w:rPr>
        <w:t xml:space="preserve">1 158 млн </w:t>
      </w:r>
      <w:r w:rsidR="00006F36">
        <w:rPr>
          <w:color w:val="000000"/>
          <w:sz w:val="28"/>
          <w:szCs w:val="28"/>
        </w:rPr>
        <w:t xml:space="preserve">грн </w:t>
      </w:r>
      <w:r>
        <w:rPr>
          <w:color w:val="000000"/>
          <w:sz w:val="28"/>
          <w:szCs w:val="28"/>
        </w:rPr>
        <w:t>на рік (10-відсоткова індексація),</w:t>
      </w:r>
      <w:r w:rsidR="0039402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 2023 році – відповідно</w:t>
      </w:r>
      <w:r w:rsidR="00006F36">
        <w:rPr>
          <w:color w:val="000000"/>
          <w:sz w:val="28"/>
          <w:szCs w:val="28"/>
        </w:rPr>
        <w:t xml:space="preserve"> 1 262 млн грн на рік</w:t>
      </w:r>
      <w:r>
        <w:rPr>
          <w:color w:val="000000"/>
          <w:sz w:val="28"/>
          <w:szCs w:val="28"/>
        </w:rPr>
        <w:t xml:space="preserve"> (9-відсоткова індексація).</w:t>
      </w:r>
    </w:p>
    <w:p w:rsidR="00CB58C7" w:rsidRDefault="00CB58C7" w:rsidP="00006F36">
      <w:pPr>
        <w:widowControl w:val="0"/>
        <w:tabs>
          <w:tab w:val="left" w:pos="851"/>
        </w:tabs>
        <w:autoSpaceDE w:val="0"/>
        <w:autoSpaceDN w:val="0"/>
        <w:ind w:right="12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Фінансово-економічні розрахунки додаються.</w:t>
      </w:r>
    </w:p>
    <w:p w:rsidR="00AF319F" w:rsidRPr="00AF319F" w:rsidRDefault="00AF319F" w:rsidP="00006F36">
      <w:pPr>
        <w:widowControl w:val="0"/>
        <w:tabs>
          <w:tab w:val="left" w:pos="851"/>
        </w:tabs>
        <w:autoSpaceDE w:val="0"/>
        <w:autoSpaceDN w:val="0"/>
        <w:ind w:right="120" w:firstLine="567"/>
        <w:jc w:val="both"/>
        <w:rPr>
          <w:color w:val="000000"/>
          <w:sz w:val="14"/>
          <w:szCs w:val="14"/>
        </w:rPr>
      </w:pPr>
    </w:p>
    <w:p w:rsidR="00CB58C7" w:rsidRPr="00006F36" w:rsidRDefault="00CB58C7" w:rsidP="00006F36">
      <w:pPr>
        <w:pStyle w:val="a7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67" w:line="321" w:lineRule="exact"/>
        <w:jc w:val="both"/>
        <w:outlineLvl w:val="0"/>
        <w:rPr>
          <w:b/>
          <w:bCs/>
          <w:color w:val="000000"/>
          <w:sz w:val="28"/>
          <w:szCs w:val="28"/>
        </w:rPr>
      </w:pPr>
      <w:r w:rsidRPr="00006F36">
        <w:rPr>
          <w:b/>
          <w:bCs/>
          <w:color w:val="000000"/>
          <w:sz w:val="28"/>
          <w:szCs w:val="28"/>
        </w:rPr>
        <w:t>Позиція заінтересованих</w:t>
      </w:r>
      <w:r w:rsidRPr="00006F36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006F36">
        <w:rPr>
          <w:b/>
          <w:bCs/>
          <w:color w:val="000000"/>
          <w:sz w:val="28"/>
          <w:szCs w:val="28"/>
        </w:rPr>
        <w:t>сторін</w:t>
      </w:r>
    </w:p>
    <w:p w:rsidR="00CB58C7" w:rsidRPr="00A35055" w:rsidRDefault="00CB58C7" w:rsidP="00CB58C7">
      <w:pPr>
        <w:widowControl w:val="0"/>
        <w:tabs>
          <w:tab w:val="left" w:pos="851"/>
        </w:tabs>
        <w:autoSpaceDE w:val="0"/>
        <w:autoSpaceDN w:val="0"/>
        <w:ind w:right="12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Реалізація акта матиме вплив на осіб із числа учасників ліквідації наслідків аварії на Чорнобильській АЕС, щодо яких встановлено причинний зв’язок інвалідності з Чорнобильською катастрофою, осіб, які брали безпосередню участь у ліквідації інших ядерних аварій та їх наслідків, у ядерних випробуваннях, у військових навчаннях із застосуванням ядерної зброї і внаслідок цього стали особами </w:t>
      </w:r>
      <w:r w:rsidRPr="00A35055">
        <w:rPr>
          <w:color w:val="000000"/>
          <w:sz w:val="28"/>
          <w:szCs w:val="28"/>
        </w:rPr>
        <w:t>з інвалідністю</w:t>
      </w:r>
      <w:r w:rsidR="00D26BD1">
        <w:rPr>
          <w:color w:val="000000"/>
          <w:sz w:val="28"/>
          <w:szCs w:val="28"/>
        </w:rPr>
        <w:t>,</w:t>
      </w:r>
      <w:r w:rsidR="00D86EC3">
        <w:rPr>
          <w:color w:val="000000"/>
          <w:sz w:val="28"/>
          <w:szCs w:val="28"/>
        </w:rPr>
        <w:t xml:space="preserve"> та осіб, які отримують пенсію</w:t>
      </w:r>
      <w:r w:rsidR="001E5ACA">
        <w:rPr>
          <w:color w:val="000000"/>
          <w:sz w:val="28"/>
          <w:szCs w:val="28"/>
        </w:rPr>
        <w:t xml:space="preserve"> </w:t>
      </w:r>
      <w:r w:rsidR="00D86EC3">
        <w:rPr>
          <w:color w:val="000000"/>
          <w:sz w:val="28"/>
          <w:szCs w:val="28"/>
        </w:rPr>
        <w:t>в разі втрати годувальника внаслідок Чорнобильської катастрофи.</w:t>
      </w:r>
    </w:p>
    <w:p w:rsidR="00CB58C7" w:rsidRPr="00A35055" w:rsidRDefault="00CB58C7" w:rsidP="00CB58C7">
      <w:pPr>
        <w:widowControl w:val="0"/>
        <w:tabs>
          <w:tab w:val="left" w:pos="851"/>
        </w:tabs>
        <w:autoSpaceDE w:val="0"/>
        <w:autoSpaceDN w:val="0"/>
        <w:ind w:right="127" w:firstLine="567"/>
        <w:jc w:val="both"/>
        <w:rPr>
          <w:color w:val="000000"/>
          <w:sz w:val="28"/>
          <w:szCs w:val="28"/>
        </w:rPr>
      </w:pPr>
      <w:r w:rsidRPr="00A35055">
        <w:rPr>
          <w:color w:val="000000"/>
          <w:sz w:val="28"/>
          <w:szCs w:val="28"/>
        </w:rPr>
        <w:t>Прогноз впливу реалізації акта на ключові інтереси заінтересованих сторін додається.</w:t>
      </w:r>
    </w:p>
    <w:p w:rsidR="00CB58C7" w:rsidRPr="00795335" w:rsidRDefault="00CB58C7" w:rsidP="00CB58C7">
      <w:pPr>
        <w:widowControl w:val="0"/>
        <w:tabs>
          <w:tab w:val="left" w:pos="851"/>
        </w:tabs>
        <w:autoSpaceDE w:val="0"/>
        <w:autoSpaceDN w:val="0"/>
        <w:ind w:right="121" w:firstLine="567"/>
        <w:jc w:val="both"/>
        <w:rPr>
          <w:color w:val="000000"/>
          <w:sz w:val="28"/>
          <w:szCs w:val="28"/>
        </w:rPr>
      </w:pPr>
      <w:r w:rsidRPr="00A35055">
        <w:rPr>
          <w:color w:val="000000"/>
          <w:sz w:val="28"/>
          <w:szCs w:val="28"/>
        </w:rPr>
        <w:t>Проект акта стосується соціально-трудової сфери, прав осіб з інвалідністю та погоджено без зауважень Спільним представницьким органом репрезентативних всеукраїнських об’єднань профспілок на національному</w:t>
      </w:r>
      <w:r w:rsidRPr="00A35055">
        <w:rPr>
          <w:color w:val="000000"/>
          <w:spacing w:val="-8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рівні;</w:t>
      </w:r>
      <w:r w:rsidRPr="00795335">
        <w:t xml:space="preserve"> </w:t>
      </w:r>
      <w:r w:rsidRPr="00795335">
        <w:rPr>
          <w:color w:val="000000"/>
          <w:sz w:val="28"/>
          <w:szCs w:val="28"/>
        </w:rPr>
        <w:t>із заува</w:t>
      </w:r>
      <w:r>
        <w:rPr>
          <w:color w:val="000000"/>
          <w:sz w:val="28"/>
          <w:szCs w:val="28"/>
        </w:rPr>
        <w:t xml:space="preserve">женнями, які враховано частково, </w:t>
      </w:r>
      <w:r w:rsidRPr="00795335">
        <w:rPr>
          <w:color w:val="000000"/>
          <w:sz w:val="28"/>
          <w:szCs w:val="28"/>
        </w:rPr>
        <w:t>–</w:t>
      </w:r>
      <w:r w:rsidRPr="00795335">
        <w:t xml:space="preserve"> </w:t>
      </w:r>
      <w:r w:rsidRPr="00795335">
        <w:rPr>
          <w:color w:val="000000"/>
          <w:sz w:val="28"/>
          <w:szCs w:val="28"/>
        </w:rPr>
        <w:t>Громадською спілкою „Всеукраїнське громадське об’єднання „Національна Асамблея людей з інвалідністю України”</w:t>
      </w:r>
      <w:r>
        <w:rPr>
          <w:color w:val="000000"/>
          <w:sz w:val="28"/>
          <w:szCs w:val="28"/>
        </w:rPr>
        <w:t>.</w:t>
      </w: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ind w:right="121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Pr="00A35055">
        <w:rPr>
          <w:color w:val="000000"/>
          <w:sz w:val="28"/>
          <w:szCs w:val="28"/>
        </w:rPr>
        <w:t>азом з тим</w:t>
      </w:r>
      <w:r w:rsidRPr="00795335">
        <w:t xml:space="preserve"> </w:t>
      </w:r>
      <w:r w:rsidRPr="00795335">
        <w:rPr>
          <w:color w:val="000000"/>
          <w:sz w:val="28"/>
          <w:szCs w:val="28"/>
        </w:rPr>
        <w:t>Спільним представницьким органом репрезентативних всеукраїнських об’єднань профспілок на національному рівні</w:t>
      </w:r>
      <w:r w:rsidRPr="00A35055">
        <w:rPr>
          <w:color w:val="000000"/>
          <w:sz w:val="28"/>
          <w:szCs w:val="28"/>
        </w:rPr>
        <w:t xml:space="preserve"> висловлено застереження стосовно необхідності удосконалення формули обчислення заробітку для</w:t>
      </w:r>
      <w:r w:rsidR="007157B4">
        <w:rPr>
          <w:color w:val="000000"/>
          <w:sz w:val="28"/>
          <w:szCs w:val="28"/>
        </w:rPr>
        <w:t xml:space="preserve"> визначення розміру пенсії</w:t>
      </w:r>
      <w:r w:rsidRPr="00A35055">
        <w:rPr>
          <w:color w:val="000000"/>
          <w:sz w:val="28"/>
          <w:szCs w:val="28"/>
        </w:rPr>
        <w:t>, щоб вона забезпечувала обчислення пенсій із п</w:t>
      </w:r>
      <w:r w:rsidRPr="0039402D">
        <w:rPr>
          <w:color w:val="000000"/>
          <w:sz w:val="28"/>
          <w:szCs w:val="28"/>
        </w:rPr>
        <w:t>’</w:t>
      </w:r>
      <w:r w:rsidRPr="00A35055">
        <w:rPr>
          <w:color w:val="000000"/>
          <w:sz w:val="28"/>
          <w:szCs w:val="28"/>
        </w:rPr>
        <w:t>ятикратного розміру заробітної плати.</w:t>
      </w:r>
      <w:r w:rsidR="007157B4">
        <w:rPr>
          <w:color w:val="000000"/>
          <w:sz w:val="28"/>
          <w:szCs w:val="28"/>
        </w:rPr>
        <w:t xml:space="preserve"> Це застереження </w:t>
      </w:r>
      <w:r w:rsidR="00006F36">
        <w:rPr>
          <w:color w:val="000000"/>
          <w:sz w:val="28"/>
          <w:szCs w:val="28"/>
        </w:rPr>
        <w:t xml:space="preserve">не враховано, оскільки </w:t>
      </w:r>
      <w:r w:rsidR="007157B4">
        <w:rPr>
          <w:color w:val="000000"/>
          <w:sz w:val="28"/>
          <w:szCs w:val="28"/>
        </w:rPr>
        <w:t xml:space="preserve">воно </w:t>
      </w:r>
      <w:r>
        <w:rPr>
          <w:color w:val="000000"/>
          <w:sz w:val="28"/>
          <w:szCs w:val="28"/>
        </w:rPr>
        <w:t>стосується змін до постанови Кабінету Міністрів України „</w:t>
      </w:r>
      <w:r w:rsidRPr="00170944">
        <w:rPr>
          <w:color w:val="000000"/>
          <w:sz w:val="28"/>
          <w:szCs w:val="28"/>
        </w:rPr>
        <w:t>Про підвищення рівня соціального захисту громадян, які постраждали внаслідок Чорнобильської катастрофи</w:t>
      </w:r>
      <w:r w:rsidR="00006F36">
        <w:rPr>
          <w:color w:val="000000"/>
          <w:sz w:val="28"/>
          <w:szCs w:val="28"/>
        </w:rPr>
        <w:t>”</w:t>
      </w:r>
      <w:r>
        <w:rPr>
          <w:color w:val="000000"/>
          <w:sz w:val="28"/>
          <w:szCs w:val="28"/>
        </w:rPr>
        <w:t xml:space="preserve"> від 23.11.2011 </w:t>
      </w:r>
      <w:r w:rsidRPr="00170944">
        <w:rPr>
          <w:color w:val="000000"/>
          <w:sz w:val="28"/>
          <w:szCs w:val="28"/>
        </w:rPr>
        <w:t>№ 1210</w:t>
      </w:r>
      <w:r w:rsidR="00006F36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ind w:right="121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Спільному представницькому органу сторони роботодавців проект акта надіслано на погодження листом Мінсоцполітики від 23.09.2020                       </w:t>
      </w:r>
      <w:r w:rsidR="007157B4">
        <w:rPr>
          <w:color w:val="000000"/>
          <w:sz w:val="28"/>
          <w:szCs w:val="28"/>
        </w:rPr>
        <w:t>№ 8843/0/290-20/54. Станом на 30</w:t>
      </w:r>
      <w:r>
        <w:rPr>
          <w:color w:val="000000"/>
          <w:sz w:val="28"/>
          <w:szCs w:val="28"/>
        </w:rPr>
        <w:t>.11.2020 відповіді не надходило.</w:t>
      </w: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ind w:right="12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 акта не стосується питань функціонування місцевого</w:t>
      </w:r>
      <w:r>
        <w:rPr>
          <w:color w:val="000000"/>
          <w:spacing w:val="-47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самоврядування, прав та інтересів територіальних громад, місцевого та регіонального розвитку, сфери наукової та науково-технічної діяльності та не потребує погодження уповноваженими представниками всеукраїнських асоціацій органів місцевого самоврядування, відповідних органів місцевого самоврядування та Науковим комітетом Національної ради з питань розвитку науки і</w:t>
      </w:r>
      <w:r>
        <w:rPr>
          <w:color w:val="000000"/>
          <w:spacing w:val="-1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технологій.</w:t>
      </w:r>
    </w:p>
    <w:p w:rsidR="00CB58C7" w:rsidRDefault="00CB58C7" w:rsidP="00006F36">
      <w:pPr>
        <w:widowControl w:val="0"/>
        <w:tabs>
          <w:tab w:val="left" w:pos="851"/>
        </w:tabs>
        <w:autoSpaceDE w:val="0"/>
        <w:autoSpaceDN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 акта  було опубліковано на офіційному сайті Мінсоцполітики та розглянуто на засіданні Громадської ради при Мінсоцполітики 08.10.2020. За результатами цього засідання відповідно до протоколу № 10 засідання Громадської ради при Мінсоцполітики зазначений проект акта було погоджено без зауважень.</w:t>
      </w:r>
    </w:p>
    <w:p w:rsidR="00CB58C7" w:rsidRPr="00006F36" w:rsidRDefault="00CB58C7" w:rsidP="00006F36">
      <w:pPr>
        <w:pStyle w:val="a7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188" w:line="319" w:lineRule="exact"/>
        <w:jc w:val="both"/>
        <w:outlineLvl w:val="0"/>
        <w:rPr>
          <w:b/>
          <w:bCs/>
          <w:color w:val="000000"/>
          <w:sz w:val="28"/>
          <w:szCs w:val="28"/>
        </w:rPr>
      </w:pPr>
      <w:r w:rsidRPr="00006F36">
        <w:rPr>
          <w:b/>
          <w:bCs/>
          <w:color w:val="000000"/>
          <w:sz w:val="28"/>
          <w:szCs w:val="28"/>
        </w:rPr>
        <w:t>Позиція заінтересованих</w:t>
      </w:r>
      <w:r w:rsidRPr="00006F36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006F36">
        <w:rPr>
          <w:b/>
          <w:bCs/>
          <w:color w:val="000000"/>
          <w:sz w:val="28"/>
          <w:szCs w:val="28"/>
        </w:rPr>
        <w:t>органів</w:t>
      </w: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ind w:right="122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 акта погоджено без зауважень Міністерством розвитку економіки, торгівлі та сільського господарства України</w:t>
      </w:r>
      <w:r>
        <w:rPr>
          <w:color w:val="000000"/>
          <w:spacing w:val="-13"/>
          <w:sz w:val="28"/>
          <w:szCs w:val="28"/>
        </w:rPr>
        <w:t xml:space="preserve"> та </w:t>
      </w:r>
      <w:r>
        <w:rPr>
          <w:color w:val="000000"/>
          <w:sz w:val="28"/>
          <w:szCs w:val="28"/>
        </w:rPr>
        <w:t>Пенсійним</w:t>
      </w:r>
      <w:r>
        <w:rPr>
          <w:color w:val="000000"/>
          <w:spacing w:val="-1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фондом</w:t>
      </w:r>
      <w:r>
        <w:rPr>
          <w:color w:val="000000"/>
          <w:spacing w:val="-13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України;                              із зауваженнями, які враховано, – Уповноваженим Верховної Ради України з прав людини, Міністерством юстиції України.</w:t>
      </w:r>
    </w:p>
    <w:p w:rsidR="00CB58C7" w:rsidRDefault="00CB58C7" w:rsidP="00006F36">
      <w:pPr>
        <w:widowControl w:val="0"/>
        <w:tabs>
          <w:tab w:val="left" w:pos="851"/>
        </w:tabs>
        <w:autoSpaceDE w:val="0"/>
        <w:autoSpaceDN w:val="0"/>
        <w:ind w:right="122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Міністерство фінансів України в порушення вимог </w:t>
      </w:r>
      <w:r>
        <w:rPr>
          <w:bCs/>
          <w:color w:val="000000"/>
          <w:sz w:val="28"/>
          <w:szCs w:val="28"/>
          <w:shd w:val="clear" w:color="auto" w:fill="FFFFFF"/>
        </w:rPr>
        <w:t>§</w:t>
      </w:r>
      <w:r>
        <w:rPr>
          <w:b/>
          <w:bCs/>
          <w:color w:val="000000"/>
          <w:sz w:val="28"/>
          <w:szCs w:val="28"/>
          <w:shd w:val="clear" w:color="auto" w:fill="FFFFFF"/>
        </w:rPr>
        <w:t> </w:t>
      </w:r>
      <w:r>
        <w:rPr>
          <w:bCs/>
          <w:color w:val="000000"/>
          <w:sz w:val="28"/>
          <w:szCs w:val="28"/>
          <w:shd w:val="clear" w:color="auto" w:fill="FFFFFF"/>
        </w:rPr>
        <w:t>37 Регламенту Кабінету Міністрів України, затвердженого</w:t>
      </w:r>
      <w:r>
        <w:rPr>
          <w:color w:val="000000"/>
          <w:sz w:val="28"/>
          <w:szCs w:val="28"/>
          <w:shd w:val="clear" w:color="auto" w:fill="FFFFFF"/>
        </w:rPr>
        <w:t xml:space="preserve"> постановою Кабінету Міністрів України</w:t>
      </w:r>
      <w:r w:rsidR="00006F36"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>від 18.07.2007 № 950 (зі змінами)</w:t>
      </w:r>
      <w:r w:rsidR="007157B4">
        <w:rPr>
          <w:bCs/>
          <w:color w:val="000000"/>
          <w:sz w:val="28"/>
          <w:szCs w:val="28"/>
          <w:shd w:val="clear" w:color="auto" w:fill="FFFFFF"/>
        </w:rPr>
        <w:t>,</w:t>
      </w:r>
      <w:r>
        <w:rPr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 xml:space="preserve">двічі листами за підписом заступника Міністра </w:t>
      </w:r>
      <w:proofErr w:type="spellStart"/>
      <w:r>
        <w:rPr>
          <w:color w:val="000000"/>
          <w:sz w:val="28"/>
          <w:szCs w:val="28"/>
        </w:rPr>
        <w:t>Єрмоличева</w:t>
      </w:r>
      <w:proofErr w:type="spellEnd"/>
      <w:r>
        <w:rPr>
          <w:color w:val="000000"/>
          <w:sz w:val="28"/>
          <w:szCs w:val="28"/>
        </w:rPr>
        <w:t xml:space="preserve"> Р. В.</w:t>
      </w:r>
      <w:r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bCs/>
          <w:color w:val="000000"/>
          <w:sz w:val="28"/>
          <w:szCs w:val="28"/>
          <w:shd w:val="clear" w:color="auto" w:fill="FFFFFF"/>
        </w:rPr>
        <w:t xml:space="preserve">(від 24.09.2020 № 09030-15-5/29467 та від 08.10.2020 № 09030-29-5/31013) інформувало, що не має можливості погодити проект акта, оскільки до нього не подано пропозицій щодо реальних джерел покриття додаткових видатків, у зв’язку з чим він не буде фінансово забезпечений. </w:t>
      </w: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ind w:right="122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Також Пенсійним фондом України висловлено застереження про те, що  </w:t>
      </w:r>
      <w:r w:rsidR="007157B4">
        <w:rPr>
          <w:color w:val="000000"/>
          <w:sz w:val="28"/>
          <w:szCs w:val="28"/>
        </w:rPr>
        <w:t xml:space="preserve">для </w:t>
      </w:r>
      <w:r>
        <w:rPr>
          <w:color w:val="000000"/>
          <w:sz w:val="28"/>
          <w:szCs w:val="28"/>
        </w:rPr>
        <w:t>реалізації</w:t>
      </w:r>
      <w:r w:rsidR="007157B4">
        <w:rPr>
          <w:color w:val="000000"/>
          <w:sz w:val="28"/>
          <w:szCs w:val="28"/>
        </w:rPr>
        <w:t xml:space="preserve"> норм проекту акта необхідні додаткові видатки </w:t>
      </w:r>
      <w:r>
        <w:rPr>
          <w:color w:val="000000"/>
          <w:sz w:val="28"/>
          <w:szCs w:val="28"/>
        </w:rPr>
        <w:t>за рахунок коштів Державного бюджету України, що потребує врахування думки Міністерства фінансів України щодо можливості його реалізації.</w:t>
      </w: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ind w:right="122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Міністерством юстиції України висловлено застереження щодо неузгодженості положень проекту акта із нормами Закону України „Про внесення змін до деяких законодавчих актів України” від 06.12.2016</w:t>
      </w:r>
      <w:r w:rsidR="00006F36">
        <w:rPr>
          <w:color w:val="000000"/>
          <w:sz w:val="28"/>
          <w:szCs w:val="28"/>
        </w:rPr>
        <w:t xml:space="preserve">                                </w:t>
      </w:r>
      <w:r>
        <w:rPr>
          <w:color w:val="000000"/>
          <w:sz w:val="28"/>
          <w:szCs w:val="28"/>
        </w:rPr>
        <w:t xml:space="preserve"> № 1774-</w:t>
      </w:r>
      <w:r>
        <w:rPr>
          <w:color w:val="000000"/>
          <w:sz w:val="28"/>
          <w:szCs w:val="28"/>
          <w:lang w:val="en-US"/>
        </w:rPr>
        <w:t>VIII</w:t>
      </w:r>
      <w:r>
        <w:rPr>
          <w:color w:val="000000"/>
          <w:sz w:val="28"/>
          <w:szCs w:val="28"/>
        </w:rPr>
        <w:t xml:space="preserve"> (далі – Закон № 1774)</w:t>
      </w:r>
      <w:r w:rsidRPr="0039402D">
        <w:rPr>
          <w:color w:val="000000"/>
          <w:sz w:val="28"/>
          <w:szCs w:val="28"/>
        </w:rPr>
        <w:t xml:space="preserve">, якими передбачено </w:t>
      </w:r>
      <w:r>
        <w:rPr>
          <w:color w:val="000000"/>
          <w:sz w:val="28"/>
          <w:szCs w:val="28"/>
        </w:rPr>
        <w:t>незастосування  мінімальної заробітної плати як розрахункової величини при визначенні посадових окладів, заробітної плати працівників та інших виплат. Це застереження не враховано, оскільки з</w:t>
      </w:r>
      <w:r w:rsidR="007157B4">
        <w:rPr>
          <w:color w:val="000000"/>
          <w:sz w:val="28"/>
          <w:szCs w:val="28"/>
        </w:rPr>
        <w:t xml:space="preserve">а відсутності </w:t>
      </w:r>
      <w:r w:rsidRPr="00170944">
        <w:rPr>
          <w:color w:val="000000"/>
          <w:sz w:val="28"/>
          <w:szCs w:val="28"/>
        </w:rPr>
        <w:t>необхідних даних про заробітну плату</w:t>
      </w:r>
      <w:r w:rsidR="007157B4">
        <w:rPr>
          <w:color w:val="000000"/>
          <w:sz w:val="28"/>
          <w:szCs w:val="28"/>
        </w:rPr>
        <w:t>, нараховану й отриману понад 30 років тому</w:t>
      </w:r>
      <w:r w:rsidR="00D26BD1">
        <w:rPr>
          <w:color w:val="000000"/>
          <w:sz w:val="28"/>
          <w:szCs w:val="28"/>
        </w:rPr>
        <w:t>,</w:t>
      </w:r>
      <w:r w:rsidR="002B178D">
        <w:rPr>
          <w:color w:val="000000"/>
          <w:sz w:val="28"/>
          <w:szCs w:val="28"/>
        </w:rPr>
        <w:t xml:space="preserve"> т</w:t>
      </w:r>
      <w:r w:rsidR="00D26BD1">
        <w:rPr>
          <w:color w:val="000000"/>
          <w:sz w:val="28"/>
          <w:szCs w:val="28"/>
        </w:rPr>
        <w:t>а з метою забезпечення однакового підходу</w:t>
      </w:r>
      <w:r w:rsidR="002B178D">
        <w:rPr>
          <w:color w:val="000000"/>
          <w:sz w:val="28"/>
          <w:szCs w:val="28"/>
        </w:rPr>
        <w:t xml:space="preserve"> </w:t>
      </w:r>
      <w:r w:rsidR="00F0125D">
        <w:rPr>
          <w:color w:val="000000"/>
          <w:sz w:val="28"/>
          <w:szCs w:val="28"/>
        </w:rPr>
        <w:t xml:space="preserve">до </w:t>
      </w:r>
      <w:r w:rsidRPr="00170944">
        <w:rPr>
          <w:color w:val="000000"/>
          <w:sz w:val="28"/>
          <w:szCs w:val="28"/>
        </w:rPr>
        <w:t>призн</w:t>
      </w:r>
      <w:r w:rsidR="002B178D">
        <w:rPr>
          <w:color w:val="000000"/>
          <w:sz w:val="28"/>
          <w:szCs w:val="28"/>
        </w:rPr>
        <w:t>ачення пенсій у різні роки</w:t>
      </w:r>
      <w:r w:rsidRPr="00170944">
        <w:rPr>
          <w:color w:val="000000"/>
          <w:sz w:val="28"/>
          <w:szCs w:val="28"/>
        </w:rPr>
        <w:t xml:space="preserve"> виникає необхідність застосування універсального показника заробітної плати. Єдиним таким показником</w:t>
      </w:r>
      <w:r w:rsidR="007157B4">
        <w:rPr>
          <w:color w:val="000000"/>
          <w:sz w:val="28"/>
          <w:szCs w:val="28"/>
        </w:rPr>
        <w:t xml:space="preserve">, установленим </w:t>
      </w:r>
      <w:r w:rsidRPr="00170944">
        <w:rPr>
          <w:color w:val="000000"/>
          <w:sz w:val="28"/>
          <w:szCs w:val="28"/>
        </w:rPr>
        <w:t>на законодавчому рівні</w:t>
      </w:r>
      <w:r w:rsidR="007157B4">
        <w:rPr>
          <w:color w:val="000000"/>
          <w:sz w:val="28"/>
          <w:szCs w:val="28"/>
        </w:rPr>
        <w:t>,</w:t>
      </w:r>
      <w:r w:rsidRPr="00170944">
        <w:rPr>
          <w:color w:val="000000"/>
          <w:sz w:val="28"/>
          <w:szCs w:val="28"/>
        </w:rPr>
        <w:t xml:space="preserve"> є показник мінімальної заробітної плати.</w:t>
      </w:r>
      <w:r>
        <w:rPr>
          <w:color w:val="000000"/>
          <w:sz w:val="28"/>
          <w:szCs w:val="28"/>
        </w:rPr>
        <w:t xml:space="preserve"> </w:t>
      </w:r>
      <w:r w:rsidR="007157B4">
        <w:rPr>
          <w:color w:val="000000"/>
          <w:sz w:val="28"/>
          <w:szCs w:val="28"/>
        </w:rPr>
        <w:t>За таких умов</w:t>
      </w:r>
      <w:r w:rsidRPr="00170944">
        <w:rPr>
          <w:color w:val="000000"/>
          <w:sz w:val="28"/>
          <w:szCs w:val="28"/>
        </w:rPr>
        <w:t xml:space="preserve"> застосування показника мінімальної заробітної плати у формулі для обчислення пенсії не суперечить пункту 3 розділу ӀӀ „Прикінцеві та перехідні положення” Закону </w:t>
      </w:r>
      <w:r>
        <w:rPr>
          <w:color w:val="000000"/>
          <w:sz w:val="28"/>
          <w:szCs w:val="28"/>
        </w:rPr>
        <w:t>№ 1774.</w:t>
      </w:r>
    </w:p>
    <w:p w:rsidR="00CB58C7" w:rsidRPr="00530C26" w:rsidRDefault="00CB58C7" w:rsidP="00CB58C7">
      <w:pPr>
        <w:widowControl w:val="0"/>
        <w:tabs>
          <w:tab w:val="left" w:pos="851"/>
        </w:tabs>
        <w:autoSpaceDE w:val="0"/>
        <w:autoSpaceDN w:val="0"/>
        <w:ind w:right="122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</w:t>
      </w:r>
      <w:r w:rsidR="001E5ACA">
        <w:rPr>
          <w:color w:val="000000"/>
          <w:sz w:val="28"/>
          <w:szCs w:val="28"/>
        </w:rPr>
        <w:t>ом з тим з</w:t>
      </w:r>
      <w:r>
        <w:rPr>
          <w:color w:val="000000"/>
          <w:sz w:val="28"/>
          <w:szCs w:val="28"/>
        </w:rPr>
        <w:t>аступник</w:t>
      </w:r>
      <w:r w:rsidR="001E5ACA">
        <w:rPr>
          <w:color w:val="000000"/>
          <w:sz w:val="28"/>
          <w:szCs w:val="28"/>
        </w:rPr>
        <w:t>ом</w:t>
      </w:r>
      <w:r>
        <w:rPr>
          <w:color w:val="000000"/>
          <w:sz w:val="28"/>
          <w:szCs w:val="28"/>
        </w:rPr>
        <w:t xml:space="preserve"> </w:t>
      </w:r>
      <w:r w:rsidR="001E5ACA">
        <w:rPr>
          <w:color w:val="000000"/>
          <w:sz w:val="28"/>
          <w:szCs w:val="28"/>
        </w:rPr>
        <w:t>Міністра юстиції – Уповноваженим</w:t>
      </w:r>
      <w:r>
        <w:rPr>
          <w:color w:val="000000"/>
          <w:sz w:val="28"/>
          <w:szCs w:val="28"/>
        </w:rPr>
        <w:t xml:space="preserve"> у справах Європейського</w:t>
      </w:r>
      <w:r w:rsidR="001E5ACA">
        <w:rPr>
          <w:color w:val="000000"/>
          <w:sz w:val="28"/>
          <w:szCs w:val="28"/>
        </w:rPr>
        <w:t xml:space="preserve"> суду з прав людини </w:t>
      </w:r>
      <w:r>
        <w:rPr>
          <w:color w:val="000000"/>
          <w:sz w:val="28"/>
          <w:szCs w:val="28"/>
        </w:rPr>
        <w:t xml:space="preserve"> у висновку щодо відповідності положенням Конвенції про захист прав людини і основоположних свобод та практиці Єв</w:t>
      </w:r>
      <w:r w:rsidR="001E5ACA">
        <w:rPr>
          <w:color w:val="000000"/>
          <w:sz w:val="28"/>
          <w:szCs w:val="28"/>
        </w:rPr>
        <w:t xml:space="preserve">ропейського суду з прав людини </w:t>
      </w:r>
      <w:r>
        <w:rPr>
          <w:color w:val="000000"/>
          <w:sz w:val="28"/>
          <w:szCs w:val="28"/>
        </w:rPr>
        <w:t>вис</w:t>
      </w:r>
      <w:r w:rsidR="001E5ACA">
        <w:rPr>
          <w:color w:val="000000"/>
          <w:sz w:val="28"/>
          <w:szCs w:val="28"/>
        </w:rPr>
        <w:t>ловлено</w:t>
      </w:r>
      <w:r>
        <w:rPr>
          <w:color w:val="000000"/>
          <w:sz w:val="28"/>
          <w:szCs w:val="28"/>
        </w:rPr>
        <w:t xml:space="preserve"> застереження про</w:t>
      </w:r>
      <w:r w:rsidR="001E5AC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те, що </w:t>
      </w:r>
      <w:r w:rsidR="001E5ACA">
        <w:rPr>
          <w:color w:val="000000"/>
          <w:sz w:val="28"/>
          <w:szCs w:val="28"/>
        </w:rPr>
        <w:t xml:space="preserve">варто </w:t>
      </w:r>
      <w:r>
        <w:rPr>
          <w:color w:val="000000"/>
          <w:sz w:val="28"/>
          <w:szCs w:val="28"/>
        </w:rPr>
        <w:t>утриматись від прийняття рішень, які спрямовані на збільшення розміру виплат і пільг, а отже</w:t>
      </w:r>
      <w:r w:rsidR="001E5ACA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і збільшення видатків на їх фінансування, до моменту вирішення питання погашення заборгованості за рішеннями національних судів, винесених проти держави.</w:t>
      </w: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ind w:right="122"/>
        <w:jc w:val="both"/>
        <w:rPr>
          <w:color w:val="000000"/>
          <w:sz w:val="28"/>
          <w:szCs w:val="28"/>
        </w:rPr>
      </w:pPr>
    </w:p>
    <w:p w:rsidR="00CB58C7" w:rsidRPr="00006F36" w:rsidRDefault="00CB58C7" w:rsidP="00006F36">
      <w:pPr>
        <w:pStyle w:val="a7"/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spacing w:before="72" w:line="319" w:lineRule="exact"/>
        <w:jc w:val="both"/>
        <w:outlineLvl w:val="0"/>
        <w:rPr>
          <w:b/>
          <w:bCs/>
          <w:color w:val="000000"/>
          <w:sz w:val="28"/>
          <w:szCs w:val="28"/>
        </w:rPr>
      </w:pPr>
      <w:r w:rsidRPr="00006F36">
        <w:rPr>
          <w:b/>
          <w:bCs/>
          <w:color w:val="000000"/>
          <w:sz w:val="28"/>
          <w:szCs w:val="28"/>
        </w:rPr>
        <w:t>Підстава розроблення проекту</w:t>
      </w:r>
      <w:r w:rsidRPr="00006F36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006F36">
        <w:rPr>
          <w:b/>
          <w:bCs/>
          <w:color w:val="000000"/>
          <w:sz w:val="28"/>
          <w:szCs w:val="28"/>
        </w:rPr>
        <w:t>акта</w:t>
      </w: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ind w:right="124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 акта розроблено Міністерством соціальної політики України за власною ініціативою.</w:t>
      </w:r>
    </w:p>
    <w:p w:rsidR="00CB58C7" w:rsidRDefault="00CB58C7" w:rsidP="005B38D8">
      <w:pPr>
        <w:widowControl w:val="0"/>
        <w:tabs>
          <w:tab w:val="left" w:pos="851"/>
        </w:tabs>
        <w:autoSpaceDE w:val="0"/>
        <w:autoSpaceDN w:val="0"/>
        <w:rPr>
          <w:color w:val="000000"/>
          <w:sz w:val="28"/>
          <w:szCs w:val="28"/>
        </w:rPr>
      </w:pP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spacing w:before="4"/>
        <w:ind w:firstLine="567"/>
        <w:jc w:val="both"/>
        <w:rPr>
          <w:color w:val="000000"/>
          <w:sz w:val="28"/>
          <w:szCs w:val="28"/>
        </w:rPr>
      </w:pP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spacing w:line="322" w:lineRule="exact"/>
        <w:jc w:val="both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Міністр соціальної </w:t>
      </w: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spacing w:line="322" w:lineRule="exact"/>
        <w:jc w:val="both"/>
        <w:outlineLvl w:val="0"/>
        <w:rPr>
          <w:b/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політики</w:t>
      </w:r>
      <w:r>
        <w:rPr>
          <w:b/>
          <w:color w:val="000000"/>
          <w:spacing w:val="-3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України                                                             Марина ЛАЗЕБНА</w:t>
      </w:r>
    </w:p>
    <w:p w:rsidR="00CB58C7" w:rsidRDefault="00CB58C7" w:rsidP="00CB58C7">
      <w:pPr>
        <w:widowControl w:val="0"/>
        <w:tabs>
          <w:tab w:val="left" w:pos="851"/>
          <w:tab w:val="left" w:pos="2494"/>
        </w:tabs>
        <w:autoSpaceDE w:val="0"/>
        <w:autoSpaceDN w:val="0"/>
        <w:spacing w:before="89"/>
        <w:rPr>
          <w:color w:val="000000"/>
          <w:sz w:val="28"/>
          <w:szCs w:val="28"/>
        </w:rPr>
      </w:pPr>
    </w:p>
    <w:p w:rsidR="00CB58C7" w:rsidRDefault="00CB58C7" w:rsidP="00CB58C7">
      <w:pPr>
        <w:widowControl w:val="0"/>
        <w:tabs>
          <w:tab w:val="left" w:pos="851"/>
        </w:tabs>
        <w:autoSpaceDE w:val="0"/>
        <w:autoSpaceDN w:val="0"/>
        <w:spacing w:line="20" w:lineRule="exact"/>
        <w:ind w:firstLine="567"/>
        <w:rPr>
          <w:color w:val="000000"/>
          <w:sz w:val="28"/>
          <w:szCs w:val="28"/>
        </w:rPr>
      </w:pPr>
    </w:p>
    <w:p w:rsidR="000F45EA" w:rsidRDefault="00CB58C7" w:rsidP="0039402D">
      <w:pPr>
        <w:widowControl w:val="0"/>
        <w:tabs>
          <w:tab w:val="left" w:pos="851"/>
        </w:tabs>
        <w:autoSpaceDE w:val="0"/>
        <w:autoSpaceDN w:val="0"/>
      </w:pPr>
      <w:r>
        <w:rPr>
          <w:color w:val="000000"/>
          <w:sz w:val="28"/>
          <w:szCs w:val="28"/>
        </w:rPr>
        <w:t>_____ _____________ 2020 р.</w:t>
      </w:r>
    </w:p>
    <w:sectPr w:rsidR="000F45EA" w:rsidSect="007157B4">
      <w:headerReference w:type="default" r:id="rId8"/>
      <w:pgSz w:w="11906" w:h="16838"/>
      <w:pgMar w:top="850" w:right="850" w:bottom="56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D93" w:rsidRDefault="001A3D93" w:rsidP="00CB58C7">
      <w:r>
        <w:separator/>
      </w:r>
    </w:p>
  </w:endnote>
  <w:endnote w:type="continuationSeparator" w:id="0">
    <w:p w:rsidR="001A3D93" w:rsidRDefault="001A3D93" w:rsidP="00CB5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D93" w:rsidRDefault="001A3D93" w:rsidP="00CB58C7">
      <w:r>
        <w:separator/>
      </w:r>
    </w:p>
  </w:footnote>
  <w:footnote w:type="continuationSeparator" w:id="0">
    <w:p w:rsidR="001A3D93" w:rsidRDefault="001A3D93" w:rsidP="00CB58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65410849"/>
      <w:docPartObj>
        <w:docPartGallery w:val="Page Numbers (Top of Page)"/>
        <w:docPartUnique/>
      </w:docPartObj>
    </w:sdtPr>
    <w:sdtEndPr/>
    <w:sdtContent>
      <w:p w:rsidR="00CB58C7" w:rsidRDefault="00CB58C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402D">
          <w:rPr>
            <w:noProof/>
          </w:rPr>
          <w:t>2</w:t>
        </w:r>
        <w:r>
          <w:fldChar w:fldCharType="end"/>
        </w:r>
      </w:p>
    </w:sdtContent>
  </w:sdt>
  <w:p w:rsidR="00CB58C7" w:rsidRDefault="00CB58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632FC"/>
    <w:multiLevelType w:val="hybridMultilevel"/>
    <w:tmpl w:val="CCB24B5A"/>
    <w:lvl w:ilvl="0" w:tplc="6CBA7522">
      <w:start w:val="1"/>
      <w:numFmt w:val="decimal"/>
      <w:lvlText w:val="%1."/>
      <w:lvlJc w:val="left"/>
      <w:pPr>
        <w:ind w:left="826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30800578">
      <w:start w:val="1"/>
      <w:numFmt w:val="decimal"/>
      <w:lvlText w:val="%2."/>
      <w:lvlJc w:val="left"/>
      <w:pPr>
        <w:ind w:left="966" w:hanging="28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uk-UA" w:eastAsia="en-US" w:bidi="ar-SA"/>
      </w:rPr>
    </w:lvl>
    <w:lvl w:ilvl="2" w:tplc="1B9C753E">
      <w:start w:val="1"/>
      <w:numFmt w:val="decimal"/>
      <w:lvlText w:val="%3."/>
      <w:lvlJc w:val="left"/>
      <w:pPr>
        <w:ind w:left="1246" w:hanging="36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7"/>
        <w:szCs w:val="27"/>
        <w:lang w:val="uk-UA" w:eastAsia="en-US" w:bidi="ar-SA"/>
      </w:rPr>
    </w:lvl>
    <w:lvl w:ilvl="3" w:tplc="49CC7BE2">
      <w:numFmt w:val="bullet"/>
      <w:lvlText w:val="•"/>
      <w:lvlJc w:val="left"/>
      <w:pPr>
        <w:ind w:left="2355" w:hanging="360"/>
      </w:pPr>
      <w:rPr>
        <w:rFonts w:hint="default"/>
        <w:lang w:val="uk-UA" w:eastAsia="en-US" w:bidi="ar-SA"/>
      </w:rPr>
    </w:lvl>
    <w:lvl w:ilvl="4" w:tplc="1526B2FA">
      <w:numFmt w:val="bullet"/>
      <w:lvlText w:val="•"/>
      <w:lvlJc w:val="left"/>
      <w:pPr>
        <w:ind w:left="3471" w:hanging="360"/>
      </w:pPr>
      <w:rPr>
        <w:rFonts w:hint="default"/>
        <w:lang w:val="uk-UA" w:eastAsia="en-US" w:bidi="ar-SA"/>
      </w:rPr>
    </w:lvl>
    <w:lvl w:ilvl="5" w:tplc="8CBCB4BA">
      <w:numFmt w:val="bullet"/>
      <w:lvlText w:val="•"/>
      <w:lvlJc w:val="left"/>
      <w:pPr>
        <w:ind w:left="4587" w:hanging="360"/>
      </w:pPr>
      <w:rPr>
        <w:rFonts w:hint="default"/>
        <w:lang w:val="uk-UA" w:eastAsia="en-US" w:bidi="ar-SA"/>
      </w:rPr>
    </w:lvl>
    <w:lvl w:ilvl="6" w:tplc="C9DA46E2">
      <w:numFmt w:val="bullet"/>
      <w:lvlText w:val="•"/>
      <w:lvlJc w:val="left"/>
      <w:pPr>
        <w:ind w:left="5703" w:hanging="360"/>
      </w:pPr>
      <w:rPr>
        <w:rFonts w:hint="default"/>
        <w:lang w:val="uk-UA" w:eastAsia="en-US" w:bidi="ar-SA"/>
      </w:rPr>
    </w:lvl>
    <w:lvl w:ilvl="7" w:tplc="D2C2017A">
      <w:numFmt w:val="bullet"/>
      <w:lvlText w:val="•"/>
      <w:lvlJc w:val="left"/>
      <w:pPr>
        <w:ind w:left="6819" w:hanging="360"/>
      </w:pPr>
      <w:rPr>
        <w:rFonts w:hint="default"/>
        <w:lang w:val="uk-UA" w:eastAsia="en-US" w:bidi="ar-SA"/>
      </w:rPr>
    </w:lvl>
    <w:lvl w:ilvl="8" w:tplc="0BC87286">
      <w:numFmt w:val="bullet"/>
      <w:lvlText w:val="•"/>
      <w:lvlJc w:val="left"/>
      <w:pPr>
        <w:ind w:left="7934" w:hanging="360"/>
      </w:pPr>
      <w:rPr>
        <w:rFonts w:hint="default"/>
        <w:lang w:val="uk-UA" w:eastAsia="en-US" w:bidi="ar-SA"/>
      </w:rPr>
    </w:lvl>
  </w:abstractNum>
  <w:abstractNum w:abstractNumId="1">
    <w:nsid w:val="47FB2240"/>
    <w:multiLevelType w:val="hybridMultilevel"/>
    <w:tmpl w:val="57002676"/>
    <w:lvl w:ilvl="0" w:tplc="524C82BE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835"/>
    <w:rsid w:val="00006F36"/>
    <w:rsid w:val="000F45EA"/>
    <w:rsid w:val="001A3D93"/>
    <w:rsid w:val="001E5ACA"/>
    <w:rsid w:val="00206084"/>
    <w:rsid w:val="00215B8A"/>
    <w:rsid w:val="002B178D"/>
    <w:rsid w:val="00392300"/>
    <w:rsid w:val="0039402D"/>
    <w:rsid w:val="003F1A44"/>
    <w:rsid w:val="005B38D8"/>
    <w:rsid w:val="00611252"/>
    <w:rsid w:val="007157B4"/>
    <w:rsid w:val="007C52E1"/>
    <w:rsid w:val="00883835"/>
    <w:rsid w:val="00884413"/>
    <w:rsid w:val="00912A2A"/>
    <w:rsid w:val="00946E64"/>
    <w:rsid w:val="00AF319F"/>
    <w:rsid w:val="00CB58C7"/>
    <w:rsid w:val="00D26BD1"/>
    <w:rsid w:val="00D86EC3"/>
    <w:rsid w:val="00E9344D"/>
    <w:rsid w:val="00F01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58C7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B58C7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unhideWhenUsed/>
    <w:rsid w:val="00CB58C7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B58C7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006F3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B178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B178D"/>
    <w:rPr>
      <w:rFonts w:ascii="Segoe UI" w:eastAsia="Times New Roman" w:hAnsi="Segoe UI" w:cs="Segoe UI"/>
      <w:sz w:val="18"/>
      <w:szCs w:val="18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8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58C7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B58C7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unhideWhenUsed/>
    <w:rsid w:val="00CB58C7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B58C7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006F3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B178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B178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5321</Words>
  <Characters>3034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Юрків Юлія</dc:creator>
  <cp:keywords/>
  <dc:description/>
  <cp:lastModifiedBy>Юрків Юлія</cp:lastModifiedBy>
  <cp:revision>15</cp:revision>
  <cp:lastPrinted>2020-11-30T11:13:00Z</cp:lastPrinted>
  <dcterms:created xsi:type="dcterms:W3CDTF">2020-11-27T09:16:00Z</dcterms:created>
  <dcterms:modified xsi:type="dcterms:W3CDTF">2020-11-30T12:16:00Z</dcterms:modified>
</cp:coreProperties>
</file>