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6C7F99" w:rsidRPr="00341E7A" w:rsidTr="00B71B10">
        <w:tc>
          <w:tcPr>
            <w:tcW w:w="11957" w:type="dxa"/>
            <w:tcBorders>
              <w:top w:val="nil"/>
              <w:left w:val="nil"/>
              <w:bottom w:val="nil"/>
              <w:right w:val="nil"/>
            </w:tcBorders>
          </w:tcPr>
          <w:p w:rsidR="006C7F99" w:rsidRPr="00341E7A" w:rsidRDefault="006C7F99" w:rsidP="00B71B10">
            <w:pPr>
              <w:pStyle w:val="a5"/>
              <w:tabs>
                <w:tab w:val="clear" w:pos="4677"/>
                <w:tab w:val="clear" w:pos="9355"/>
              </w:tabs>
              <w:rPr>
                <w:rFonts w:ascii="Times New Roman" w:hAnsi="Times New Roman"/>
                <w:color w:val="002060"/>
                <w:sz w:val="32"/>
                <w:szCs w:val="32"/>
                <w:lang w:val="uk-UA"/>
              </w:rPr>
            </w:pPr>
          </w:p>
          <w:p w:rsidR="006C7F99" w:rsidRPr="00341E7A" w:rsidRDefault="006C7F99" w:rsidP="00B71B10">
            <w:pPr>
              <w:pStyle w:val="a5"/>
              <w:tabs>
                <w:tab w:val="clear" w:pos="4677"/>
                <w:tab w:val="clear" w:pos="9355"/>
              </w:tabs>
              <w:rPr>
                <w:rFonts w:ascii="Times New Roman" w:hAnsi="Times New Roman"/>
                <w:color w:val="002060"/>
                <w:sz w:val="32"/>
                <w:szCs w:val="32"/>
                <w:lang w:val="uk-UA"/>
              </w:rPr>
            </w:pPr>
          </w:p>
          <w:p w:rsidR="006C7F99" w:rsidRPr="00341E7A" w:rsidRDefault="006C7F99" w:rsidP="00B71B10">
            <w:pPr>
              <w:pStyle w:val="a5"/>
              <w:tabs>
                <w:tab w:val="clear" w:pos="4677"/>
                <w:tab w:val="clear" w:pos="9355"/>
              </w:tabs>
              <w:rPr>
                <w:rFonts w:ascii="Times New Roman" w:hAnsi="Times New Roman"/>
                <w:color w:val="002060"/>
                <w:sz w:val="32"/>
                <w:szCs w:val="32"/>
                <w:lang w:val="uk-UA"/>
              </w:rPr>
            </w:pPr>
          </w:p>
          <w:p w:rsidR="006C7F99" w:rsidRPr="00341E7A" w:rsidRDefault="006C7F99" w:rsidP="00B71B10">
            <w:pPr>
              <w:pStyle w:val="a5"/>
              <w:tabs>
                <w:tab w:val="clear" w:pos="4677"/>
                <w:tab w:val="clear" w:pos="9355"/>
              </w:tabs>
              <w:spacing w:before="160"/>
              <w:ind w:right="34"/>
              <w:jc w:val="center"/>
              <w:rPr>
                <w:rFonts w:ascii="Times New Roman" w:hAnsi="Times New Roman"/>
                <w:color w:val="1829A8"/>
                <w:spacing w:val="20"/>
                <w:sz w:val="32"/>
                <w:szCs w:val="32"/>
                <w:lang w:val="uk-UA"/>
              </w:rPr>
            </w:pPr>
            <w:r w:rsidRPr="00341E7A">
              <w:rPr>
                <w:noProof/>
                <w:spacing w:val="20"/>
                <w:sz w:val="32"/>
                <w:szCs w:val="32"/>
                <w:lang w:val="uk-UA" w:eastAsia="uk-UA"/>
              </w:rPr>
              <w:drawing>
                <wp:anchor distT="360045" distB="0" distL="114300" distR="114300" simplePos="0" relativeHeight="251659264" behindDoc="0" locked="0" layoutInCell="1" allowOverlap="1" wp14:anchorId="68CA7481" wp14:editId="39E46EF3">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341E7A">
              <w:rPr>
                <w:rFonts w:ascii="Times New Roman" w:hAnsi="Times New Roman"/>
                <w:color w:val="1829A8"/>
                <w:spacing w:val="20"/>
                <w:sz w:val="32"/>
                <w:szCs w:val="32"/>
                <w:lang w:val="uk-UA"/>
              </w:rPr>
              <w:t>АПАРАТ ВЕРХОВНОЇ РАДИ УКРАЇНИ</w:t>
            </w:r>
          </w:p>
          <w:p w:rsidR="006C7F99" w:rsidRPr="00341E7A" w:rsidRDefault="006C7F99" w:rsidP="00B71B10">
            <w:pPr>
              <w:pStyle w:val="a5"/>
              <w:tabs>
                <w:tab w:val="clear" w:pos="4677"/>
                <w:tab w:val="clear" w:pos="9355"/>
              </w:tabs>
              <w:spacing w:before="200"/>
              <w:jc w:val="center"/>
              <w:rPr>
                <w:rFonts w:ascii="Times New Roman" w:hAnsi="Times New Roman"/>
                <w:b/>
                <w:color w:val="1829A8"/>
                <w:spacing w:val="20"/>
                <w:sz w:val="24"/>
                <w:szCs w:val="24"/>
                <w:lang w:val="uk-UA"/>
              </w:rPr>
            </w:pPr>
            <w:r w:rsidRPr="00341E7A">
              <w:rPr>
                <w:rFonts w:ascii="Times New Roman" w:hAnsi="Times New Roman"/>
                <w:b/>
                <w:color w:val="1829A8"/>
                <w:spacing w:val="20"/>
                <w:sz w:val="24"/>
                <w:szCs w:val="24"/>
                <w:lang w:val="uk-UA"/>
              </w:rPr>
              <w:t>Головне юридичне управління</w:t>
            </w:r>
          </w:p>
          <w:p w:rsidR="006C7F99" w:rsidRPr="00341E7A" w:rsidRDefault="006C7F99" w:rsidP="00B71B10">
            <w:pPr>
              <w:pStyle w:val="a5"/>
              <w:tabs>
                <w:tab w:val="clear" w:pos="4677"/>
                <w:tab w:val="clear" w:pos="9355"/>
              </w:tabs>
              <w:spacing w:before="160" w:after="120"/>
              <w:jc w:val="center"/>
              <w:rPr>
                <w:color w:val="002060"/>
                <w:sz w:val="20"/>
                <w:szCs w:val="20"/>
                <w:lang w:val="uk-UA"/>
              </w:rPr>
            </w:pPr>
            <w:r w:rsidRPr="00341E7A">
              <w:rPr>
                <w:rFonts w:ascii="Times New Roman" w:hAnsi="Times New Roman"/>
                <w:color w:val="1829A8"/>
                <w:sz w:val="20"/>
                <w:szCs w:val="20"/>
                <w:lang w:val="uk-UA"/>
              </w:rPr>
              <w:t>01008, м.Київ-8, вул. М. Грушевського, 5, тел.:255-20-76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C7F99" w:rsidRPr="00341E7A" w:rsidTr="00B71B10">
        <w:tc>
          <w:tcPr>
            <w:tcW w:w="1087" w:type="dxa"/>
            <w:tcBorders>
              <w:top w:val="nil"/>
            </w:tcBorders>
          </w:tcPr>
          <w:p w:rsidR="006C7F99" w:rsidRPr="00341E7A" w:rsidRDefault="006C7F99" w:rsidP="00B71B10">
            <w:pPr>
              <w:pStyle w:val="a5"/>
              <w:tabs>
                <w:tab w:val="clear" w:pos="4677"/>
                <w:tab w:val="clear" w:pos="9355"/>
              </w:tabs>
              <w:rPr>
                <w:rFonts w:ascii="Times New Roman" w:hAnsi="Times New Roman"/>
                <w:color w:val="002060"/>
                <w:lang w:val="uk-UA"/>
              </w:rPr>
            </w:pPr>
          </w:p>
        </w:tc>
        <w:tc>
          <w:tcPr>
            <w:tcW w:w="9714" w:type="dxa"/>
          </w:tcPr>
          <w:p w:rsidR="006C7F99" w:rsidRPr="00341E7A" w:rsidRDefault="006C7F99" w:rsidP="00B71B10">
            <w:pPr>
              <w:pStyle w:val="a5"/>
              <w:tabs>
                <w:tab w:val="clear" w:pos="4677"/>
                <w:tab w:val="clear" w:pos="9355"/>
              </w:tabs>
              <w:rPr>
                <w:rFonts w:ascii="Times New Roman" w:hAnsi="Times New Roman"/>
                <w:color w:val="002060"/>
                <w:lang w:val="uk-UA"/>
              </w:rPr>
            </w:pPr>
          </w:p>
        </w:tc>
        <w:tc>
          <w:tcPr>
            <w:tcW w:w="1086" w:type="dxa"/>
            <w:tcBorders>
              <w:top w:val="nil"/>
            </w:tcBorders>
          </w:tcPr>
          <w:p w:rsidR="006C7F99" w:rsidRPr="00341E7A" w:rsidRDefault="006C7F99" w:rsidP="00B71B10">
            <w:pPr>
              <w:pStyle w:val="a5"/>
              <w:tabs>
                <w:tab w:val="clear" w:pos="4677"/>
                <w:tab w:val="clear" w:pos="9355"/>
              </w:tabs>
              <w:rPr>
                <w:rFonts w:ascii="Times New Roman" w:hAnsi="Times New Roman"/>
                <w:color w:val="002060"/>
                <w:lang w:val="uk-UA"/>
              </w:rPr>
            </w:pPr>
          </w:p>
        </w:tc>
      </w:tr>
    </w:tbl>
    <w:p w:rsidR="006C7F99" w:rsidRPr="00341E7A" w:rsidRDefault="006C7F99" w:rsidP="006C7F99">
      <w:pPr>
        <w:pStyle w:val="a5"/>
        <w:tabs>
          <w:tab w:val="clear" w:pos="4677"/>
          <w:tab w:val="clear" w:pos="9355"/>
        </w:tabs>
        <w:rPr>
          <w:rFonts w:ascii="Times New Roman" w:hAnsi="Times New Roman"/>
          <w:color w:val="002060"/>
          <w:sz w:val="2"/>
          <w:szCs w:val="2"/>
          <w:lang w:val="uk-UA"/>
        </w:rPr>
      </w:pPr>
    </w:p>
    <w:p w:rsidR="009C3FBE" w:rsidRPr="00341E7A" w:rsidRDefault="000739F9" w:rsidP="000739F9">
      <w:pPr>
        <w:jc w:val="center"/>
        <w:rPr>
          <w:sz w:val="28"/>
          <w:szCs w:val="28"/>
          <w:lang w:val="uk-UA"/>
        </w:rPr>
      </w:pPr>
      <w:r w:rsidRPr="00341E7A">
        <w:rPr>
          <w:sz w:val="28"/>
          <w:szCs w:val="28"/>
          <w:lang w:val="uk-UA"/>
        </w:rPr>
        <w:t xml:space="preserve">                                             </w:t>
      </w:r>
    </w:p>
    <w:p w:rsidR="009901C2" w:rsidRPr="00341E7A" w:rsidRDefault="009901C2" w:rsidP="002A197F">
      <w:pPr>
        <w:jc w:val="center"/>
        <w:rPr>
          <w:b/>
          <w:sz w:val="28"/>
          <w:szCs w:val="28"/>
          <w:lang w:val="uk-UA"/>
        </w:rPr>
      </w:pPr>
    </w:p>
    <w:p w:rsidR="002A197F" w:rsidRPr="00341E7A" w:rsidRDefault="002A197F" w:rsidP="002A197F">
      <w:pPr>
        <w:jc w:val="center"/>
        <w:rPr>
          <w:b/>
          <w:sz w:val="28"/>
          <w:szCs w:val="28"/>
          <w:lang w:val="uk-UA"/>
        </w:rPr>
      </w:pPr>
      <w:r w:rsidRPr="00341E7A">
        <w:rPr>
          <w:b/>
          <w:sz w:val="28"/>
          <w:szCs w:val="28"/>
          <w:lang w:val="uk-UA"/>
        </w:rPr>
        <w:t>Зауваження</w:t>
      </w:r>
    </w:p>
    <w:p w:rsidR="002A197F" w:rsidRPr="00341E7A" w:rsidRDefault="002A197F" w:rsidP="002A197F">
      <w:pPr>
        <w:jc w:val="center"/>
        <w:rPr>
          <w:b/>
          <w:sz w:val="28"/>
          <w:szCs w:val="28"/>
          <w:lang w:val="uk-UA"/>
        </w:rPr>
      </w:pPr>
      <w:r w:rsidRPr="00341E7A">
        <w:rPr>
          <w:b/>
          <w:sz w:val="28"/>
          <w:szCs w:val="28"/>
          <w:lang w:val="uk-UA"/>
        </w:rPr>
        <w:t>до проекту Закону України</w:t>
      </w:r>
    </w:p>
    <w:p w:rsidR="000B63F5" w:rsidRPr="00341E7A" w:rsidRDefault="00341E7A" w:rsidP="00F176CD">
      <w:pPr>
        <w:jc w:val="center"/>
        <w:outlineLvl w:val="2"/>
        <w:rPr>
          <w:b/>
          <w:bCs/>
          <w:sz w:val="27"/>
          <w:szCs w:val="27"/>
          <w:lang w:val="uk-UA" w:eastAsia="uk-UA"/>
        </w:rPr>
      </w:pPr>
      <w:r w:rsidRPr="00341E7A">
        <w:rPr>
          <w:b/>
          <w:bCs/>
          <w:sz w:val="27"/>
          <w:szCs w:val="27"/>
          <w:lang w:val="uk-UA" w:eastAsia="uk-UA"/>
        </w:rPr>
        <w:t>«</w:t>
      </w:r>
      <w:r w:rsidR="002A197F" w:rsidRPr="00341E7A">
        <w:rPr>
          <w:b/>
          <w:bCs/>
          <w:sz w:val="27"/>
          <w:szCs w:val="27"/>
          <w:lang w:val="uk-UA" w:eastAsia="uk-UA"/>
        </w:rPr>
        <w:t xml:space="preserve">Про внесення змін до </w:t>
      </w:r>
      <w:r w:rsidR="001F55C4" w:rsidRPr="00341E7A">
        <w:rPr>
          <w:b/>
          <w:bCs/>
          <w:sz w:val="27"/>
          <w:szCs w:val="27"/>
          <w:lang w:val="uk-UA" w:eastAsia="uk-UA"/>
        </w:rPr>
        <w:t>Закону України «Про статус і соціальний захист громадян, які постраждали внаслідок Чорнобильської катастрофи» щодо підвищення рівня пенсійного забезпечення окремих категорій осіб</w:t>
      </w:r>
      <w:r w:rsidRPr="00341E7A">
        <w:rPr>
          <w:b/>
          <w:bCs/>
          <w:sz w:val="27"/>
          <w:szCs w:val="27"/>
          <w:lang w:val="uk-UA" w:eastAsia="uk-UA"/>
        </w:rPr>
        <w:t>»</w:t>
      </w:r>
    </w:p>
    <w:p w:rsidR="00642E40" w:rsidRPr="00341E7A" w:rsidRDefault="00642E40" w:rsidP="00F176CD">
      <w:pPr>
        <w:jc w:val="center"/>
        <w:outlineLvl w:val="2"/>
        <w:rPr>
          <w:sz w:val="28"/>
          <w:szCs w:val="28"/>
          <w:lang w:val="uk-UA"/>
        </w:rPr>
      </w:pPr>
      <w:r w:rsidRPr="00341E7A">
        <w:rPr>
          <w:b/>
          <w:bCs/>
          <w:sz w:val="27"/>
          <w:szCs w:val="27"/>
          <w:lang w:val="uk-UA" w:eastAsia="uk-UA"/>
        </w:rPr>
        <w:t>(реєстр. № 4</w:t>
      </w:r>
      <w:r w:rsidR="001F55C4" w:rsidRPr="00341E7A">
        <w:rPr>
          <w:b/>
          <w:bCs/>
          <w:sz w:val="27"/>
          <w:szCs w:val="27"/>
          <w:lang w:val="uk-UA" w:eastAsia="uk-UA"/>
        </w:rPr>
        <w:t>555</w:t>
      </w:r>
      <w:r w:rsidRPr="00341E7A">
        <w:rPr>
          <w:b/>
          <w:bCs/>
          <w:sz w:val="27"/>
          <w:szCs w:val="27"/>
          <w:lang w:val="uk-UA" w:eastAsia="uk-UA"/>
        </w:rPr>
        <w:t>)</w:t>
      </w:r>
    </w:p>
    <w:p w:rsidR="000B63F5" w:rsidRPr="00341E7A" w:rsidRDefault="000B63F5" w:rsidP="002A197F">
      <w:pPr>
        <w:jc w:val="both"/>
        <w:rPr>
          <w:sz w:val="28"/>
          <w:szCs w:val="28"/>
          <w:lang w:val="uk-UA"/>
        </w:rPr>
      </w:pPr>
    </w:p>
    <w:p w:rsidR="002A197F" w:rsidRPr="00341E7A" w:rsidRDefault="002A197F" w:rsidP="00793963">
      <w:pPr>
        <w:spacing w:before="120"/>
        <w:ind w:firstLine="709"/>
        <w:jc w:val="both"/>
        <w:rPr>
          <w:sz w:val="28"/>
          <w:szCs w:val="28"/>
          <w:lang w:val="uk-UA"/>
        </w:rPr>
      </w:pPr>
      <w:r w:rsidRPr="00341E7A">
        <w:rPr>
          <w:sz w:val="28"/>
          <w:szCs w:val="28"/>
          <w:lang w:val="uk-UA"/>
        </w:rPr>
        <w:t>У Головному юридичному управлінні розглянуто підготовлений до другого читання Комітетом з питань соціальної політики та захисту прав ветеранів зазначений проект Закону України (далі – проект) та вважаємо за доцільне зазначити таке.</w:t>
      </w:r>
    </w:p>
    <w:p w:rsidR="00200C43" w:rsidRPr="00341E7A" w:rsidRDefault="00200C43" w:rsidP="00793963">
      <w:pPr>
        <w:spacing w:before="120"/>
        <w:ind w:firstLine="709"/>
        <w:jc w:val="both"/>
        <w:rPr>
          <w:rFonts w:eastAsia="Calibri"/>
          <w:sz w:val="28"/>
          <w:szCs w:val="28"/>
          <w:lang w:val="uk-UA"/>
        </w:rPr>
      </w:pPr>
    </w:p>
    <w:p w:rsidR="00200C43" w:rsidRPr="00341E7A" w:rsidRDefault="00200C43" w:rsidP="007728A6">
      <w:pPr>
        <w:ind w:firstLine="709"/>
        <w:jc w:val="both"/>
        <w:rPr>
          <w:rFonts w:eastAsia="Calibri"/>
          <w:sz w:val="28"/>
          <w:szCs w:val="28"/>
          <w:lang w:val="uk-UA"/>
        </w:rPr>
      </w:pPr>
      <w:r w:rsidRPr="00341E7A">
        <w:rPr>
          <w:rFonts w:eastAsia="Calibri"/>
          <w:sz w:val="28"/>
          <w:szCs w:val="28"/>
          <w:lang w:val="uk-UA"/>
        </w:rPr>
        <w:t xml:space="preserve">Низка положень </w:t>
      </w:r>
      <w:r w:rsidR="00341E7A" w:rsidRPr="00341E7A">
        <w:rPr>
          <w:rFonts w:eastAsia="Calibri"/>
          <w:sz w:val="28"/>
          <w:szCs w:val="28"/>
          <w:lang w:val="uk-UA"/>
        </w:rPr>
        <w:t>проекту</w:t>
      </w:r>
      <w:r w:rsidRPr="00341E7A">
        <w:rPr>
          <w:rFonts w:eastAsia="Calibri"/>
          <w:sz w:val="28"/>
          <w:szCs w:val="28"/>
          <w:lang w:val="uk-UA"/>
        </w:rPr>
        <w:t xml:space="preserve"> не відповідає принципу верховенства права (стаття 8 Конституції України), однією з основних умов реалізації якого є правова визначеність. Принцип правової визначеності передбачає, насамперед, ясність та недвозначність викладення правових приписів, відсутність внутрішніх суперечностей у нормативно-правовому акті та його узгодженість з іншими законодавчими актами. Натомість:</w:t>
      </w:r>
    </w:p>
    <w:p w:rsidR="007728A6" w:rsidRDefault="007728A6" w:rsidP="007728A6">
      <w:pPr>
        <w:ind w:firstLine="709"/>
        <w:jc w:val="both"/>
        <w:rPr>
          <w:rFonts w:eastAsia="Calibri"/>
          <w:sz w:val="28"/>
          <w:szCs w:val="28"/>
          <w:lang w:val="uk-UA"/>
        </w:rPr>
      </w:pPr>
    </w:p>
    <w:p w:rsidR="008B0AE9" w:rsidRPr="00341E7A" w:rsidRDefault="003F6FF2" w:rsidP="007728A6">
      <w:pPr>
        <w:ind w:firstLine="709"/>
        <w:jc w:val="both"/>
        <w:rPr>
          <w:sz w:val="28"/>
          <w:szCs w:val="28"/>
          <w:lang w:val="uk-UA"/>
        </w:rPr>
      </w:pPr>
      <w:r w:rsidRPr="00341E7A">
        <w:rPr>
          <w:rFonts w:eastAsia="Calibri"/>
          <w:sz w:val="28"/>
          <w:szCs w:val="28"/>
          <w:lang w:val="uk-UA"/>
        </w:rPr>
        <w:t xml:space="preserve">1. Проектом передбачається статтю 53 </w:t>
      </w:r>
      <w:r w:rsidRPr="003F6FF2">
        <w:rPr>
          <w:sz w:val="28"/>
          <w:szCs w:val="28"/>
          <w:lang w:val="uk-UA"/>
        </w:rPr>
        <w:t>Закону України «Про статус і соціальний захист громадян, які постраждали внаслідок Чорнобильської катастрофи»</w:t>
      </w:r>
      <w:r w:rsidRPr="00341E7A">
        <w:rPr>
          <w:sz w:val="28"/>
          <w:szCs w:val="28"/>
          <w:lang w:val="uk-UA"/>
        </w:rPr>
        <w:t xml:space="preserve"> </w:t>
      </w:r>
      <w:r w:rsidR="008B0AE9" w:rsidRPr="00341E7A">
        <w:rPr>
          <w:sz w:val="28"/>
          <w:szCs w:val="28"/>
          <w:lang w:val="uk-UA"/>
        </w:rPr>
        <w:t xml:space="preserve">(далі – Закон) </w:t>
      </w:r>
      <w:r w:rsidRPr="00341E7A">
        <w:rPr>
          <w:sz w:val="28"/>
          <w:szCs w:val="28"/>
          <w:lang w:val="uk-UA"/>
        </w:rPr>
        <w:t>викласти в новій редакції, встановивши, що  «</w:t>
      </w:r>
      <w:r w:rsidRPr="003F6FF2">
        <w:rPr>
          <w:sz w:val="28"/>
          <w:szCs w:val="28"/>
          <w:u w:val="single"/>
          <w:lang w:val="uk-UA"/>
        </w:rPr>
        <w:t>додаткова пенсія</w:t>
      </w:r>
      <w:r w:rsidRPr="003F6FF2">
        <w:rPr>
          <w:sz w:val="28"/>
          <w:szCs w:val="28"/>
          <w:lang w:val="uk-UA"/>
        </w:rPr>
        <w:t xml:space="preserve"> за шкоду, заподіяну здоров’ю, та щомісячна компенсація сім’ям за втрату годувальника внаслідок Чорнобильської катастрофи </w:t>
      </w:r>
      <w:r w:rsidRPr="003F6FF2">
        <w:rPr>
          <w:sz w:val="28"/>
          <w:szCs w:val="28"/>
          <w:u w:val="single"/>
          <w:lang w:val="uk-UA"/>
        </w:rPr>
        <w:t>виплачу</w:t>
      </w:r>
      <w:r w:rsidR="008B0AE9" w:rsidRPr="00341E7A">
        <w:rPr>
          <w:sz w:val="28"/>
          <w:szCs w:val="28"/>
          <w:u w:val="single"/>
          <w:lang w:val="uk-UA"/>
        </w:rPr>
        <w:t>ю</w:t>
      </w:r>
      <w:r w:rsidRPr="003F6FF2">
        <w:rPr>
          <w:sz w:val="28"/>
          <w:szCs w:val="28"/>
          <w:u w:val="single"/>
          <w:lang w:val="uk-UA"/>
        </w:rPr>
        <w:t xml:space="preserve">ться повністю </w:t>
      </w:r>
      <w:r w:rsidRPr="003F6FF2">
        <w:rPr>
          <w:sz w:val="28"/>
          <w:szCs w:val="28"/>
          <w:lang w:val="uk-UA"/>
        </w:rPr>
        <w:t>незалежно від заробітної плати, пенсії чи іншого доходу»</w:t>
      </w:r>
      <w:r w:rsidRPr="00341E7A">
        <w:rPr>
          <w:sz w:val="28"/>
          <w:szCs w:val="28"/>
          <w:lang w:val="uk-UA"/>
        </w:rPr>
        <w:t xml:space="preserve">. </w:t>
      </w:r>
    </w:p>
    <w:p w:rsidR="00200C43" w:rsidRPr="00341E7A" w:rsidRDefault="003F6FF2" w:rsidP="007728A6">
      <w:pPr>
        <w:ind w:firstLine="709"/>
        <w:jc w:val="both"/>
        <w:rPr>
          <w:sz w:val="28"/>
          <w:szCs w:val="28"/>
          <w:lang w:val="uk-UA"/>
        </w:rPr>
      </w:pPr>
      <w:r w:rsidRPr="00341E7A">
        <w:rPr>
          <w:sz w:val="28"/>
          <w:szCs w:val="28"/>
          <w:lang w:val="uk-UA"/>
        </w:rPr>
        <w:t xml:space="preserve">Проте таке положення не узгоджується із чинними положеннями  </w:t>
      </w:r>
      <w:r w:rsidRPr="003F6FF2">
        <w:rPr>
          <w:sz w:val="28"/>
          <w:szCs w:val="28"/>
          <w:lang w:val="uk-UA"/>
        </w:rPr>
        <w:t>ч</w:t>
      </w:r>
      <w:r w:rsidR="008B0AE9" w:rsidRPr="00341E7A">
        <w:rPr>
          <w:sz w:val="28"/>
          <w:szCs w:val="28"/>
          <w:lang w:val="uk-UA"/>
        </w:rPr>
        <w:t xml:space="preserve">астини третьої статті 67 </w:t>
      </w:r>
      <w:r w:rsidRPr="003F6FF2">
        <w:rPr>
          <w:sz w:val="28"/>
          <w:szCs w:val="28"/>
          <w:lang w:val="uk-UA"/>
        </w:rPr>
        <w:t>Закону</w:t>
      </w:r>
      <w:r w:rsidR="008B0AE9" w:rsidRPr="00341E7A">
        <w:rPr>
          <w:sz w:val="28"/>
          <w:szCs w:val="28"/>
          <w:lang w:val="uk-UA"/>
        </w:rPr>
        <w:t>, згідно з якими «максимальний розмір пенсії (</w:t>
      </w:r>
      <w:r w:rsidR="008B0AE9" w:rsidRPr="00341E7A">
        <w:rPr>
          <w:sz w:val="28"/>
          <w:szCs w:val="28"/>
          <w:u w:val="single"/>
          <w:lang w:val="uk-UA"/>
        </w:rPr>
        <w:t xml:space="preserve">з урахуванням </w:t>
      </w:r>
      <w:r w:rsidR="008B0AE9" w:rsidRPr="00341E7A">
        <w:rPr>
          <w:sz w:val="28"/>
          <w:szCs w:val="28"/>
          <w:lang w:val="uk-UA"/>
        </w:rPr>
        <w:t xml:space="preserve">надбавок, підвищень, </w:t>
      </w:r>
      <w:r w:rsidR="008B0AE9" w:rsidRPr="00341E7A">
        <w:rPr>
          <w:sz w:val="28"/>
          <w:szCs w:val="28"/>
          <w:u w:val="single"/>
          <w:lang w:val="uk-UA"/>
        </w:rPr>
        <w:t>додаткової пенсії,</w:t>
      </w:r>
      <w:r w:rsidR="008B0AE9" w:rsidRPr="00341E7A">
        <w:rPr>
          <w:sz w:val="28"/>
          <w:szCs w:val="28"/>
          <w:lang w:val="uk-UA"/>
        </w:rPr>
        <w:t xml:space="preserve">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w:t>
      </w:r>
      <w:r w:rsidR="008B0AE9" w:rsidRPr="00341E7A">
        <w:rPr>
          <w:sz w:val="28"/>
          <w:szCs w:val="28"/>
          <w:u w:val="single"/>
          <w:lang w:val="uk-UA"/>
        </w:rPr>
        <w:t>не може перевищувати десяти прожиткових мінімумів,</w:t>
      </w:r>
      <w:r w:rsidR="008B0AE9" w:rsidRPr="00341E7A">
        <w:rPr>
          <w:sz w:val="28"/>
          <w:szCs w:val="28"/>
          <w:lang w:val="uk-UA"/>
        </w:rPr>
        <w:t xml:space="preserve"> установлених для осіб, які втратили працездатність». </w:t>
      </w:r>
    </w:p>
    <w:p w:rsidR="00AA742A" w:rsidRDefault="00AA742A" w:rsidP="007728A6">
      <w:pPr>
        <w:ind w:firstLine="709"/>
        <w:jc w:val="both"/>
        <w:rPr>
          <w:rFonts w:eastAsia="Calibri"/>
          <w:sz w:val="28"/>
          <w:szCs w:val="28"/>
          <w:lang w:val="uk-UA"/>
        </w:rPr>
      </w:pPr>
    </w:p>
    <w:p w:rsidR="002D7BCC" w:rsidRPr="00341E7A" w:rsidRDefault="00E70B8B" w:rsidP="007728A6">
      <w:pPr>
        <w:ind w:firstLine="709"/>
        <w:jc w:val="both"/>
        <w:rPr>
          <w:rFonts w:eastAsia="Calibri"/>
          <w:sz w:val="28"/>
          <w:szCs w:val="28"/>
          <w:lang w:val="uk-UA"/>
        </w:rPr>
      </w:pPr>
      <w:r w:rsidRPr="00341E7A">
        <w:rPr>
          <w:rFonts w:eastAsia="Calibri"/>
          <w:sz w:val="28"/>
          <w:szCs w:val="28"/>
          <w:lang w:val="uk-UA"/>
        </w:rPr>
        <w:lastRenderedPageBreak/>
        <w:t xml:space="preserve">2. </w:t>
      </w:r>
      <w:r w:rsidR="00A13B51" w:rsidRPr="00341E7A">
        <w:rPr>
          <w:rFonts w:eastAsia="Calibri"/>
          <w:sz w:val="28"/>
          <w:szCs w:val="28"/>
          <w:lang w:val="uk-UA"/>
        </w:rPr>
        <w:t xml:space="preserve">Положення нової частини четвертої, якою проектом передбачається доповнити </w:t>
      </w:r>
      <w:r w:rsidR="004D2097" w:rsidRPr="00341E7A">
        <w:rPr>
          <w:rFonts w:eastAsia="Calibri"/>
          <w:sz w:val="28"/>
          <w:szCs w:val="28"/>
          <w:lang w:val="uk-UA"/>
        </w:rPr>
        <w:t>статтю 54 Закону, викладені юридично некоректно</w:t>
      </w:r>
      <w:r w:rsidR="002D7BCC" w:rsidRPr="00341E7A">
        <w:rPr>
          <w:rFonts w:eastAsia="Calibri"/>
          <w:sz w:val="28"/>
          <w:szCs w:val="28"/>
          <w:lang w:val="uk-UA"/>
        </w:rPr>
        <w:t xml:space="preserve"> та </w:t>
      </w:r>
      <w:r w:rsidR="004D2097" w:rsidRPr="00341E7A">
        <w:rPr>
          <w:rFonts w:eastAsia="Calibri"/>
          <w:sz w:val="28"/>
          <w:szCs w:val="28"/>
          <w:lang w:val="uk-UA"/>
        </w:rPr>
        <w:t xml:space="preserve"> без дотримання вимог законодавчої техніки</w:t>
      </w:r>
      <w:r w:rsidR="002D7BCC" w:rsidRPr="00341E7A">
        <w:rPr>
          <w:rFonts w:eastAsia="Calibri"/>
          <w:sz w:val="28"/>
          <w:szCs w:val="28"/>
          <w:lang w:val="uk-UA"/>
        </w:rPr>
        <w:t>.</w:t>
      </w:r>
    </w:p>
    <w:p w:rsidR="00BD6CA0" w:rsidRPr="00341E7A" w:rsidRDefault="004D2097" w:rsidP="007728A6">
      <w:pPr>
        <w:ind w:firstLine="709"/>
        <w:jc w:val="both"/>
        <w:rPr>
          <w:rFonts w:eastAsia="Calibri"/>
          <w:sz w:val="28"/>
          <w:szCs w:val="28"/>
          <w:lang w:val="uk-UA"/>
        </w:rPr>
      </w:pPr>
      <w:r w:rsidRPr="00341E7A">
        <w:rPr>
          <w:rFonts w:eastAsia="Calibri"/>
          <w:sz w:val="28"/>
          <w:szCs w:val="28"/>
          <w:lang w:val="uk-UA"/>
        </w:rPr>
        <w:t xml:space="preserve">Так, передбачається встановити, що «Розміри пенсій, передбачені частиною третьою цієї статті, </w:t>
      </w:r>
      <w:r w:rsidRPr="00341E7A">
        <w:rPr>
          <w:rFonts w:eastAsia="Calibri"/>
          <w:sz w:val="28"/>
          <w:szCs w:val="28"/>
          <w:u w:val="single"/>
          <w:lang w:val="uk-UA"/>
        </w:rPr>
        <w:t>починаючи з 2022 року</w:t>
      </w:r>
      <w:r w:rsidRPr="00341E7A">
        <w:rPr>
          <w:rFonts w:eastAsia="Calibri"/>
          <w:sz w:val="28"/>
          <w:szCs w:val="28"/>
          <w:lang w:val="uk-UA"/>
        </w:rPr>
        <w:t xml:space="preserve"> щороку з 1 березня індексуються у порядку,</w:t>
      </w:r>
      <w:r w:rsidRPr="00341E7A">
        <w:rPr>
          <w:sz w:val="20"/>
          <w:lang w:val="uk-UA"/>
        </w:rPr>
        <w:t xml:space="preserve"> </w:t>
      </w:r>
      <w:r w:rsidRPr="00341E7A">
        <w:rPr>
          <w:rFonts w:eastAsia="Calibri"/>
          <w:sz w:val="28"/>
          <w:szCs w:val="28"/>
          <w:lang w:val="uk-UA"/>
        </w:rPr>
        <w:t>визначеному Кабінетом Міністрів України</w:t>
      </w:r>
      <w:r w:rsidR="003C3F0C">
        <w:rPr>
          <w:rFonts w:eastAsia="Calibri"/>
          <w:sz w:val="28"/>
          <w:szCs w:val="28"/>
          <w:lang w:val="uk-UA"/>
        </w:rPr>
        <w:t>,</w:t>
      </w:r>
      <w:r w:rsidRPr="00341E7A">
        <w:rPr>
          <w:rFonts w:eastAsia="Calibri"/>
          <w:sz w:val="28"/>
          <w:szCs w:val="28"/>
          <w:lang w:val="uk-UA"/>
        </w:rPr>
        <w:t xml:space="preserve"> з урахуванням коефіцієнта збільшення, що визначається відповідно до абзаців другого і третього частини другої статті 42 Закону України „Про загальнообов’язкове державне пенсійне страхування”. </w:t>
      </w:r>
    </w:p>
    <w:p w:rsidR="004D2097" w:rsidRPr="00341E7A" w:rsidRDefault="004D2097" w:rsidP="007728A6">
      <w:pPr>
        <w:ind w:firstLine="709"/>
        <w:jc w:val="both"/>
        <w:rPr>
          <w:rFonts w:eastAsia="Calibri"/>
          <w:sz w:val="28"/>
          <w:szCs w:val="28"/>
          <w:lang w:val="uk-UA"/>
        </w:rPr>
      </w:pPr>
      <w:r w:rsidRPr="00341E7A">
        <w:rPr>
          <w:rFonts w:eastAsia="Calibri"/>
          <w:sz w:val="28"/>
          <w:szCs w:val="28"/>
          <w:lang w:val="uk-UA"/>
        </w:rPr>
        <w:t xml:space="preserve">Проте для уточнення року, з якого мають індексуватися пенсії, підстав нема, оскільки, згідно з пунктом 1 розділу ІІ проекту, положення нової частини четвертої статті 54 Закону набирають чинності з 1 липня 2021 року, відповідно, у визначеному законом порядку пенсії мають індексуватися з 1 березня наступного року. </w:t>
      </w:r>
    </w:p>
    <w:p w:rsidR="007728A6" w:rsidRDefault="007728A6" w:rsidP="007728A6">
      <w:pPr>
        <w:tabs>
          <w:tab w:val="left" w:pos="993"/>
        </w:tabs>
        <w:ind w:right="85" w:firstLine="709"/>
        <w:jc w:val="both"/>
        <w:rPr>
          <w:sz w:val="28"/>
          <w:szCs w:val="28"/>
          <w:lang w:val="uk-UA"/>
        </w:rPr>
      </w:pPr>
    </w:p>
    <w:p w:rsidR="0090024E" w:rsidRPr="00341E7A" w:rsidRDefault="00D3632D" w:rsidP="007728A6">
      <w:pPr>
        <w:tabs>
          <w:tab w:val="left" w:pos="993"/>
        </w:tabs>
        <w:ind w:right="85" w:firstLine="709"/>
        <w:jc w:val="both"/>
        <w:rPr>
          <w:sz w:val="28"/>
          <w:szCs w:val="28"/>
          <w:lang w:val="uk-UA"/>
        </w:rPr>
      </w:pPr>
      <w:r>
        <w:rPr>
          <w:sz w:val="28"/>
          <w:szCs w:val="28"/>
          <w:lang w:val="uk-UA"/>
        </w:rPr>
        <w:t>3</w:t>
      </w:r>
      <w:r w:rsidR="00503CF2" w:rsidRPr="00341E7A">
        <w:rPr>
          <w:sz w:val="28"/>
          <w:szCs w:val="28"/>
          <w:lang w:val="uk-UA"/>
        </w:rPr>
        <w:t>.</w:t>
      </w:r>
      <w:r>
        <w:rPr>
          <w:sz w:val="28"/>
          <w:szCs w:val="28"/>
          <w:lang w:val="uk-UA"/>
        </w:rPr>
        <w:t xml:space="preserve"> Проектом передбачається викласти в новій редакції частину третю статті 54 Закону (пункт 2 розділу І проекту) та збільшити розміри пенсій по інвалідності, що настала внаслідок каліцтва чи захворювання внаслідок Чорнобильської катастрофи. Відповідно, р</w:t>
      </w:r>
      <w:r w:rsidR="0090024E" w:rsidRPr="00341E7A">
        <w:rPr>
          <w:sz w:val="28"/>
          <w:szCs w:val="28"/>
          <w:lang w:val="uk-UA"/>
        </w:rPr>
        <w:t xml:space="preserve">еалізація положень проекту потребуватиме додаткових витрат з Державного бюджету України. Проте час набрання чинності </w:t>
      </w:r>
      <w:r>
        <w:rPr>
          <w:sz w:val="28"/>
          <w:szCs w:val="28"/>
          <w:lang w:val="uk-UA"/>
        </w:rPr>
        <w:t>пунктом 2 розділу І проекту з 1 липня 2021 року</w:t>
      </w:r>
      <w:r w:rsidR="0090024E" w:rsidRPr="00341E7A">
        <w:rPr>
          <w:sz w:val="28"/>
          <w:szCs w:val="28"/>
          <w:lang w:val="uk-UA"/>
        </w:rPr>
        <w:t xml:space="preserve"> не відповідає вимогам статті 27 Бюджетного кодексу України щодо порядку  прийняття та введення в дію законів України або окремих їх положень, що впливають на показники бюджету.</w:t>
      </w:r>
    </w:p>
    <w:p w:rsidR="007728A6" w:rsidRDefault="007728A6" w:rsidP="007728A6">
      <w:pPr>
        <w:ind w:firstLine="709"/>
        <w:jc w:val="both"/>
        <w:rPr>
          <w:sz w:val="28"/>
          <w:szCs w:val="28"/>
          <w:lang w:val="uk-UA"/>
        </w:rPr>
      </w:pPr>
    </w:p>
    <w:p w:rsidR="00CD6A16" w:rsidRPr="00341E7A" w:rsidRDefault="00CD6A16" w:rsidP="007728A6">
      <w:pPr>
        <w:ind w:firstLine="709"/>
        <w:jc w:val="both"/>
        <w:rPr>
          <w:sz w:val="28"/>
          <w:szCs w:val="28"/>
          <w:lang w:val="uk-UA"/>
        </w:rPr>
      </w:pPr>
      <w:r>
        <w:rPr>
          <w:sz w:val="28"/>
          <w:szCs w:val="28"/>
          <w:lang w:val="uk-UA"/>
        </w:rPr>
        <w:t>4</w:t>
      </w:r>
      <w:r w:rsidR="003369A5" w:rsidRPr="00341E7A">
        <w:rPr>
          <w:sz w:val="28"/>
          <w:szCs w:val="28"/>
          <w:lang w:val="uk-UA"/>
        </w:rPr>
        <w:t xml:space="preserve">. </w:t>
      </w:r>
      <w:r>
        <w:rPr>
          <w:sz w:val="28"/>
          <w:szCs w:val="28"/>
          <w:lang w:val="uk-UA"/>
        </w:rPr>
        <w:t>П</w:t>
      </w:r>
      <w:r w:rsidRPr="00341E7A">
        <w:rPr>
          <w:sz w:val="28"/>
          <w:szCs w:val="28"/>
          <w:lang w:val="uk-UA"/>
        </w:rPr>
        <w:t>унктом 3 розділу ІІ проекту Кабінету Міністрів України у місячний строк з дня набрання чинності цим Законом доручається привести свої нормативно-правові акти та забезпечити приведення нормативно-правових актів центральних органів виконавчої влади у відповідність із цим Законом.</w:t>
      </w:r>
    </w:p>
    <w:p w:rsidR="00CD6A16" w:rsidRPr="00341E7A" w:rsidRDefault="00CD6A16" w:rsidP="007728A6">
      <w:pPr>
        <w:ind w:firstLine="709"/>
        <w:jc w:val="both"/>
        <w:rPr>
          <w:sz w:val="28"/>
          <w:szCs w:val="28"/>
          <w:lang w:val="uk-UA"/>
        </w:rPr>
      </w:pPr>
      <w:r w:rsidRPr="00341E7A">
        <w:rPr>
          <w:sz w:val="28"/>
          <w:szCs w:val="28"/>
          <w:lang w:val="uk-UA"/>
        </w:rPr>
        <w:t>Проте, згідно з пунктом 1 розділу ІІ проекту</w:t>
      </w:r>
      <w:r w:rsidR="00AF6FB7">
        <w:rPr>
          <w:sz w:val="28"/>
          <w:szCs w:val="28"/>
          <w:lang w:val="uk-UA"/>
        </w:rPr>
        <w:t>,</w:t>
      </w:r>
      <w:r w:rsidRPr="00341E7A">
        <w:rPr>
          <w:sz w:val="28"/>
          <w:szCs w:val="28"/>
          <w:lang w:val="uk-UA"/>
        </w:rPr>
        <w:t xml:space="preserve"> «Цей Закон набирає чинності з 1 січня 2022 року, </w:t>
      </w:r>
      <w:r w:rsidRPr="00341E7A">
        <w:rPr>
          <w:sz w:val="28"/>
          <w:szCs w:val="28"/>
          <w:u w:val="single"/>
          <w:lang w:val="uk-UA"/>
        </w:rPr>
        <w:t>крім пункту 2 розділу І цього Закону</w:t>
      </w:r>
      <w:r w:rsidRPr="00341E7A">
        <w:rPr>
          <w:sz w:val="28"/>
          <w:szCs w:val="28"/>
          <w:lang w:val="uk-UA"/>
        </w:rPr>
        <w:t xml:space="preserve"> та пункту 2 цього розділу, </w:t>
      </w:r>
      <w:r w:rsidRPr="004C443B">
        <w:rPr>
          <w:sz w:val="28"/>
          <w:szCs w:val="28"/>
          <w:u w:val="single"/>
          <w:lang w:val="uk-UA"/>
        </w:rPr>
        <w:t>які набирають чинності з 1 липня 2021 року</w:t>
      </w:r>
      <w:r w:rsidRPr="00341E7A">
        <w:rPr>
          <w:sz w:val="28"/>
          <w:szCs w:val="28"/>
          <w:lang w:val="uk-UA"/>
        </w:rPr>
        <w:t>». Відповідно, не зрозуміло, після якої дати необхідно Кабінету Міністрів України у місячний строк привести свої нормативно-правові акти та забезпечити приведення нормативно-правових актів центральних органів виконавчої влади у відповідність із цим Законом: після 1 липня 2021 року чи після 1 січня 2022 року.</w:t>
      </w:r>
    </w:p>
    <w:p w:rsidR="00BE297D" w:rsidRPr="00341E7A" w:rsidRDefault="00BE297D" w:rsidP="007728A6">
      <w:pPr>
        <w:ind w:firstLine="709"/>
        <w:jc w:val="both"/>
        <w:rPr>
          <w:sz w:val="28"/>
          <w:szCs w:val="28"/>
          <w:lang w:val="uk-UA"/>
        </w:rPr>
      </w:pPr>
      <w:r w:rsidRPr="00341E7A">
        <w:rPr>
          <w:sz w:val="28"/>
          <w:szCs w:val="28"/>
          <w:lang w:val="uk-UA"/>
        </w:rPr>
        <w:t>Крім того, положення пункту 3 розділу ІІ проекту є юридично некоректними, оскільки реалізація положень закону принаймні впродовж місяця з дня набрання ним чинності ставиться у залежність від прийняття у майбутньому підзаконних нормативно-правових актів.</w:t>
      </w:r>
    </w:p>
    <w:p w:rsidR="00617E0E" w:rsidRPr="00BF7B25" w:rsidRDefault="00617E0E" w:rsidP="007728A6">
      <w:pPr>
        <w:ind w:firstLine="709"/>
        <w:jc w:val="both"/>
        <w:rPr>
          <w:rFonts w:eastAsia="Calibri"/>
          <w:sz w:val="28"/>
          <w:szCs w:val="28"/>
          <w:lang w:val="uk-UA"/>
        </w:rPr>
      </w:pPr>
      <w:r w:rsidRPr="00BF7B25">
        <w:rPr>
          <w:sz w:val="28"/>
          <w:szCs w:val="28"/>
          <w:lang w:val="uk-UA"/>
        </w:rPr>
        <w:t xml:space="preserve">Головним юридичним управлінням </w:t>
      </w:r>
      <w:r w:rsidRPr="00BF7B25">
        <w:rPr>
          <w:rFonts w:eastAsia="Calibri"/>
          <w:sz w:val="28"/>
          <w:szCs w:val="28"/>
          <w:lang w:val="uk-UA"/>
        </w:rPr>
        <w:t>пропонується пункт 3 розділу ІІ проекту викласти в такі</w:t>
      </w:r>
      <w:r w:rsidR="00D3632D">
        <w:rPr>
          <w:rFonts w:eastAsia="Calibri"/>
          <w:sz w:val="28"/>
          <w:szCs w:val="28"/>
          <w:lang w:val="uk-UA"/>
        </w:rPr>
        <w:t>й</w:t>
      </w:r>
      <w:r w:rsidRPr="00BF7B25">
        <w:rPr>
          <w:rFonts w:eastAsia="Calibri"/>
          <w:sz w:val="28"/>
          <w:szCs w:val="28"/>
          <w:lang w:val="uk-UA"/>
        </w:rPr>
        <w:t xml:space="preserve"> редакції: </w:t>
      </w:r>
    </w:p>
    <w:p w:rsidR="00BE297D" w:rsidRPr="00341E7A" w:rsidRDefault="00617E0E" w:rsidP="007728A6">
      <w:pPr>
        <w:ind w:firstLine="709"/>
        <w:jc w:val="both"/>
        <w:rPr>
          <w:sz w:val="28"/>
          <w:szCs w:val="28"/>
          <w:lang w:val="uk-UA"/>
        </w:rPr>
      </w:pPr>
      <w:r w:rsidRPr="00BF7B25">
        <w:rPr>
          <w:sz w:val="28"/>
          <w:szCs w:val="28"/>
          <w:lang w:val="uk-UA"/>
        </w:rPr>
        <w:t>«3</w:t>
      </w:r>
      <w:r w:rsidR="00BE297D" w:rsidRPr="00BF7B25">
        <w:rPr>
          <w:sz w:val="28"/>
          <w:szCs w:val="28"/>
          <w:lang w:val="uk-UA"/>
        </w:rPr>
        <w:t xml:space="preserve">. Кабінету Міністрів України вжити заходів щодо прийняття та/або оновлення нормативних актів органів виконавчої влади, що випливає з цього </w:t>
      </w:r>
      <w:r w:rsidR="00BE297D" w:rsidRPr="00BF7B25">
        <w:rPr>
          <w:sz w:val="28"/>
          <w:szCs w:val="28"/>
          <w:lang w:val="uk-UA"/>
        </w:rPr>
        <w:lastRenderedPageBreak/>
        <w:t xml:space="preserve">Закону, забезпечивши набрання ними чинності одночасно з набранням чинності </w:t>
      </w:r>
      <w:r w:rsidR="00BF7B25" w:rsidRPr="00BF7B25">
        <w:rPr>
          <w:sz w:val="28"/>
          <w:szCs w:val="28"/>
          <w:lang w:val="uk-UA"/>
        </w:rPr>
        <w:t>відповідни</w:t>
      </w:r>
      <w:r w:rsidR="007E77F1">
        <w:rPr>
          <w:sz w:val="28"/>
          <w:szCs w:val="28"/>
          <w:lang w:val="uk-UA"/>
        </w:rPr>
        <w:t>ми</w:t>
      </w:r>
      <w:r w:rsidR="00BF7B25" w:rsidRPr="00BF7B25">
        <w:rPr>
          <w:sz w:val="28"/>
          <w:szCs w:val="28"/>
          <w:lang w:val="uk-UA"/>
        </w:rPr>
        <w:t xml:space="preserve"> положен</w:t>
      </w:r>
      <w:r w:rsidR="007E77F1">
        <w:rPr>
          <w:sz w:val="28"/>
          <w:szCs w:val="28"/>
          <w:lang w:val="uk-UA"/>
        </w:rPr>
        <w:t>нями</w:t>
      </w:r>
      <w:r w:rsidR="00BF7B25" w:rsidRPr="00BF7B25">
        <w:rPr>
          <w:sz w:val="28"/>
          <w:szCs w:val="28"/>
          <w:lang w:val="uk-UA"/>
        </w:rPr>
        <w:t xml:space="preserve"> цього </w:t>
      </w:r>
      <w:r w:rsidR="00BE297D" w:rsidRPr="00BF7B25">
        <w:rPr>
          <w:sz w:val="28"/>
          <w:szCs w:val="28"/>
          <w:lang w:val="uk-UA"/>
        </w:rPr>
        <w:t>Закон</w:t>
      </w:r>
      <w:r w:rsidR="00BF7B25" w:rsidRPr="00BF7B25">
        <w:rPr>
          <w:sz w:val="28"/>
          <w:szCs w:val="28"/>
          <w:lang w:val="uk-UA"/>
        </w:rPr>
        <w:t>у</w:t>
      </w:r>
      <w:r w:rsidR="00BE297D" w:rsidRPr="00BF7B25">
        <w:rPr>
          <w:sz w:val="28"/>
          <w:szCs w:val="28"/>
          <w:lang w:val="uk-UA"/>
        </w:rPr>
        <w:t>".</w:t>
      </w:r>
    </w:p>
    <w:p w:rsidR="00BE297D" w:rsidRPr="00341E7A" w:rsidRDefault="00BE297D" w:rsidP="007728A6">
      <w:pPr>
        <w:ind w:firstLine="709"/>
        <w:jc w:val="both"/>
        <w:rPr>
          <w:sz w:val="28"/>
          <w:szCs w:val="28"/>
          <w:lang w:val="uk-UA"/>
        </w:rPr>
      </w:pPr>
    </w:p>
    <w:p w:rsidR="00B17B78" w:rsidRPr="00341E7A" w:rsidRDefault="00AC7D65" w:rsidP="007728A6">
      <w:pPr>
        <w:ind w:firstLine="709"/>
        <w:jc w:val="both"/>
        <w:rPr>
          <w:sz w:val="28"/>
          <w:szCs w:val="28"/>
          <w:lang w:val="uk-UA"/>
        </w:rPr>
      </w:pPr>
      <w:r>
        <w:rPr>
          <w:sz w:val="28"/>
          <w:szCs w:val="28"/>
          <w:lang w:val="uk-UA"/>
        </w:rPr>
        <w:t>5</w:t>
      </w:r>
      <w:r w:rsidR="00B17B78" w:rsidRPr="00341E7A">
        <w:rPr>
          <w:sz w:val="28"/>
          <w:szCs w:val="28"/>
          <w:lang w:val="uk-UA"/>
        </w:rPr>
        <w:t>. Надання Кабінету Міністрів України доручення інформувати Верховну Раду України про стан виконання «</w:t>
      </w:r>
      <w:r w:rsidR="00B17B78" w:rsidRPr="00AC7D65">
        <w:rPr>
          <w:sz w:val="28"/>
          <w:szCs w:val="28"/>
          <w:u w:val="single"/>
          <w:lang w:val="uk-UA"/>
        </w:rPr>
        <w:t>цього Закону</w:t>
      </w:r>
      <w:r w:rsidR="00B17B78" w:rsidRPr="00341E7A">
        <w:rPr>
          <w:sz w:val="28"/>
          <w:szCs w:val="28"/>
          <w:lang w:val="uk-UA"/>
        </w:rPr>
        <w:t xml:space="preserve">» </w:t>
      </w:r>
      <w:r w:rsidR="00D324A2" w:rsidRPr="00341E7A">
        <w:rPr>
          <w:sz w:val="28"/>
          <w:szCs w:val="28"/>
          <w:lang w:val="uk-UA"/>
        </w:rPr>
        <w:t xml:space="preserve">(пункт </w:t>
      </w:r>
      <w:r w:rsidR="007728A6">
        <w:rPr>
          <w:sz w:val="28"/>
          <w:szCs w:val="28"/>
          <w:lang w:val="uk-UA"/>
        </w:rPr>
        <w:t>4</w:t>
      </w:r>
      <w:r w:rsidR="00D324A2" w:rsidRPr="00341E7A">
        <w:rPr>
          <w:sz w:val="28"/>
          <w:szCs w:val="28"/>
          <w:lang w:val="uk-UA"/>
        </w:rPr>
        <w:t xml:space="preserve"> розділу ІІ проекту) </w:t>
      </w:r>
      <w:r w:rsidR="00B17B78" w:rsidRPr="00341E7A">
        <w:rPr>
          <w:sz w:val="28"/>
          <w:szCs w:val="28"/>
          <w:lang w:val="uk-UA"/>
        </w:rPr>
        <w:t xml:space="preserve">не узгоджується із правовою позицією Конституційного Суду України про функціональне призначення законів про внесення змін до відповідних законодавчих актів: положення таких законів після набрання ними чинності стають невід'ємною складовою базового закону - окремими його положеннями (окрема думка судді Конституційного Суду України </w:t>
      </w:r>
      <w:proofErr w:type="spellStart"/>
      <w:r w:rsidR="00B17B78" w:rsidRPr="00341E7A">
        <w:rPr>
          <w:sz w:val="28"/>
          <w:szCs w:val="28"/>
          <w:lang w:val="uk-UA"/>
        </w:rPr>
        <w:t>Маркуш</w:t>
      </w:r>
      <w:proofErr w:type="spellEnd"/>
      <w:r w:rsidR="00B17B78" w:rsidRPr="00341E7A">
        <w:rPr>
          <w:sz w:val="28"/>
          <w:szCs w:val="28"/>
          <w:lang w:val="uk-UA"/>
        </w:rPr>
        <w:t xml:space="preserve"> М.А. стосовно Рішення Конституційного Суду України від 26 червня 2008 року N 13-рп/2008 у справі за конституційним поданням 47 народних депутатів України щодо відповідності Конституції України (конституційності) положення підпункту 1 пункту 3 розділу IV Закону України "Про Конституційний Суд України (в редакції Закону України від 4 серпня 2006 року N 79-V)(справа про повноваження Конституційного Суду України) з посиланням на  Ухвалу Конституційного Суду України про відмову у відкритті  конституційного провадження у справі за конституційним поданням 102 народних депутатів України щодо відповідності Конституції України) (конституційності) Закону України "Про внесення змін до Конституції  України", Закону України "Про внесення зміни до розділу IV "Прикінцеві та перехідні положення" Закону України "Про Конституційний Суд України" від 5 лютого  2008  року N 6-у/2008</w:t>
      </w:r>
      <w:r w:rsidR="00AE260A">
        <w:rPr>
          <w:sz w:val="28"/>
          <w:szCs w:val="28"/>
          <w:lang w:val="uk-UA"/>
        </w:rPr>
        <w:t>).</w:t>
      </w:r>
    </w:p>
    <w:p w:rsidR="00503CF2" w:rsidRPr="00341E7A" w:rsidRDefault="00503CF2" w:rsidP="007728A6">
      <w:pPr>
        <w:tabs>
          <w:tab w:val="left" w:pos="993"/>
        </w:tabs>
        <w:ind w:right="85" w:firstLine="709"/>
        <w:jc w:val="both"/>
        <w:rPr>
          <w:rFonts w:eastAsia="Calibri"/>
          <w:sz w:val="28"/>
          <w:szCs w:val="28"/>
          <w:lang w:val="uk-UA"/>
        </w:rPr>
      </w:pPr>
    </w:p>
    <w:p w:rsidR="00422BCE" w:rsidRPr="00341E7A" w:rsidRDefault="00422BCE" w:rsidP="007728A6">
      <w:pPr>
        <w:suppressAutoHyphens/>
        <w:ind w:leftChars="-1" w:left="-2" w:firstLine="709"/>
        <w:jc w:val="both"/>
        <w:textAlignment w:val="top"/>
        <w:outlineLvl w:val="0"/>
        <w:rPr>
          <w:color w:val="000000"/>
          <w:sz w:val="28"/>
          <w:szCs w:val="28"/>
          <w:lang w:val="uk-UA"/>
        </w:rPr>
      </w:pPr>
      <w:r w:rsidRPr="00341E7A">
        <w:rPr>
          <w:color w:val="000000"/>
          <w:sz w:val="28"/>
          <w:szCs w:val="28"/>
          <w:lang w:val="uk-UA"/>
        </w:rPr>
        <w:t xml:space="preserve">Зважаючи на обсяг та характер висловлених зауважень вважаємо, що </w:t>
      </w:r>
      <w:bookmarkStart w:id="0" w:name="_GoBack"/>
      <w:bookmarkEnd w:id="0"/>
      <w:r w:rsidRPr="00341E7A">
        <w:rPr>
          <w:color w:val="000000"/>
          <w:sz w:val="28"/>
          <w:szCs w:val="28"/>
          <w:lang w:val="uk-UA"/>
        </w:rPr>
        <w:t xml:space="preserve">проект потребує доопрацювання з урахуванням можливостей, передбачених </w:t>
      </w:r>
      <w:r w:rsidRPr="00341E7A">
        <w:rPr>
          <w:color w:val="000000"/>
          <w:sz w:val="28"/>
          <w:szCs w:val="28"/>
          <w:shd w:val="clear" w:color="auto" w:fill="FFFFFF"/>
          <w:lang w:val="uk-UA"/>
        </w:rPr>
        <w:t xml:space="preserve">частиною шостою статті 118 Регламенту Верховної Ради України, за якою у разі якщо висновки юридичної експертизи та редакційного опрацювання містять зауваження до законопроекту, підготовленого до другого читання чи повторного другого читання, головний комітет може розглянути на своєму засіданні пропозиції (поправки) членів комітету, підготовлені з урахуванням таких висновків. </w:t>
      </w:r>
    </w:p>
    <w:p w:rsidR="002A197F" w:rsidRPr="00341E7A" w:rsidRDefault="002A197F" w:rsidP="002A197F">
      <w:pPr>
        <w:ind w:firstLine="709"/>
        <w:jc w:val="both"/>
        <w:rPr>
          <w:sz w:val="28"/>
          <w:szCs w:val="28"/>
          <w:lang w:val="uk-UA"/>
        </w:rPr>
      </w:pPr>
    </w:p>
    <w:p w:rsidR="00793963" w:rsidRDefault="00793963" w:rsidP="002A197F">
      <w:pPr>
        <w:ind w:firstLine="709"/>
        <w:jc w:val="both"/>
        <w:rPr>
          <w:sz w:val="28"/>
          <w:szCs w:val="28"/>
          <w:lang w:val="uk-UA"/>
        </w:rPr>
      </w:pPr>
    </w:p>
    <w:p w:rsidR="007728A6" w:rsidRPr="00341E7A" w:rsidRDefault="007728A6" w:rsidP="002A197F">
      <w:pPr>
        <w:ind w:firstLine="709"/>
        <w:jc w:val="both"/>
        <w:rPr>
          <w:sz w:val="28"/>
          <w:szCs w:val="28"/>
          <w:lang w:val="uk-UA"/>
        </w:rPr>
      </w:pPr>
    </w:p>
    <w:tbl>
      <w:tblPr>
        <w:tblStyle w:val="1"/>
        <w:tblW w:w="978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48"/>
        <w:gridCol w:w="5933"/>
      </w:tblGrid>
      <w:tr w:rsidR="002A197F" w:rsidRPr="00341E7A" w:rsidTr="00B71B10">
        <w:trPr>
          <w:trHeight w:val="679"/>
        </w:trPr>
        <w:tc>
          <w:tcPr>
            <w:tcW w:w="3848" w:type="dxa"/>
            <w:hideMark/>
          </w:tcPr>
          <w:p w:rsidR="002A197F" w:rsidRPr="00341E7A" w:rsidRDefault="002A197F" w:rsidP="00B71B10">
            <w:pPr>
              <w:jc w:val="both"/>
              <w:rPr>
                <w:rFonts w:eastAsia="Calibri"/>
                <w:b/>
                <w:sz w:val="28"/>
                <w:szCs w:val="28"/>
                <w:lang w:val="uk-UA"/>
              </w:rPr>
            </w:pPr>
            <w:r w:rsidRPr="00341E7A">
              <w:rPr>
                <w:rFonts w:eastAsia="Calibri"/>
                <w:b/>
                <w:sz w:val="28"/>
                <w:szCs w:val="28"/>
                <w:lang w:val="uk-UA"/>
              </w:rPr>
              <w:t>Заступник керівника</w:t>
            </w:r>
          </w:p>
          <w:p w:rsidR="002A197F" w:rsidRPr="00341E7A" w:rsidRDefault="002A197F" w:rsidP="00B71B10">
            <w:pPr>
              <w:jc w:val="both"/>
              <w:rPr>
                <w:rFonts w:eastAsia="Calibri"/>
                <w:b/>
                <w:sz w:val="28"/>
                <w:szCs w:val="28"/>
                <w:lang w:val="uk-UA"/>
              </w:rPr>
            </w:pPr>
            <w:r w:rsidRPr="00341E7A">
              <w:rPr>
                <w:rFonts w:eastAsia="Calibri"/>
                <w:b/>
                <w:sz w:val="28"/>
                <w:szCs w:val="28"/>
                <w:lang w:val="uk-UA"/>
              </w:rPr>
              <w:t>Головного управління</w:t>
            </w:r>
          </w:p>
        </w:tc>
        <w:tc>
          <w:tcPr>
            <w:tcW w:w="5933" w:type="dxa"/>
          </w:tcPr>
          <w:p w:rsidR="002A197F" w:rsidRPr="00341E7A" w:rsidRDefault="002A197F" w:rsidP="00B71B10">
            <w:pPr>
              <w:jc w:val="both"/>
              <w:rPr>
                <w:rFonts w:eastAsia="Calibri"/>
                <w:b/>
                <w:sz w:val="28"/>
                <w:szCs w:val="28"/>
                <w:lang w:val="uk-UA"/>
              </w:rPr>
            </w:pPr>
          </w:p>
          <w:p w:rsidR="002A197F" w:rsidRPr="00341E7A" w:rsidRDefault="002A197F" w:rsidP="00B71B10">
            <w:pPr>
              <w:jc w:val="right"/>
              <w:rPr>
                <w:rFonts w:eastAsia="Calibri"/>
                <w:b/>
                <w:sz w:val="28"/>
                <w:szCs w:val="28"/>
                <w:lang w:val="uk-UA"/>
              </w:rPr>
            </w:pPr>
            <w:r w:rsidRPr="00341E7A">
              <w:rPr>
                <w:rFonts w:eastAsia="Calibri"/>
                <w:b/>
                <w:sz w:val="28"/>
                <w:szCs w:val="28"/>
                <w:lang w:val="uk-UA"/>
              </w:rPr>
              <w:t>В.МІЛОВАНОВ</w:t>
            </w:r>
          </w:p>
        </w:tc>
      </w:tr>
    </w:tbl>
    <w:p w:rsidR="000739F9" w:rsidRPr="00341E7A" w:rsidRDefault="000739F9" w:rsidP="00793963">
      <w:pPr>
        <w:jc w:val="center"/>
        <w:rPr>
          <w:sz w:val="28"/>
          <w:szCs w:val="28"/>
          <w:lang w:val="uk-UA"/>
        </w:rPr>
      </w:pPr>
    </w:p>
    <w:sectPr w:rsidR="000739F9" w:rsidRPr="00341E7A" w:rsidSect="00B71B10">
      <w:headerReference w:type="default" r:id="rId7"/>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3B82" w:rsidRDefault="006E3B82" w:rsidP="00B71B10">
      <w:r>
        <w:separator/>
      </w:r>
    </w:p>
  </w:endnote>
  <w:endnote w:type="continuationSeparator" w:id="0">
    <w:p w:rsidR="006E3B82" w:rsidRDefault="006E3B82" w:rsidP="00B71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3B82" w:rsidRDefault="006E3B82" w:rsidP="00B71B10">
      <w:r>
        <w:separator/>
      </w:r>
    </w:p>
  </w:footnote>
  <w:footnote w:type="continuationSeparator" w:id="0">
    <w:p w:rsidR="006E3B82" w:rsidRDefault="006E3B82" w:rsidP="00B71B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7042263"/>
      <w:docPartObj>
        <w:docPartGallery w:val="Page Numbers (Top of Page)"/>
        <w:docPartUnique/>
      </w:docPartObj>
    </w:sdtPr>
    <w:sdtEndPr/>
    <w:sdtContent>
      <w:p w:rsidR="00B71B10" w:rsidRDefault="00B71B10">
        <w:pPr>
          <w:pStyle w:val="a5"/>
          <w:jc w:val="center"/>
        </w:pPr>
        <w:r>
          <w:fldChar w:fldCharType="begin"/>
        </w:r>
        <w:r>
          <w:instrText>PAGE   \* MERGEFORMAT</w:instrText>
        </w:r>
        <w:r>
          <w:fldChar w:fldCharType="separate"/>
        </w:r>
        <w:r w:rsidR="00ED7B4B" w:rsidRPr="00ED7B4B">
          <w:rPr>
            <w:noProof/>
            <w:lang w:val="uk-UA"/>
          </w:rPr>
          <w:t>3</w:t>
        </w:r>
        <w:r>
          <w:fldChar w:fldCharType="end"/>
        </w:r>
      </w:p>
    </w:sdtContent>
  </w:sdt>
  <w:p w:rsidR="00B71B10" w:rsidRDefault="00B71B10">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F3E"/>
    <w:rsid w:val="00020560"/>
    <w:rsid w:val="000349AD"/>
    <w:rsid w:val="00062CDE"/>
    <w:rsid w:val="000739F9"/>
    <w:rsid w:val="0007427B"/>
    <w:rsid w:val="000772A5"/>
    <w:rsid w:val="00095295"/>
    <w:rsid w:val="00097531"/>
    <w:rsid w:val="000B63F5"/>
    <w:rsid w:val="000C0AB6"/>
    <w:rsid w:val="000D2038"/>
    <w:rsid w:val="000D4F49"/>
    <w:rsid w:val="000E3434"/>
    <w:rsid w:val="000F2815"/>
    <w:rsid w:val="00113128"/>
    <w:rsid w:val="001211E5"/>
    <w:rsid w:val="00133BC8"/>
    <w:rsid w:val="00176E09"/>
    <w:rsid w:val="001B5FE3"/>
    <w:rsid w:val="001E1D74"/>
    <w:rsid w:val="001F0B25"/>
    <w:rsid w:val="001F55C4"/>
    <w:rsid w:val="00200C43"/>
    <w:rsid w:val="00235A1F"/>
    <w:rsid w:val="0025459D"/>
    <w:rsid w:val="0027762C"/>
    <w:rsid w:val="002A197F"/>
    <w:rsid w:val="002A496A"/>
    <w:rsid w:val="002A7D58"/>
    <w:rsid w:val="002B7F05"/>
    <w:rsid w:val="002D7BCC"/>
    <w:rsid w:val="002F38AF"/>
    <w:rsid w:val="00302E96"/>
    <w:rsid w:val="003246C2"/>
    <w:rsid w:val="003369A5"/>
    <w:rsid w:val="00341E7A"/>
    <w:rsid w:val="00385069"/>
    <w:rsid w:val="003C3F0C"/>
    <w:rsid w:val="003C3FBB"/>
    <w:rsid w:val="003E6754"/>
    <w:rsid w:val="003F6FF2"/>
    <w:rsid w:val="0040640A"/>
    <w:rsid w:val="00422BCE"/>
    <w:rsid w:val="00433685"/>
    <w:rsid w:val="004446F7"/>
    <w:rsid w:val="00471003"/>
    <w:rsid w:val="004812E5"/>
    <w:rsid w:val="004C153C"/>
    <w:rsid w:val="004C443B"/>
    <w:rsid w:val="004D2097"/>
    <w:rsid w:val="00503CF2"/>
    <w:rsid w:val="005204CF"/>
    <w:rsid w:val="005247B8"/>
    <w:rsid w:val="00596F3E"/>
    <w:rsid w:val="005A12C5"/>
    <w:rsid w:val="005B0EDE"/>
    <w:rsid w:val="005E4F25"/>
    <w:rsid w:val="00600950"/>
    <w:rsid w:val="00605BCD"/>
    <w:rsid w:val="006134AA"/>
    <w:rsid w:val="00617E0E"/>
    <w:rsid w:val="00637D2C"/>
    <w:rsid w:val="00640DC2"/>
    <w:rsid w:val="00642731"/>
    <w:rsid w:val="00642E40"/>
    <w:rsid w:val="00667BEB"/>
    <w:rsid w:val="00680C81"/>
    <w:rsid w:val="006901B9"/>
    <w:rsid w:val="006B7117"/>
    <w:rsid w:val="006B7ED8"/>
    <w:rsid w:val="006C1292"/>
    <w:rsid w:val="006C7F99"/>
    <w:rsid w:val="006E3B82"/>
    <w:rsid w:val="006F60D1"/>
    <w:rsid w:val="00703261"/>
    <w:rsid w:val="007728A6"/>
    <w:rsid w:val="00772BAA"/>
    <w:rsid w:val="00793963"/>
    <w:rsid w:val="007D34F3"/>
    <w:rsid w:val="007D5AEC"/>
    <w:rsid w:val="007E77F1"/>
    <w:rsid w:val="0084233F"/>
    <w:rsid w:val="008675AB"/>
    <w:rsid w:val="008B0AE9"/>
    <w:rsid w:val="008C27E0"/>
    <w:rsid w:val="008E05E1"/>
    <w:rsid w:val="008F4266"/>
    <w:rsid w:val="0090024E"/>
    <w:rsid w:val="009158FC"/>
    <w:rsid w:val="00936977"/>
    <w:rsid w:val="00951B13"/>
    <w:rsid w:val="00977402"/>
    <w:rsid w:val="0098623E"/>
    <w:rsid w:val="009901C2"/>
    <w:rsid w:val="009C05FD"/>
    <w:rsid w:val="009C3FBE"/>
    <w:rsid w:val="009C7C5D"/>
    <w:rsid w:val="009E0BF1"/>
    <w:rsid w:val="00A05FF2"/>
    <w:rsid w:val="00A0609B"/>
    <w:rsid w:val="00A06B48"/>
    <w:rsid w:val="00A13B51"/>
    <w:rsid w:val="00A21FB7"/>
    <w:rsid w:val="00A31F8F"/>
    <w:rsid w:val="00A32708"/>
    <w:rsid w:val="00A35AC6"/>
    <w:rsid w:val="00A434BC"/>
    <w:rsid w:val="00A458C5"/>
    <w:rsid w:val="00A46F80"/>
    <w:rsid w:val="00A539BF"/>
    <w:rsid w:val="00A63913"/>
    <w:rsid w:val="00A75DD4"/>
    <w:rsid w:val="00A76947"/>
    <w:rsid w:val="00AA2B86"/>
    <w:rsid w:val="00AA742A"/>
    <w:rsid w:val="00AB7919"/>
    <w:rsid w:val="00AC7D65"/>
    <w:rsid w:val="00AE260A"/>
    <w:rsid w:val="00AE4809"/>
    <w:rsid w:val="00AE7FEA"/>
    <w:rsid w:val="00AF6FB7"/>
    <w:rsid w:val="00B17B78"/>
    <w:rsid w:val="00B71B10"/>
    <w:rsid w:val="00BD6CA0"/>
    <w:rsid w:val="00BD6EA5"/>
    <w:rsid w:val="00BE297D"/>
    <w:rsid w:val="00BF7B25"/>
    <w:rsid w:val="00C04417"/>
    <w:rsid w:val="00C24CA3"/>
    <w:rsid w:val="00C36163"/>
    <w:rsid w:val="00C77F5F"/>
    <w:rsid w:val="00C9375D"/>
    <w:rsid w:val="00CC1F03"/>
    <w:rsid w:val="00CD6A16"/>
    <w:rsid w:val="00D05E45"/>
    <w:rsid w:val="00D162D9"/>
    <w:rsid w:val="00D21889"/>
    <w:rsid w:val="00D243C3"/>
    <w:rsid w:val="00D324A2"/>
    <w:rsid w:val="00D3632D"/>
    <w:rsid w:val="00D37F14"/>
    <w:rsid w:val="00D90AB4"/>
    <w:rsid w:val="00DA4317"/>
    <w:rsid w:val="00DD5A9E"/>
    <w:rsid w:val="00DD73CB"/>
    <w:rsid w:val="00E00CFB"/>
    <w:rsid w:val="00E602E4"/>
    <w:rsid w:val="00E70B8B"/>
    <w:rsid w:val="00E7436E"/>
    <w:rsid w:val="00E80D06"/>
    <w:rsid w:val="00E93E78"/>
    <w:rsid w:val="00ED3945"/>
    <w:rsid w:val="00ED7B4B"/>
    <w:rsid w:val="00F0778F"/>
    <w:rsid w:val="00F176CD"/>
    <w:rsid w:val="00F31284"/>
    <w:rsid w:val="00F34D34"/>
    <w:rsid w:val="00F61EEE"/>
    <w:rsid w:val="00FA2D6C"/>
    <w:rsid w:val="00FB5A2F"/>
    <w:rsid w:val="00FF29E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1AB043-C1DD-4777-B381-AE636759C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F3E"/>
    <w:pPr>
      <w:spacing w:after="0" w:line="240" w:lineRule="auto"/>
    </w:pPr>
    <w:rPr>
      <w:rFonts w:eastAsia="Times New Roman" w:cs="Times New Roman"/>
      <w:sz w:val="24"/>
      <w:szCs w:val="24"/>
      <w:lang w:val="ru-RU" w:eastAsia="ru-RU"/>
    </w:rPr>
  </w:style>
  <w:style w:type="paragraph" w:styleId="2">
    <w:name w:val="heading 2"/>
    <w:basedOn w:val="a"/>
    <w:next w:val="a"/>
    <w:link w:val="20"/>
    <w:uiPriority w:val="9"/>
    <w:semiHidden/>
    <w:unhideWhenUsed/>
    <w:qFormat/>
    <w:rsid w:val="00062CDE"/>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B7117"/>
    <w:rPr>
      <w:rFonts w:ascii="Segoe UI" w:hAnsi="Segoe UI" w:cs="Segoe UI"/>
      <w:sz w:val="18"/>
      <w:szCs w:val="18"/>
    </w:rPr>
  </w:style>
  <w:style w:type="character" w:customStyle="1" w:styleId="a4">
    <w:name w:val="Текст у виносці Знак"/>
    <w:basedOn w:val="a0"/>
    <w:link w:val="a3"/>
    <w:uiPriority w:val="99"/>
    <w:semiHidden/>
    <w:rsid w:val="006B7117"/>
    <w:rPr>
      <w:rFonts w:ascii="Segoe UI" w:eastAsia="Times New Roman" w:hAnsi="Segoe UI" w:cs="Segoe UI"/>
      <w:sz w:val="18"/>
      <w:szCs w:val="18"/>
      <w:lang w:val="ru-RU" w:eastAsia="ru-RU"/>
    </w:rPr>
  </w:style>
  <w:style w:type="character" w:customStyle="1" w:styleId="20">
    <w:name w:val="Заголовок 2 Знак"/>
    <w:basedOn w:val="a0"/>
    <w:link w:val="2"/>
    <w:uiPriority w:val="9"/>
    <w:semiHidden/>
    <w:rsid w:val="00062CDE"/>
    <w:rPr>
      <w:rFonts w:asciiTheme="majorHAnsi" w:eastAsiaTheme="majorEastAsia" w:hAnsiTheme="majorHAnsi" w:cstheme="majorBidi"/>
      <w:color w:val="2E74B5" w:themeColor="accent1" w:themeShade="BF"/>
      <w:sz w:val="26"/>
      <w:szCs w:val="26"/>
      <w:lang w:val="ru-RU" w:eastAsia="ru-RU"/>
    </w:rPr>
  </w:style>
  <w:style w:type="paragraph" w:styleId="a5">
    <w:name w:val="header"/>
    <w:basedOn w:val="a"/>
    <w:link w:val="a6"/>
    <w:uiPriority w:val="99"/>
    <w:rsid w:val="006C7F99"/>
    <w:pPr>
      <w:tabs>
        <w:tab w:val="center" w:pos="4677"/>
        <w:tab w:val="right" w:pos="9355"/>
      </w:tabs>
    </w:pPr>
    <w:rPr>
      <w:rFonts w:ascii="Calibri" w:eastAsia="Calibri" w:hAnsi="Calibri"/>
      <w:sz w:val="22"/>
      <w:szCs w:val="22"/>
      <w:lang w:eastAsia="en-US"/>
    </w:rPr>
  </w:style>
  <w:style w:type="character" w:customStyle="1" w:styleId="a6">
    <w:name w:val="Верхній колонтитул Знак"/>
    <w:basedOn w:val="a0"/>
    <w:link w:val="a5"/>
    <w:uiPriority w:val="99"/>
    <w:rsid w:val="006C7F99"/>
    <w:rPr>
      <w:rFonts w:ascii="Calibri" w:eastAsia="Calibri" w:hAnsi="Calibri" w:cs="Times New Roman"/>
      <w:sz w:val="22"/>
      <w:lang w:val="ru-RU"/>
    </w:rPr>
  </w:style>
  <w:style w:type="table" w:styleId="a7">
    <w:name w:val="Table Grid"/>
    <w:basedOn w:val="a1"/>
    <w:uiPriority w:val="99"/>
    <w:rsid w:val="006C7F99"/>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sid w:val="002A197F"/>
    <w:pPr>
      <w:spacing w:after="0" w:line="240" w:lineRule="auto"/>
    </w:pPr>
    <w:rPr>
      <w:rFonts w:ascii="Calibri" w:eastAsia="Calibri" w:hAnsi="Calibri" w:cs="Times New Roman"/>
      <w:sz w:val="22"/>
    </w:rPr>
  </w:style>
  <w:style w:type="table" w:customStyle="1" w:styleId="1">
    <w:name w:val="Сітка таблиці1"/>
    <w:basedOn w:val="a1"/>
    <w:next w:val="a7"/>
    <w:rsid w:val="002A197F"/>
    <w:pPr>
      <w:spacing w:after="0" w:line="240" w:lineRule="auto"/>
    </w:pPr>
    <w:rPr>
      <w:rFonts w:eastAsia="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Без інтервалів1"/>
    <w:rsid w:val="00AB7919"/>
    <w:pPr>
      <w:spacing w:after="0" w:line="240" w:lineRule="auto"/>
    </w:pPr>
    <w:rPr>
      <w:rFonts w:ascii="Calibri" w:eastAsia="Times New Roman" w:hAnsi="Calibri" w:cs="Times New Roman"/>
      <w:sz w:val="22"/>
    </w:rPr>
  </w:style>
  <w:style w:type="character" w:styleId="a9">
    <w:name w:val="Hyperlink"/>
    <w:basedOn w:val="a0"/>
    <w:uiPriority w:val="99"/>
    <w:semiHidden/>
    <w:unhideWhenUsed/>
    <w:rsid w:val="00095295"/>
    <w:rPr>
      <w:color w:val="0000FF"/>
      <w:u w:val="single"/>
    </w:rPr>
  </w:style>
  <w:style w:type="paragraph" w:styleId="aa">
    <w:name w:val="List Paragraph"/>
    <w:basedOn w:val="a"/>
    <w:uiPriority w:val="34"/>
    <w:qFormat/>
    <w:rsid w:val="007D5AEC"/>
    <w:pPr>
      <w:ind w:left="720"/>
      <w:contextualSpacing/>
    </w:pPr>
  </w:style>
  <w:style w:type="character" w:customStyle="1" w:styleId="rvts0">
    <w:name w:val="rvts0"/>
    <w:rsid w:val="0027762C"/>
  </w:style>
  <w:style w:type="paragraph" w:customStyle="1" w:styleId="rvps2">
    <w:name w:val="rvps2"/>
    <w:basedOn w:val="a"/>
    <w:rsid w:val="00FB5A2F"/>
    <w:pPr>
      <w:spacing w:before="100" w:beforeAutospacing="1" w:after="100" w:afterAutospacing="1"/>
    </w:pPr>
    <w:rPr>
      <w:lang w:val="uk-UA" w:eastAsia="uk-UA"/>
    </w:rPr>
  </w:style>
  <w:style w:type="paragraph" w:styleId="ab">
    <w:name w:val="footer"/>
    <w:basedOn w:val="a"/>
    <w:link w:val="ac"/>
    <w:uiPriority w:val="99"/>
    <w:unhideWhenUsed/>
    <w:rsid w:val="00B71B10"/>
    <w:pPr>
      <w:tabs>
        <w:tab w:val="center" w:pos="4819"/>
        <w:tab w:val="right" w:pos="9639"/>
      </w:tabs>
    </w:pPr>
  </w:style>
  <w:style w:type="character" w:customStyle="1" w:styleId="ac">
    <w:name w:val="Нижній колонтитул Знак"/>
    <w:basedOn w:val="a0"/>
    <w:link w:val="ab"/>
    <w:uiPriority w:val="99"/>
    <w:rsid w:val="00B71B10"/>
    <w:rPr>
      <w:rFonts w:eastAsia="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501896">
      <w:bodyDiv w:val="1"/>
      <w:marLeft w:val="0"/>
      <w:marRight w:val="0"/>
      <w:marTop w:val="0"/>
      <w:marBottom w:val="0"/>
      <w:divBdr>
        <w:top w:val="none" w:sz="0" w:space="0" w:color="auto"/>
        <w:left w:val="none" w:sz="0" w:space="0" w:color="auto"/>
        <w:bottom w:val="none" w:sz="0" w:space="0" w:color="auto"/>
        <w:right w:val="none" w:sz="0" w:space="0" w:color="auto"/>
      </w:divBdr>
    </w:div>
    <w:div w:id="1700857549">
      <w:bodyDiv w:val="1"/>
      <w:marLeft w:val="0"/>
      <w:marRight w:val="0"/>
      <w:marTop w:val="0"/>
      <w:marBottom w:val="0"/>
      <w:divBdr>
        <w:top w:val="none" w:sz="0" w:space="0" w:color="auto"/>
        <w:left w:val="none" w:sz="0" w:space="0" w:color="auto"/>
        <w:bottom w:val="none" w:sz="0" w:space="0" w:color="auto"/>
        <w:right w:val="none" w:sz="0" w:space="0" w:color="auto"/>
      </w:divBdr>
    </w:div>
    <w:div w:id="2068063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4354</Words>
  <Characters>2483</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Снігур Ірина Вікторівна</dc:creator>
  <cp:keywords/>
  <dc:description/>
  <cp:lastModifiedBy>Shambir</cp:lastModifiedBy>
  <cp:revision>2</cp:revision>
  <cp:lastPrinted>2021-06-15T13:36:00Z</cp:lastPrinted>
  <dcterms:created xsi:type="dcterms:W3CDTF">2021-06-16T07:56:00Z</dcterms:created>
  <dcterms:modified xsi:type="dcterms:W3CDTF">2021-06-16T07:56:00Z</dcterms:modified>
</cp:coreProperties>
</file>