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145" w:rsidRDefault="004A7145" w:rsidP="004A7145">
      <w:pPr>
        <w:tabs>
          <w:tab w:val="left" w:pos="284"/>
          <w:tab w:val="left" w:pos="709"/>
          <w:tab w:val="left" w:pos="7938"/>
        </w:tabs>
        <w:spacing w:after="0"/>
        <w:ind w:firstLine="709"/>
        <w:jc w:val="right"/>
        <w:rPr>
          <w:rFonts w:ascii="Times New Roman" w:hAnsi="Times New Roman"/>
          <w:color w:val="000000" w:themeColor="text1"/>
          <w:sz w:val="24"/>
          <w:szCs w:val="24"/>
        </w:rPr>
      </w:pPr>
      <w:bookmarkStart w:id="0" w:name="_GoBack"/>
      <w:bookmarkEnd w:id="0"/>
    </w:p>
    <w:p w:rsidR="004A7145" w:rsidRDefault="004A7145" w:rsidP="004A7145">
      <w:pPr>
        <w:tabs>
          <w:tab w:val="left" w:pos="284"/>
          <w:tab w:val="left" w:pos="709"/>
          <w:tab w:val="left" w:pos="7938"/>
        </w:tabs>
        <w:spacing w:after="0"/>
        <w:ind w:firstLine="709"/>
        <w:jc w:val="right"/>
        <w:rPr>
          <w:rFonts w:ascii="Times New Roman" w:hAnsi="Times New Roman"/>
          <w:color w:val="000000" w:themeColor="text1"/>
          <w:sz w:val="24"/>
          <w:szCs w:val="24"/>
        </w:rPr>
      </w:pPr>
    </w:p>
    <w:p w:rsidR="006207FA" w:rsidRPr="006207FA" w:rsidRDefault="006207FA" w:rsidP="007B0878">
      <w:pPr>
        <w:spacing w:after="0" w:line="240" w:lineRule="auto"/>
        <w:ind w:firstLine="709"/>
        <w:jc w:val="right"/>
        <w:rPr>
          <w:rFonts w:ascii="Times New Roman" w:hAnsi="Times New Roman"/>
          <w:sz w:val="24"/>
          <w:szCs w:val="24"/>
          <w:lang w:val="ru-RU"/>
        </w:rPr>
      </w:pPr>
      <w:r w:rsidRPr="006207FA">
        <w:rPr>
          <w:rFonts w:ascii="Times New Roman" w:hAnsi="Times New Roman"/>
          <w:sz w:val="24"/>
          <w:szCs w:val="24"/>
        </w:rPr>
        <w:t xml:space="preserve">До реєстр. № </w:t>
      </w:r>
      <w:r w:rsidRPr="006207FA">
        <w:rPr>
          <w:rFonts w:ascii="Times New Roman" w:hAnsi="Times New Roman"/>
          <w:sz w:val="24"/>
          <w:szCs w:val="24"/>
          <w:lang w:val="ru-RU"/>
        </w:rPr>
        <w:t>4634</w:t>
      </w:r>
    </w:p>
    <w:p w:rsidR="006207FA" w:rsidRPr="006207FA" w:rsidRDefault="006207FA" w:rsidP="007B0878">
      <w:pPr>
        <w:tabs>
          <w:tab w:val="left" w:pos="7848"/>
          <w:tab w:val="right" w:pos="9639"/>
        </w:tabs>
        <w:spacing w:after="0" w:line="240" w:lineRule="auto"/>
        <w:ind w:firstLine="709"/>
        <w:jc w:val="right"/>
        <w:rPr>
          <w:rFonts w:ascii="Times New Roman" w:hAnsi="Times New Roman"/>
          <w:sz w:val="24"/>
          <w:szCs w:val="24"/>
        </w:rPr>
      </w:pPr>
      <w:r w:rsidRPr="006207FA">
        <w:rPr>
          <w:rFonts w:ascii="Times New Roman" w:hAnsi="Times New Roman"/>
          <w:sz w:val="24"/>
          <w:szCs w:val="24"/>
        </w:rPr>
        <w:t>(друге читання)</w:t>
      </w:r>
    </w:p>
    <w:p w:rsidR="006207FA" w:rsidRPr="006207FA" w:rsidRDefault="006207FA" w:rsidP="007B0878">
      <w:pPr>
        <w:spacing w:after="0" w:line="240" w:lineRule="auto"/>
        <w:ind w:firstLine="709"/>
        <w:jc w:val="right"/>
        <w:rPr>
          <w:rFonts w:ascii="Times New Roman" w:hAnsi="Times New Roman"/>
          <w:sz w:val="28"/>
          <w:szCs w:val="28"/>
        </w:rPr>
      </w:pPr>
    </w:p>
    <w:p w:rsidR="006207FA" w:rsidRPr="006207FA" w:rsidRDefault="006207FA" w:rsidP="007B0878">
      <w:pPr>
        <w:spacing w:after="0" w:line="240" w:lineRule="auto"/>
        <w:ind w:firstLine="709"/>
        <w:jc w:val="right"/>
        <w:rPr>
          <w:rFonts w:ascii="Times New Roman" w:hAnsi="Times New Roman"/>
          <w:sz w:val="28"/>
          <w:szCs w:val="28"/>
        </w:rPr>
      </w:pPr>
    </w:p>
    <w:p w:rsidR="006207FA" w:rsidRPr="006207FA" w:rsidRDefault="006207FA" w:rsidP="007B0878">
      <w:pPr>
        <w:spacing w:after="0" w:line="240" w:lineRule="auto"/>
        <w:jc w:val="center"/>
        <w:rPr>
          <w:rFonts w:ascii="Times New Roman" w:hAnsi="Times New Roman"/>
          <w:b/>
          <w:sz w:val="28"/>
          <w:szCs w:val="28"/>
        </w:rPr>
      </w:pPr>
    </w:p>
    <w:p w:rsidR="006207FA" w:rsidRPr="006207FA" w:rsidRDefault="006207FA" w:rsidP="007B0878">
      <w:pPr>
        <w:spacing w:after="0" w:line="240" w:lineRule="auto"/>
        <w:jc w:val="center"/>
        <w:rPr>
          <w:rFonts w:ascii="Times New Roman" w:hAnsi="Times New Roman"/>
          <w:b/>
          <w:sz w:val="28"/>
          <w:szCs w:val="28"/>
        </w:rPr>
      </w:pPr>
    </w:p>
    <w:p w:rsidR="006207FA" w:rsidRPr="006207FA" w:rsidRDefault="006207FA" w:rsidP="007B0878">
      <w:pPr>
        <w:spacing w:after="0" w:line="240" w:lineRule="auto"/>
        <w:jc w:val="center"/>
        <w:rPr>
          <w:rFonts w:ascii="Times New Roman" w:hAnsi="Times New Roman"/>
          <w:b/>
          <w:sz w:val="28"/>
          <w:szCs w:val="28"/>
        </w:rPr>
      </w:pPr>
    </w:p>
    <w:p w:rsidR="006207FA" w:rsidRPr="006207FA" w:rsidRDefault="006207FA" w:rsidP="007B0878">
      <w:pPr>
        <w:spacing w:after="0" w:line="240" w:lineRule="auto"/>
        <w:jc w:val="center"/>
        <w:rPr>
          <w:rFonts w:ascii="Times New Roman" w:hAnsi="Times New Roman"/>
          <w:b/>
          <w:sz w:val="28"/>
          <w:szCs w:val="28"/>
        </w:rPr>
      </w:pPr>
    </w:p>
    <w:p w:rsidR="006207FA" w:rsidRPr="006207FA" w:rsidRDefault="006207FA" w:rsidP="007B0878">
      <w:pPr>
        <w:spacing w:after="0" w:line="240" w:lineRule="auto"/>
        <w:jc w:val="center"/>
        <w:rPr>
          <w:rFonts w:ascii="Times New Roman" w:hAnsi="Times New Roman"/>
          <w:b/>
          <w:sz w:val="28"/>
          <w:szCs w:val="28"/>
        </w:rPr>
      </w:pPr>
    </w:p>
    <w:p w:rsidR="006207FA" w:rsidRPr="006207FA" w:rsidRDefault="006207FA" w:rsidP="007B0878">
      <w:pPr>
        <w:spacing w:after="0" w:line="240" w:lineRule="auto"/>
        <w:jc w:val="center"/>
        <w:rPr>
          <w:rFonts w:ascii="Times New Roman" w:hAnsi="Times New Roman"/>
          <w:sz w:val="28"/>
          <w:szCs w:val="28"/>
        </w:rPr>
      </w:pPr>
      <w:r w:rsidRPr="006207FA">
        <w:rPr>
          <w:rFonts w:ascii="Times New Roman" w:hAnsi="Times New Roman"/>
          <w:sz w:val="28"/>
          <w:szCs w:val="28"/>
        </w:rPr>
        <w:t>ЗАУВАЖЕННЯ</w:t>
      </w:r>
    </w:p>
    <w:p w:rsidR="006207FA" w:rsidRPr="006207FA" w:rsidRDefault="006207FA" w:rsidP="007B0878">
      <w:pPr>
        <w:spacing w:after="0" w:line="240" w:lineRule="auto"/>
        <w:jc w:val="center"/>
        <w:rPr>
          <w:rFonts w:ascii="Times New Roman" w:hAnsi="Times New Roman"/>
          <w:sz w:val="28"/>
          <w:szCs w:val="28"/>
        </w:rPr>
      </w:pPr>
      <w:r w:rsidRPr="006207FA">
        <w:rPr>
          <w:rFonts w:ascii="Times New Roman" w:hAnsi="Times New Roman"/>
          <w:sz w:val="28"/>
          <w:szCs w:val="28"/>
        </w:rPr>
        <w:t>до проекту Закону України</w:t>
      </w:r>
    </w:p>
    <w:p w:rsidR="006207FA" w:rsidRPr="006207FA" w:rsidRDefault="006207FA" w:rsidP="007B0878">
      <w:pPr>
        <w:spacing w:line="240" w:lineRule="auto"/>
        <w:ind w:firstLine="708"/>
        <w:jc w:val="center"/>
        <w:rPr>
          <w:rFonts w:ascii="Times New Roman" w:hAnsi="Times New Roman"/>
          <w:bCs/>
          <w:sz w:val="28"/>
          <w:szCs w:val="28"/>
        </w:rPr>
      </w:pPr>
      <w:r w:rsidRPr="006207FA">
        <w:rPr>
          <w:rFonts w:ascii="Times New Roman" w:hAnsi="Times New Roman"/>
          <w:bCs/>
          <w:sz w:val="28"/>
          <w:szCs w:val="28"/>
        </w:rPr>
        <w:t xml:space="preserve">«Про </w:t>
      </w:r>
      <w:r w:rsidRPr="006207FA">
        <w:rPr>
          <w:rFonts w:ascii="Times New Roman" w:eastAsia="Times New Roman" w:hAnsi="Times New Roman"/>
          <w:sz w:val="28"/>
          <w:szCs w:val="28"/>
          <w:lang w:eastAsia="ru-RU"/>
        </w:rPr>
        <w:t>внесення змін</w:t>
      </w:r>
      <w:r w:rsidR="00352D11">
        <w:rPr>
          <w:rFonts w:ascii="Times New Roman" w:eastAsia="Times New Roman" w:hAnsi="Times New Roman"/>
          <w:sz w:val="28"/>
          <w:szCs w:val="28"/>
          <w:lang w:eastAsia="ru-RU"/>
        </w:rPr>
        <w:t>и</w:t>
      </w:r>
      <w:r w:rsidRPr="006207FA">
        <w:rPr>
          <w:rFonts w:ascii="Times New Roman" w:eastAsia="Times New Roman" w:hAnsi="Times New Roman"/>
          <w:sz w:val="28"/>
          <w:szCs w:val="28"/>
          <w:lang w:eastAsia="ru-RU"/>
        </w:rPr>
        <w:t xml:space="preserve"> до статті 367 Кримінального кодексу України щодо посилення відповідальності за службову недбалість, якщо вона спричинила загибель людини</w:t>
      </w:r>
      <w:r w:rsidRPr="006207FA">
        <w:rPr>
          <w:rFonts w:ascii="Times New Roman" w:hAnsi="Times New Roman"/>
          <w:bCs/>
          <w:sz w:val="28"/>
          <w:szCs w:val="28"/>
        </w:rPr>
        <w:t>»</w:t>
      </w:r>
    </w:p>
    <w:p w:rsidR="006207FA" w:rsidRPr="006207FA" w:rsidRDefault="006207FA" w:rsidP="007B0878">
      <w:pPr>
        <w:spacing w:after="0" w:line="240" w:lineRule="auto"/>
        <w:ind w:firstLine="709"/>
        <w:jc w:val="center"/>
        <w:rPr>
          <w:rFonts w:ascii="Times New Roman" w:hAnsi="Times New Roman"/>
          <w:sz w:val="28"/>
          <w:szCs w:val="28"/>
        </w:rPr>
      </w:pPr>
      <w:r w:rsidRPr="006207FA">
        <w:rPr>
          <w:rFonts w:ascii="Times New Roman" w:hAnsi="Times New Roman"/>
          <w:sz w:val="28"/>
          <w:szCs w:val="28"/>
        </w:rPr>
        <w:t xml:space="preserve">  </w:t>
      </w:r>
    </w:p>
    <w:p w:rsidR="006207FA" w:rsidRPr="006207FA" w:rsidRDefault="006207FA" w:rsidP="007B0878">
      <w:pPr>
        <w:spacing w:line="240" w:lineRule="auto"/>
        <w:ind w:firstLine="708"/>
        <w:jc w:val="both"/>
        <w:rPr>
          <w:rFonts w:ascii="Times New Roman" w:hAnsi="Times New Roman"/>
          <w:bCs/>
          <w:sz w:val="28"/>
          <w:szCs w:val="28"/>
        </w:rPr>
      </w:pPr>
      <w:r w:rsidRPr="006207FA">
        <w:rPr>
          <w:rFonts w:ascii="Times New Roman" w:hAnsi="Times New Roman"/>
          <w:sz w:val="28"/>
          <w:szCs w:val="28"/>
        </w:rPr>
        <w:t xml:space="preserve"> У Головному юридичному управлінні розглянуто проект Закону України </w:t>
      </w:r>
      <w:r w:rsidRPr="006207FA">
        <w:rPr>
          <w:rFonts w:ascii="Times New Roman" w:hAnsi="Times New Roman"/>
          <w:bCs/>
          <w:sz w:val="28"/>
          <w:szCs w:val="28"/>
        </w:rPr>
        <w:t xml:space="preserve">«Про </w:t>
      </w:r>
      <w:r w:rsidRPr="006207FA">
        <w:rPr>
          <w:rFonts w:ascii="Times New Roman" w:eastAsia="Times New Roman" w:hAnsi="Times New Roman"/>
          <w:sz w:val="28"/>
          <w:szCs w:val="28"/>
          <w:lang w:eastAsia="ru-RU"/>
        </w:rPr>
        <w:t>внесення змін</w:t>
      </w:r>
      <w:r w:rsidR="0033182C">
        <w:rPr>
          <w:rFonts w:ascii="Times New Roman" w:eastAsia="Times New Roman" w:hAnsi="Times New Roman"/>
          <w:sz w:val="28"/>
          <w:szCs w:val="28"/>
          <w:lang w:eastAsia="ru-RU"/>
        </w:rPr>
        <w:t>и</w:t>
      </w:r>
      <w:r w:rsidRPr="006207FA">
        <w:rPr>
          <w:rFonts w:ascii="Times New Roman" w:eastAsia="Times New Roman" w:hAnsi="Times New Roman"/>
          <w:sz w:val="28"/>
          <w:szCs w:val="28"/>
          <w:lang w:eastAsia="ru-RU"/>
        </w:rPr>
        <w:t xml:space="preserve"> до статті 367 Кримінального кодексу України щодо посилення відповідальності за службову недбалість, якщо вона спричинила загибель людини</w:t>
      </w:r>
      <w:r w:rsidRPr="006207FA">
        <w:rPr>
          <w:rFonts w:ascii="Times New Roman" w:hAnsi="Times New Roman"/>
          <w:bCs/>
          <w:sz w:val="28"/>
          <w:szCs w:val="28"/>
        </w:rPr>
        <w:t>»</w:t>
      </w:r>
      <w:r w:rsidR="0033182C">
        <w:rPr>
          <w:rFonts w:ascii="Times New Roman" w:hAnsi="Times New Roman"/>
          <w:bCs/>
          <w:sz w:val="28"/>
          <w:szCs w:val="28"/>
        </w:rPr>
        <w:t>,</w:t>
      </w:r>
      <w:r w:rsidRPr="006207FA">
        <w:rPr>
          <w:rFonts w:ascii="Times New Roman" w:hAnsi="Times New Roman"/>
          <w:sz w:val="28"/>
          <w:szCs w:val="28"/>
        </w:rPr>
        <w:t xml:space="preserve"> підготовлений Комітетом з питань правоохоронної діяльності до другого читання</w:t>
      </w:r>
      <w:r w:rsidRPr="006207FA">
        <w:rPr>
          <w:rFonts w:ascii="Times New Roman" w:hAnsi="Times New Roman"/>
          <w:bCs/>
          <w:sz w:val="28"/>
          <w:szCs w:val="28"/>
        </w:rPr>
        <w:t>.</w:t>
      </w:r>
    </w:p>
    <w:p w:rsidR="006207FA" w:rsidRDefault="006207FA" w:rsidP="007B0878">
      <w:pPr>
        <w:pStyle w:val="Default"/>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bCs/>
          <w:color w:val="auto"/>
          <w:sz w:val="28"/>
          <w:szCs w:val="28"/>
        </w:rPr>
      </w:pPr>
      <w:r w:rsidRPr="006207FA">
        <w:rPr>
          <w:rFonts w:ascii="Times New Roman" w:hAnsi="Times New Roman" w:cs="Times New Roman"/>
          <w:sz w:val="28"/>
          <w:szCs w:val="28"/>
        </w:rPr>
        <w:t>Як зазначено у пояснювальній записці, м</w:t>
      </w:r>
      <w:r w:rsidRPr="006207FA">
        <w:rPr>
          <w:rFonts w:ascii="Times New Roman" w:eastAsia="Times New Roman" w:hAnsi="Times New Roman" w:cs="Times New Roman"/>
          <w:color w:val="000000" w:themeColor="text1"/>
          <w:sz w:val="28"/>
          <w:szCs w:val="28"/>
          <w:lang w:eastAsia="ru-RU"/>
        </w:rPr>
        <w:t>етою законопроекту</w:t>
      </w:r>
      <w:r w:rsidRPr="006207FA">
        <w:rPr>
          <w:rFonts w:ascii="Times New Roman" w:hAnsi="Times New Roman" w:cs="Times New Roman"/>
          <w:bCs/>
          <w:color w:val="auto"/>
          <w:sz w:val="28"/>
          <w:szCs w:val="28"/>
        </w:rPr>
        <w:t xml:space="preserve"> є посилення кримінальної відповідальності за службову недбалість, якщо вона спричинила смерть людини.</w:t>
      </w:r>
      <w:r w:rsidRPr="006207FA">
        <w:rPr>
          <w:rFonts w:ascii="Times New Roman" w:hAnsi="Times New Roman" w:cs="Times New Roman"/>
          <w:bCs/>
          <w:sz w:val="28"/>
          <w:szCs w:val="28"/>
        </w:rPr>
        <w:t xml:space="preserve"> Цю пропозицію обґрунтовано тим, що Законом України «Про внесення змін до деяких законодавчих актів України у сфері державної антикорупційної політики у зв’язку з виконанням Плану дій щодо лібералізації Європейським Союзом візового режиму для України» від 13.05.2014 № 1261-VII </w:t>
      </w:r>
      <w:r w:rsidRPr="006207FA">
        <w:rPr>
          <w:rFonts w:ascii="Times New Roman" w:hAnsi="Times New Roman" w:cs="Times New Roman"/>
          <w:sz w:val="28"/>
          <w:szCs w:val="28"/>
        </w:rPr>
        <w:t xml:space="preserve"> змінено редакцію пунктів 3 та 4 примітки до статті 364 Кримінального кодексу України, якими було розкрито поняття </w:t>
      </w:r>
      <w:r w:rsidRPr="006207FA">
        <w:rPr>
          <w:rFonts w:ascii="Times New Roman" w:hAnsi="Times New Roman" w:cs="Times New Roman"/>
          <w:bCs/>
          <w:sz w:val="28"/>
          <w:szCs w:val="28"/>
        </w:rPr>
        <w:t>«</w:t>
      </w:r>
      <w:r w:rsidRPr="006207FA">
        <w:rPr>
          <w:rFonts w:ascii="Times New Roman" w:hAnsi="Times New Roman" w:cs="Times New Roman"/>
          <w:sz w:val="28"/>
          <w:szCs w:val="28"/>
        </w:rPr>
        <w:t>істотна шкода</w:t>
      </w:r>
      <w:r w:rsidRPr="006207FA">
        <w:rPr>
          <w:rFonts w:ascii="Times New Roman" w:hAnsi="Times New Roman" w:cs="Times New Roman"/>
          <w:bCs/>
          <w:sz w:val="28"/>
          <w:szCs w:val="28"/>
        </w:rPr>
        <w:t>»</w:t>
      </w:r>
      <w:r w:rsidRPr="006207FA">
        <w:rPr>
          <w:rFonts w:ascii="Times New Roman" w:hAnsi="Times New Roman" w:cs="Times New Roman"/>
          <w:sz w:val="28"/>
          <w:szCs w:val="28"/>
        </w:rPr>
        <w:t xml:space="preserve"> та </w:t>
      </w:r>
      <w:r w:rsidRPr="006207FA">
        <w:rPr>
          <w:rFonts w:ascii="Times New Roman" w:hAnsi="Times New Roman" w:cs="Times New Roman"/>
          <w:bCs/>
          <w:sz w:val="28"/>
          <w:szCs w:val="28"/>
        </w:rPr>
        <w:t>«</w:t>
      </w:r>
      <w:r w:rsidRPr="006207FA">
        <w:rPr>
          <w:rFonts w:ascii="Times New Roman" w:hAnsi="Times New Roman" w:cs="Times New Roman"/>
          <w:sz w:val="28"/>
          <w:szCs w:val="28"/>
        </w:rPr>
        <w:t>тяжкі наслідки</w:t>
      </w:r>
      <w:r w:rsidRPr="006207FA">
        <w:rPr>
          <w:rFonts w:ascii="Times New Roman" w:hAnsi="Times New Roman" w:cs="Times New Roman"/>
          <w:bCs/>
          <w:sz w:val="28"/>
          <w:szCs w:val="28"/>
        </w:rPr>
        <w:t>»</w:t>
      </w:r>
      <w:r w:rsidRPr="006207FA">
        <w:rPr>
          <w:rFonts w:ascii="Times New Roman" w:hAnsi="Times New Roman" w:cs="Times New Roman"/>
          <w:sz w:val="28"/>
          <w:szCs w:val="28"/>
        </w:rPr>
        <w:t xml:space="preserve"> для належної </w:t>
      </w:r>
      <w:r w:rsidRPr="006207FA">
        <w:rPr>
          <w:rFonts w:ascii="Times New Roman" w:hAnsi="Times New Roman" w:cs="Times New Roman"/>
          <w:bCs/>
          <w:sz w:val="28"/>
          <w:szCs w:val="28"/>
        </w:rPr>
        <w:t>кваліфікації кримінальних правопорушень у сфері службової діяльності та професійної діяльності, пов'язаної з наданням публічних послуг. За такого законодавчого підходу</w:t>
      </w:r>
      <w:r w:rsidRPr="006207FA">
        <w:rPr>
          <w:rFonts w:ascii="Times New Roman" w:hAnsi="Times New Roman" w:cs="Times New Roman"/>
          <w:sz w:val="28"/>
          <w:szCs w:val="28"/>
        </w:rPr>
        <w:t xml:space="preserve"> діяння відповідних осіб розцінюються суб’єктами правозастосування як кримінальні правопорушення лише за умови доведення, що такі діяння призвели виключно до матеріальних збитків. Проте, оскільки смерть людини, яка настала внаслідок службової недбалості, не охоплюється поняттям </w:t>
      </w:r>
      <w:r w:rsidRPr="006207FA">
        <w:rPr>
          <w:rFonts w:ascii="Times New Roman" w:hAnsi="Times New Roman" w:cs="Times New Roman"/>
          <w:bCs/>
          <w:sz w:val="28"/>
          <w:szCs w:val="28"/>
        </w:rPr>
        <w:t>«</w:t>
      </w:r>
      <w:r w:rsidRPr="006207FA">
        <w:rPr>
          <w:rFonts w:ascii="Times New Roman" w:hAnsi="Times New Roman" w:cs="Times New Roman"/>
          <w:sz w:val="28"/>
          <w:szCs w:val="28"/>
          <w:shd w:val="clear" w:color="auto" w:fill="FFFFFF"/>
        </w:rPr>
        <w:t xml:space="preserve">тяжкі </w:t>
      </w:r>
      <w:r w:rsidRPr="006207FA">
        <w:rPr>
          <w:rFonts w:ascii="Times New Roman" w:hAnsi="Times New Roman" w:cs="Times New Roman"/>
          <w:sz w:val="28"/>
          <w:szCs w:val="28"/>
          <w:shd w:val="clear" w:color="auto" w:fill="FFFFFF"/>
        </w:rPr>
        <w:lastRenderedPageBreak/>
        <w:t xml:space="preserve">наслідки», визначеним у пункті 4 </w:t>
      </w:r>
      <w:r w:rsidRPr="006207FA">
        <w:rPr>
          <w:rFonts w:ascii="Times New Roman" w:hAnsi="Times New Roman" w:cs="Times New Roman"/>
          <w:sz w:val="28"/>
          <w:szCs w:val="28"/>
        </w:rPr>
        <w:t>примітки до статті 364 Кримінального кодексу України,</w:t>
      </w:r>
      <w:r w:rsidRPr="006207FA">
        <w:rPr>
          <w:rFonts w:ascii="Times New Roman" w:hAnsi="Times New Roman" w:cs="Times New Roman"/>
          <w:bCs/>
          <w:color w:val="000000" w:themeColor="text1"/>
          <w:sz w:val="28"/>
          <w:szCs w:val="28"/>
        </w:rPr>
        <w:t xml:space="preserve"> проектом пропонується</w:t>
      </w:r>
      <w:r w:rsidRPr="006207FA">
        <w:rPr>
          <w:rFonts w:ascii="Times New Roman" w:hAnsi="Times New Roman" w:cs="Times New Roman"/>
          <w:bCs/>
          <w:color w:val="auto"/>
          <w:sz w:val="28"/>
          <w:szCs w:val="28"/>
        </w:rPr>
        <w:t xml:space="preserve"> доповнити статтю 367 Кримінального кодексу України новою частиною третьою, якою встановити кримінальну відповідальність за службову недбалість</w:t>
      </w:r>
      <w:r w:rsidR="007B0878">
        <w:rPr>
          <w:rFonts w:ascii="Times New Roman" w:hAnsi="Times New Roman" w:cs="Times New Roman"/>
          <w:bCs/>
          <w:color w:val="auto"/>
          <w:sz w:val="28"/>
          <w:szCs w:val="28"/>
        </w:rPr>
        <w:t>, що спричинила загибель людини.</w:t>
      </w:r>
    </w:p>
    <w:p w:rsidR="007B0878" w:rsidRPr="006207FA" w:rsidRDefault="007B0878" w:rsidP="007B0878">
      <w:pPr>
        <w:pStyle w:val="Default"/>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8"/>
          <w:szCs w:val="28"/>
          <w:shd w:val="clear" w:color="auto" w:fill="FFFFFF"/>
        </w:rPr>
      </w:pPr>
    </w:p>
    <w:p w:rsidR="006207FA" w:rsidRPr="006207FA" w:rsidRDefault="006207FA" w:rsidP="007B0878">
      <w:pPr>
        <w:spacing w:after="0" w:line="240" w:lineRule="auto"/>
        <w:ind w:firstLine="709"/>
        <w:jc w:val="both"/>
        <w:rPr>
          <w:rFonts w:ascii="Times New Roman" w:hAnsi="Times New Roman"/>
          <w:sz w:val="28"/>
          <w:szCs w:val="28"/>
        </w:rPr>
      </w:pPr>
      <w:r w:rsidRPr="006207FA">
        <w:rPr>
          <w:rFonts w:ascii="Times New Roman" w:hAnsi="Times New Roman"/>
          <w:bCs/>
          <w:sz w:val="28"/>
          <w:szCs w:val="28"/>
        </w:rPr>
        <w:t>З огляду на запропоновану редакцію частини третьої статті 367 Кримінального кодексу України  вважаємо за необхідне зазначити таке</w:t>
      </w:r>
      <w:r w:rsidRPr="006207FA">
        <w:rPr>
          <w:rFonts w:ascii="Times New Roman" w:hAnsi="Times New Roman"/>
          <w:sz w:val="28"/>
          <w:szCs w:val="28"/>
        </w:rPr>
        <w:t>.</w:t>
      </w:r>
    </w:p>
    <w:p w:rsidR="006207FA" w:rsidRPr="006207FA" w:rsidRDefault="006207FA" w:rsidP="007B0878">
      <w:pPr>
        <w:spacing w:line="240" w:lineRule="auto"/>
        <w:ind w:firstLine="708"/>
        <w:jc w:val="both"/>
        <w:rPr>
          <w:rFonts w:ascii="Times New Roman" w:hAnsi="Times New Roman"/>
          <w:sz w:val="28"/>
          <w:szCs w:val="28"/>
        </w:rPr>
      </w:pPr>
      <w:r w:rsidRPr="006207FA">
        <w:rPr>
          <w:rFonts w:ascii="Times New Roman" w:hAnsi="Times New Roman"/>
          <w:sz w:val="28"/>
          <w:szCs w:val="28"/>
        </w:rPr>
        <w:t xml:space="preserve">Визначення поняття «тяжкі наслідки» у пункті 4 примітки до статті 364 Кримінального кодексу України розкриває зміст кваліфікуючих (особливо кваліфікуючих) ознак складів кримінальних правопорушень, передбачених статтями 364-367 Кримінального кодексу України. Проектом пропонується із поняття «тяжкі наслідки» виокремити такий наслідок службової недбалості, як «загибель людини», шляхом встановлення самостійної (окремої) підстави для притягнення винної особи до кримінальної відповідальності відповідно до  </w:t>
      </w:r>
      <w:r w:rsidRPr="006207FA">
        <w:rPr>
          <w:rFonts w:ascii="Times New Roman" w:hAnsi="Times New Roman"/>
          <w:bCs/>
          <w:sz w:val="28"/>
          <w:szCs w:val="28"/>
        </w:rPr>
        <w:t>статті 367 Кримінального кодексу України</w:t>
      </w:r>
      <w:r w:rsidRPr="006207FA">
        <w:rPr>
          <w:rFonts w:ascii="Times New Roman" w:hAnsi="Times New Roman"/>
          <w:sz w:val="28"/>
          <w:szCs w:val="28"/>
        </w:rPr>
        <w:t>.  Проте, оскільки з огляду на пункт 4 примітки до статті 364 Кримінального кодексу України поняття «тяжкі наслідки» розкриває зміст кваліфікуючих ознак складів кримінальних правопорушень, передбачених не тільки статтею 367 Кримінального кодексу України, а і статтями 364, 364</w:t>
      </w:r>
      <w:r w:rsidRPr="006207FA">
        <w:rPr>
          <w:rFonts w:ascii="Times New Roman" w:hAnsi="Times New Roman"/>
          <w:sz w:val="28"/>
          <w:szCs w:val="28"/>
          <w:vertAlign w:val="superscript"/>
        </w:rPr>
        <w:t>1</w:t>
      </w:r>
      <w:r w:rsidRPr="006207FA">
        <w:rPr>
          <w:rFonts w:ascii="Times New Roman" w:hAnsi="Times New Roman"/>
          <w:sz w:val="28"/>
          <w:szCs w:val="28"/>
        </w:rPr>
        <w:t>, 365, 365</w:t>
      </w:r>
      <w:r w:rsidRPr="006207FA">
        <w:rPr>
          <w:rFonts w:ascii="Times New Roman" w:hAnsi="Times New Roman"/>
          <w:sz w:val="28"/>
          <w:szCs w:val="28"/>
          <w:vertAlign w:val="superscript"/>
        </w:rPr>
        <w:t>2</w:t>
      </w:r>
      <w:r w:rsidRPr="006207FA">
        <w:rPr>
          <w:rFonts w:ascii="Times New Roman" w:hAnsi="Times New Roman"/>
          <w:sz w:val="28"/>
          <w:szCs w:val="28"/>
        </w:rPr>
        <w:t>, 366 цього Кодексу,</w:t>
      </w:r>
      <w:r w:rsidRPr="006207FA">
        <w:rPr>
          <w:rFonts w:ascii="Times New Roman" w:hAnsi="Times New Roman"/>
          <w:sz w:val="28"/>
          <w:szCs w:val="28"/>
          <w:shd w:val="clear" w:color="auto" w:fill="FFFFFF"/>
        </w:rPr>
        <w:t xml:space="preserve"> удосконалення </w:t>
      </w:r>
      <w:r w:rsidRPr="006207FA">
        <w:rPr>
          <w:rFonts w:ascii="Times New Roman" w:hAnsi="Times New Roman"/>
          <w:sz w:val="28"/>
          <w:szCs w:val="28"/>
        </w:rPr>
        <w:t xml:space="preserve">обов’язкової ознаки об’єктивної сторони вищезазначених складів кримінальних правопорушень у вигляді «тяжких наслідків», на нашу думку, повинно було б здійснюватися шляхом внесення відповідних змін і до пункту 4 примітки до статті 364 Кримінального кодексу України з додержанням вимог законодавчої техніки. </w:t>
      </w:r>
    </w:p>
    <w:p w:rsidR="006207FA" w:rsidRPr="006207FA" w:rsidRDefault="006207FA" w:rsidP="007B0878">
      <w:pPr>
        <w:spacing w:line="240" w:lineRule="auto"/>
        <w:ind w:firstLine="708"/>
        <w:jc w:val="both"/>
        <w:rPr>
          <w:rFonts w:ascii="Times New Roman" w:hAnsi="Times New Roman"/>
          <w:bCs/>
          <w:sz w:val="28"/>
          <w:szCs w:val="28"/>
        </w:rPr>
      </w:pPr>
      <w:r w:rsidRPr="006207FA">
        <w:rPr>
          <w:rFonts w:ascii="Times New Roman" w:hAnsi="Times New Roman"/>
          <w:sz w:val="28"/>
          <w:szCs w:val="28"/>
        </w:rPr>
        <w:t xml:space="preserve">Разом з тим,  відповідно до змісту пункту 4 примітки до статті 364 Кримінального кодексу України </w:t>
      </w:r>
      <w:r w:rsidRPr="006207FA">
        <w:rPr>
          <w:rStyle w:val="rvts0"/>
          <w:rFonts w:ascii="Times New Roman" w:hAnsi="Times New Roman"/>
          <w:sz w:val="28"/>
          <w:szCs w:val="28"/>
        </w:rPr>
        <w:t xml:space="preserve">«тяжкими наслідками у статтях 364-367 вважаються такі наслідки, які у двісті п’ятдесят і більше разів перевищують неоподатковуваний мінімум доходів громадян», відтак у даному випадку суспільно небезпечний наслідок полягає у завданні матеріальних збитків. </w:t>
      </w:r>
      <w:r w:rsidRPr="006207FA">
        <w:rPr>
          <w:rFonts w:ascii="Times New Roman" w:hAnsi="Times New Roman"/>
          <w:sz w:val="28"/>
          <w:szCs w:val="28"/>
        </w:rPr>
        <w:t xml:space="preserve">Запропонована ж </w:t>
      </w:r>
      <w:r w:rsidRPr="006207FA">
        <w:rPr>
          <w:rFonts w:ascii="Times New Roman" w:hAnsi="Times New Roman"/>
          <w:sz w:val="28"/>
          <w:szCs w:val="28"/>
          <w:shd w:val="clear" w:color="auto" w:fill="FFFFFF"/>
        </w:rPr>
        <w:t xml:space="preserve">формалізація дефініції </w:t>
      </w:r>
      <w:r w:rsidRPr="006207FA">
        <w:rPr>
          <w:rFonts w:ascii="Times New Roman" w:hAnsi="Times New Roman"/>
          <w:bCs/>
          <w:sz w:val="28"/>
          <w:szCs w:val="28"/>
        </w:rPr>
        <w:t xml:space="preserve">«тяжкі наслідки» у частині третій статті 367 цього Кодексу визначає тільки один суспільно небезпечний наслідок немайнового характеру – загибель людини, не враховує можливість настання інших суспільно небезпечних наслідків немайнового характеру (наприклад, заподіяння тяжких тілесних ушкоджень). Крім того, </w:t>
      </w:r>
      <w:r w:rsidRPr="006207FA">
        <w:rPr>
          <w:rFonts w:ascii="Times New Roman" w:hAnsi="Times New Roman"/>
          <w:sz w:val="28"/>
          <w:szCs w:val="28"/>
        </w:rPr>
        <w:t>розглядаючи тяжкі наслідки службової недбалості, які можуть стосуватися шкоди для життя та здоров’я особи необхідно, на нашу думку, по-перше, врахувати ознаки суб’єктивної сторони, зокрема психічне ставлення винного до вчинюваного ним діяння та суспільно небезпечні наслідки такого діяння, а по-друге, враховувати розміри покарань, які передбачаються за злочин, що охоплюють подібні наслідки (наприклад статті 119 та 128 Кримінального кодексу України).</w:t>
      </w:r>
    </w:p>
    <w:p w:rsidR="006207FA" w:rsidRPr="006207FA" w:rsidRDefault="0069432E" w:rsidP="007B0878">
      <w:pPr>
        <w:spacing w:line="240" w:lineRule="auto"/>
        <w:ind w:firstLine="708"/>
        <w:jc w:val="both"/>
        <w:rPr>
          <w:rFonts w:ascii="Times New Roman" w:hAnsi="Times New Roman"/>
          <w:sz w:val="28"/>
          <w:szCs w:val="28"/>
        </w:rPr>
      </w:pPr>
      <w:r>
        <w:rPr>
          <w:rFonts w:ascii="Times New Roman" w:hAnsi="Times New Roman"/>
          <w:sz w:val="28"/>
          <w:szCs w:val="28"/>
        </w:rPr>
        <w:lastRenderedPageBreak/>
        <w:t>Водночас</w:t>
      </w:r>
      <w:r w:rsidR="006207FA" w:rsidRPr="006207FA">
        <w:rPr>
          <w:rFonts w:ascii="Times New Roman" w:hAnsi="Times New Roman"/>
          <w:sz w:val="28"/>
          <w:szCs w:val="28"/>
        </w:rPr>
        <w:t xml:space="preserve"> слід зазначити, що до тяжких наслідків кримінальних правопорушень, передбачених статями 364–367 Кримінального кодексу України, віднесено лише заподіяння матеріальної шкоди, яка характеризується більшим ступенем суспільної небезпеки, ніж істотна шкода. В свою чергу тяжкі наслідки можуть мати матеріальний, нематеріальний та змішаний характер.  Це, на нашу думку,  по різному характеризує тяжкі наслідки як кваліфікуючу ознаку злочину, яка полягає в заподіянні фізичної, моральної чи матеріальної шкоди;  виявляється в наслідках матеріального, нематеріального чи змішаного характеру, а також є більш суспільно небезпечною, ніж істотна шкода. Відтак, на наш погляд, для належної </w:t>
      </w:r>
      <w:r w:rsidR="006207FA" w:rsidRPr="006207FA">
        <w:rPr>
          <w:rFonts w:ascii="Times New Roman" w:hAnsi="Times New Roman"/>
          <w:bCs/>
          <w:sz w:val="28"/>
          <w:szCs w:val="28"/>
        </w:rPr>
        <w:t>кваліфікації кримінальних правопорушень у сфері службової діяльності та професійної діяльності, пов'язаної з наданням публічних послуг,  доцільно було б повернутися до</w:t>
      </w:r>
      <w:r w:rsidR="006207FA" w:rsidRPr="006207FA">
        <w:rPr>
          <w:rFonts w:ascii="Times New Roman" w:hAnsi="Times New Roman"/>
          <w:b/>
          <w:bCs/>
          <w:sz w:val="28"/>
          <w:szCs w:val="28"/>
        </w:rPr>
        <w:t xml:space="preserve"> </w:t>
      </w:r>
      <w:r w:rsidR="006207FA" w:rsidRPr="006207FA">
        <w:rPr>
          <w:rFonts w:ascii="Times New Roman" w:hAnsi="Times New Roman"/>
          <w:bCs/>
          <w:sz w:val="28"/>
          <w:szCs w:val="28"/>
        </w:rPr>
        <w:t>попередньої концепції та</w:t>
      </w:r>
      <w:r w:rsidR="006207FA" w:rsidRPr="006207FA">
        <w:rPr>
          <w:rFonts w:ascii="Times New Roman" w:hAnsi="Times New Roman"/>
          <w:b/>
          <w:bCs/>
          <w:sz w:val="28"/>
          <w:szCs w:val="28"/>
        </w:rPr>
        <w:t xml:space="preserve"> </w:t>
      </w:r>
      <w:r w:rsidR="006207FA" w:rsidRPr="006207FA">
        <w:rPr>
          <w:rFonts w:ascii="Times New Roman" w:hAnsi="Times New Roman"/>
          <w:sz w:val="28"/>
          <w:szCs w:val="28"/>
        </w:rPr>
        <w:t xml:space="preserve">редакції пунктів 3 та 4 примітки до статті 364 Кримінального кодексу України (якими було розкрито поняття </w:t>
      </w:r>
      <w:r w:rsidR="006207FA" w:rsidRPr="006207FA">
        <w:rPr>
          <w:rFonts w:ascii="Times New Roman" w:hAnsi="Times New Roman"/>
          <w:bCs/>
          <w:sz w:val="28"/>
          <w:szCs w:val="28"/>
        </w:rPr>
        <w:t>«</w:t>
      </w:r>
      <w:r w:rsidR="006207FA" w:rsidRPr="006207FA">
        <w:rPr>
          <w:rFonts w:ascii="Times New Roman" w:hAnsi="Times New Roman"/>
          <w:sz w:val="28"/>
          <w:szCs w:val="28"/>
        </w:rPr>
        <w:t>істотна шкода</w:t>
      </w:r>
      <w:r w:rsidR="006207FA" w:rsidRPr="006207FA">
        <w:rPr>
          <w:rFonts w:ascii="Times New Roman" w:hAnsi="Times New Roman"/>
          <w:bCs/>
          <w:sz w:val="28"/>
          <w:szCs w:val="28"/>
        </w:rPr>
        <w:t>»</w:t>
      </w:r>
      <w:r w:rsidR="006207FA" w:rsidRPr="006207FA">
        <w:rPr>
          <w:rFonts w:ascii="Times New Roman" w:hAnsi="Times New Roman"/>
          <w:sz w:val="28"/>
          <w:szCs w:val="28"/>
        </w:rPr>
        <w:t xml:space="preserve"> та </w:t>
      </w:r>
      <w:r w:rsidR="006207FA" w:rsidRPr="006207FA">
        <w:rPr>
          <w:rFonts w:ascii="Times New Roman" w:hAnsi="Times New Roman"/>
          <w:bCs/>
          <w:sz w:val="28"/>
          <w:szCs w:val="28"/>
        </w:rPr>
        <w:t>«</w:t>
      </w:r>
      <w:r w:rsidR="006207FA" w:rsidRPr="006207FA">
        <w:rPr>
          <w:rFonts w:ascii="Times New Roman" w:hAnsi="Times New Roman"/>
          <w:sz w:val="28"/>
          <w:szCs w:val="28"/>
        </w:rPr>
        <w:t>тяжкі наслідки</w:t>
      </w:r>
      <w:r w:rsidR="006207FA" w:rsidRPr="006207FA">
        <w:rPr>
          <w:rFonts w:ascii="Times New Roman" w:hAnsi="Times New Roman"/>
          <w:bCs/>
          <w:sz w:val="28"/>
          <w:szCs w:val="28"/>
        </w:rPr>
        <w:t>»), яка існувала до прийняття</w:t>
      </w:r>
      <w:r w:rsidR="006207FA" w:rsidRPr="006207FA">
        <w:rPr>
          <w:rFonts w:ascii="Times New Roman" w:hAnsi="Times New Roman"/>
          <w:sz w:val="28"/>
          <w:szCs w:val="28"/>
        </w:rPr>
        <w:t xml:space="preserve"> </w:t>
      </w:r>
      <w:r w:rsidR="006207FA" w:rsidRPr="006207FA">
        <w:rPr>
          <w:rFonts w:ascii="Times New Roman" w:hAnsi="Times New Roman"/>
          <w:bCs/>
          <w:sz w:val="28"/>
          <w:szCs w:val="28"/>
        </w:rPr>
        <w:t xml:space="preserve"> Закону України «Про внесення змін до деяких законодавчих актів України у сфері державної антикорупційної політики у зв’язку з виконанням Плану дій щодо лібералізації Європейським Союзом візового режиму для України» від 13.05.2014 № 1261-VII.</w:t>
      </w:r>
    </w:p>
    <w:p w:rsidR="006207FA" w:rsidRDefault="006207FA" w:rsidP="007B0878">
      <w:pPr>
        <w:spacing w:after="0" w:line="240" w:lineRule="auto"/>
        <w:ind w:firstLine="709"/>
        <w:jc w:val="both"/>
        <w:rPr>
          <w:rFonts w:ascii="Times New Roman" w:hAnsi="Times New Roman"/>
          <w:sz w:val="28"/>
          <w:szCs w:val="28"/>
        </w:rPr>
      </w:pPr>
      <w:r w:rsidRPr="006207FA">
        <w:rPr>
          <w:rFonts w:ascii="Times New Roman" w:hAnsi="Times New Roman"/>
          <w:sz w:val="28"/>
          <w:szCs w:val="28"/>
        </w:rPr>
        <w:t xml:space="preserve">Слід також зазначити, що уточненню в контексті окремих складів кримінальних правопорушень </w:t>
      </w:r>
      <w:r w:rsidRPr="006207FA">
        <w:rPr>
          <w:rFonts w:ascii="Times New Roman" w:hAnsi="Times New Roman"/>
          <w:bCs/>
          <w:sz w:val="28"/>
          <w:szCs w:val="28"/>
        </w:rPr>
        <w:t>у сфері службової діяльності та професійної діяльності, пов’язаної з наданням публічних послуг, потребує</w:t>
      </w:r>
      <w:r w:rsidRPr="006207FA">
        <w:rPr>
          <w:rFonts w:ascii="Times New Roman" w:hAnsi="Times New Roman"/>
          <w:sz w:val="28"/>
          <w:szCs w:val="28"/>
        </w:rPr>
        <w:t xml:space="preserve"> не лише поняття «тяжкі наслідки», а і дефініція «істотна шкода» (пункт 3 примітки до статті 364), що також розкриває зміст кваліфікуючих ознак складів кримінальних правопорушень, передбачених статтями 364, 364</w:t>
      </w:r>
      <w:r w:rsidRPr="006207FA">
        <w:rPr>
          <w:rFonts w:ascii="Times New Roman" w:hAnsi="Times New Roman"/>
          <w:sz w:val="28"/>
          <w:szCs w:val="28"/>
          <w:vertAlign w:val="superscript"/>
        </w:rPr>
        <w:t>1</w:t>
      </w:r>
      <w:r w:rsidRPr="006207FA">
        <w:rPr>
          <w:rFonts w:ascii="Times New Roman" w:hAnsi="Times New Roman"/>
          <w:sz w:val="28"/>
          <w:szCs w:val="28"/>
        </w:rPr>
        <w:t>, 365, 365</w:t>
      </w:r>
      <w:r w:rsidRPr="006207FA">
        <w:rPr>
          <w:rFonts w:ascii="Times New Roman" w:hAnsi="Times New Roman"/>
          <w:sz w:val="28"/>
          <w:szCs w:val="28"/>
          <w:vertAlign w:val="superscript"/>
        </w:rPr>
        <w:t>2</w:t>
      </w:r>
      <w:r w:rsidRPr="006207FA">
        <w:rPr>
          <w:rFonts w:ascii="Times New Roman" w:hAnsi="Times New Roman"/>
          <w:sz w:val="28"/>
          <w:szCs w:val="28"/>
        </w:rPr>
        <w:t xml:space="preserve">, 367 Кримінального кодексу України. Адже «істотна шкода», як і «тяжкі наслідки», у відповідних складах кримінальних правопорушень може полягати у спричиненні як майнової, так і немайнової шкоди. </w:t>
      </w:r>
    </w:p>
    <w:p w:rsidR="00B51C8E" w:rsidRDefault="00B51C8E" w:rsidP="007B0878">
      <w:pPr>
        <w:spacing w:after="0" w:line="240" w:lineRule="auto"/>
        <w:ind w:firstLine="709"/>
        <w:jc w:val="both"/>
        <w:rPr>
          <w:rFonts w:ascii="Times New Roman" w:hAnsi="Times New Roman"/>
          <w:sz w:val="28"/>
          <w:szCs w:val="28"/>
        </w:rPr>
      </w:pPr>
    </w:p>
    <w:p w:rsidR="00B51C8E" w:rsidRPr="00B51C8E" w:rsidRDefault="00B51C8E" w:rsidP="00B51C8E">
      <w:pPr>
        <w:ind w:firstLine="707"/>
        <w:jc w:val="both"/>
        <w:rPr>
          <w:rFonts w:ascii="Times New Roman" w:eastAsia="Times New Roman" w:hAnsi="Times New Roman"/>
          <w:sz w:val="28"/>
          <w:szCs w:val="28"/>
          <w:lang w:eastAsia="ru-RU"/>
        </w:rPr>
      </w:pPr>
      <w:r w:rsidRPr="00B51C8E">
        <w:rPr>
          <w:rFonts w:ascii="Times New Roman" w:eastAsia="Times New Roman" w:hAnsi="Times New Roman"/>
          <w:sz w:val="28"/>
          <w:szCs w:val="28"/>
          <w:lang w:eastAsia="ru-RU"/>
        </w:rPr>
        <w:t>Узагальнюючий висновок: законопроект може бути прийнятий у другому читанні з урахуванням зауважень Головного юридичного управління.</w:t>
      </w:r>
    </w:p>
    <w:p w:rsidR="00B51C8E" w:rsidRPr="00B51C8E" w:rsidRDefault="00B51C8E" w:rsidP="007B0878">
      <w:pPr>
        <w:spacing w:after="0" w:line="240" w:lineRule="auto"/>
        <w:ind w:firstLine="709"/>
        <w:jc w:val="both"/>
        <w:rPr>
          <w:rFonts w:ascii="Times New Roman" w:hAnsi="Times New Roman"/>
          <w:sz w:val="28"/>
          <w:szCs w:val="28"/>
        </w:rPr>
      </w:pPr>
    </w:p>
    <w:p w:rsidR="006207FA" w:rsidRPr="006207FA" w:rsidRDefault="006207FA" w:rsidP="007B0878">
      <w:pPr>
        <w:spacing w:after="0" w:line="240" w:lineRule="auto"/>
        <w:ind w:firstLine="709"/>
        <w:jc w:val="both"/>
        <w:rPr>
          <w:rFonts w:ascii="Times New Roman" w:hAnsi="Times New Roman"/>
          <w:sz w:val="28"/>
          <w:szCs w:val="28"/>
        </w:rPr>
      </w:pPr>
    </w:p>
    <w:p w:rsidR="006207FA" w:rsidRPr="006207FA" w:rsidRDefault="006207FA" w:rsidP="007B0878">
      <w:pPr>
        <w:spacing w:after="0" w:line="240" w:lineRule="auto"/>
        <w:ind w:firstLine="709"/>
        <w:jc w:val="both"/>
        <w:rPr>
          <w:rFonts w:ascii="Times New Roman" w:hAnsi="Times New Roman"/>
          <w:sz w:val="28"/>
          <w:szCs w:val="28"/>
        </w:rPr>
      </w:pPr>
    </w:p>
    <w:p w:rsidR="006207FA" w:rsidRPr="006207FA" w:rsidRDefault="006207FA" w:rsidP="007B0878">
      <w:pPr>
        <w:spacing w:after="0" w:line="240" w:lineRule="auto"/>
        <w:ind w:firstLine="709"/>
        <w:jc w:val="both"/>
        <w:rPr>
          <w:rFonts w:ascii="Times New Roman" w:hAnsi="Times New Roman"/>
          <w:sz w:val="28"/>
          <w:szCs w:val="28"/>
        </w:rPr>
      </w:pPr>
    </w:p>
    <w:p w:rsidR="006207FA" w:rsidRPr="006207FA" w:rsidRDefault="006207FA" w:rsidP="007B0878">
      <w:pPr>
        <w:spacing w:after="0" w:line="240" w:lineRule="auto"/>
        <w:ind w:firstLine="708"/>
        <w:jc w:val="both"/>
        <w:rPr>
          <w:rFonts w:ascii="Times New Roman" w:hAnsi="Times New Roman"/>
          <w:sz w:val="28"/>
          <w:szCs w:val="28"/>
        </w:rPr>
      </w:pPr>
      <w:r w:rsidRPr="006207FA">
        <w:rPr>
          <w:rFonts w:ascii="Times New Roman" w:hAnsi="Times New Roman"/>
          <w:sz w:val="28"/>
          <w:szCs w:val="28"/>
        </w:rPr>
        <w:t>Перший заступник</w:t>
      </w:r>
      <w:r w:rsidRPr="006207FA">
        <w:rPr>
          <w:rFonts w:ascii="Times New Roman" w:hAnsi="Times New Roman"/>
          <w:sz w:val="28"/>
          <w:szCs w:val="28"/>
        </w:rPr>
        <w:tab/>
      </w:r>
      <w:r w:rsidRPr="006207FA">
        <w:rPr>
          <w:rFonts w:ascii="Times New Roman" w:hAnsi="Times New Roman"/>
          <w:sz w:val="28"/>
          <w:szCs w:val="28"/>
        </w:rPr>
        <w:tab/>
      </w:r>
      <w:r w:rsidRPr="006207FA">
        <w:rPr>
          <w:rFonts w:ascii="Times New Roman" w:hAnsi="Times New Roman"/>
          <w:sz w:val="28"/>
          <w:szCs w:val="28"/>
        </w:rPr>
        <w:tab/>
      </w:r>
      <w:r w:rsidRPr="006207FA">
        <w:rPr>
          <w:rFonts w:ascii="Times New Roman" w:hAnsi="Times New Roman"/>
          <w:sz w:val="28"/>
          <w:szCs w:val="28"/>
        </w:rPr>
        <w:tab/>
      </w:r>
      <w:r w:rsidRPr="006207FA">
        <w:rPr>
          <w:rFonts w:ascii="Times New Roman" w:hAnsi="Times New Roman"/>
          <w:sz w:val="28"/>
          <w:szCs w:val="28"/>
        </w:rPr>
        <w:tab/>
      </w:r>
      <w:r w:rsidRPr="006207FA">
        <w:rPr>
          <w:rFonts w:ascii="Times New Roman" w:hAnsi="Times New Roman"/>
          <w:sz w:val="28"/>
          <w:szCs w:val="28"/>
        </w:rPr>
        <w:tab/>
      </w:r>
      <w:r w:rsidRPr="006207FA">
        <w:rPr>
          <w:rFonts w:ascii="Times New Roman" w:hAnsi="Times New Roman"/>
          <w:sz w:val="28"/>
          <w:szCs w:val="28"/>
        </w:rPr>
        <w:tab/>
      </w:r>
    </w:p>
    <w:p w:rsidR="006207FA" w:rsidRPr="006207FA" w:rsidRDefault="006207FA" w:rsidP="007B0878">
      <w:pPr>
        <w:spacing w:after="0" w:line="240" w:lineRule="auto"/>
        <w:jc w:val="both"/>
        <w:rPr>
          <w:rFonts w:ascii="Times New Roman" w:hAnsi="Times New Roman"/>
          <w:sz w:val="28"/>
          <w:szCs w:val="28"/>
        </w:rPr>
      </w:pPr>
      <w:r w:rsidRPr="006207FA">
        <w:rPr>
          <w:rFonts w:ascii="Times New Roman" w:hAnsi="Times New Roman"/>
          <w:sz w:val="28"/>
          <w:szCs w:val="28"/>
        </w:rPr>
        <w:t xml:space="preserve">керівника Головного управління </w:t>
      </w:r>
      <w:r w:rsidRPr="006207FA">
        <w:rPr>
          <w:rFonts w:ascii="Times New Roman" w:hAnsi="Times New Roman"/>
          <w:sz w:val="28"/>
          <w:szCs w:val="28"/>
        </w:rPr>
        <w:tab/>
      </w:r>
      <w:r w:rsidRPr="006207FA">
        <w:rPr>
          <w:rFonts w:ascii="Times New Roman" w:hAnsi="Times New Roman"/>
          <w:sz w:val="28"/>
          <w:szCs w:val="28"/>
        </w:rPr>
        <w:tab/>
      </w:r>
      <w:r w:rsidRPr="006207FA">
        <w:rPr>
          <w:rFonts w:ascii="Times New Roman" w:hAnsi="Times New Roman"/>
          <w:sz w:val="28"/>
          <w:szCs w:val="28"/>
        </w:rPr>
        <w:tab/>
      </w:r>
      <w:r w:rsidRPr="006207FA">
        <w:rPr>
          <w:rFonts w:ascii="Times New Roman" w:hAnsi="Times New Roman"/>
          <w:sz w:val="28"/>
          <w:szCs w:val="28"/>
        </w:rPr>
        <w:tab/>
      </w:r>
      <w:r w:rsidRPr="006207FA">
        <w:rPr>
          <w:rFonts w:ascii="Times New Roman" w:hAnsi="Times New Roman"/>
          <w:sz w:val="28"/>
          <w:szCs w:val="28"/>
        </w:rPr>
        <w:tab/>
        <w:t>А. НИЖНИК</w:t>
      </w:r>
    </w:p>
    <w:p w:rsidR="006207FA" w:rsidRPr="006207FA" w:rsidRDefault="006207FA" w:rsidP="007B0878">
      <w:pPr>
        <w:spacing w:after="0" w:line="240" w:lineRule="auto"/>
        <w:jc w:val="both"/>
        <w:rPr>
          <w:rFonts w:ascii="Times New Roman" w:hAnsi="Times New Roman"/>
          <w:sz w:val="28"/>
          <w:szCs w:val="28"/>
        </w:rPr>
      </w:pPr>
    </w:p>
    <w:p w:rsidR="006207FA" w:rsidRPr="006207FA" w:rsidRDefault="006207FA" w:rsidP="007B0878">
      <w:pPr>
        <w:spacing w:after="0" w:line="240" w:lineRule="auto"/>
        <w:jc w:val="both"/>
        <w:rPr>
          <w:rFonts w:ascii="Times New Roman" w:hAnsi="Times New Roman"/>
          <w:sz w:val="28"/>
          <w:szCs w:val="28"/>
        </w:rPr>
      </w:pPr>
    </w:p>
    <w:p w:rsidR="008D2A00" w:rsidRPr="00646453" w:rsidRDefault="00B7213D" w:rsidP="00CE418D">
      <w:pPr>
        <w:spacing w:after="0"/>
        <w:ind w:firstLine="708"/>
        <w:jc w:val="right"/>
        <w:rPr>
          <w:rFonts w:ascii="Times New Roman" w:hAnsi="Times New Roman"/>
          <w:sz w:val="28"/>
          <w:szCs w:val="28"/>
        </w:rPr>
      </w:pPr>
      <w:r w:rsidRPr="00646453">
        <w:rPr>
          <w:rFonts w:ascii="Times New Roman" w:hAnsi="Times New Roman"/>
          <w:b/>
          <w:sz w:val="24"/>
          <w:szCs w:val="24"/>
        </w:rPr>
        <w:t xml:space="preserve">               </w:t>
      </w:r>
    </w:p>
    <w:sectPr w:rsidR="008D2A00" w:rsidRPr="00646453" w:rsidSect="00634A7D">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285" w:rsidRDefault="008D3285" w:rsidP="005E306B">
      <w:pPr>
        <w:spacing w:after="0" w:line="240" w:lineRule="auto"/>
      </w:pPr>
      <w:r>
        <w:separator/>
      </w:r>
    </w:p>
  </w:endnote>
  <w:endnote w:type="continuationSeparator" w:id="0">
    <w:p w:rsidR="008D3285" w:rsidRDefault="008D328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21002A87" w:usb1="090F0000" w:usb2="00000010"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1752005"/>
      <w:docPartObj>
        <w:docPartGallery w:val="Page Numbers (Bottom of Page)"/>
        <w:docPartUnique/>
      </w:docPartObj>
    </w:sdtPr>
    <w:sdtEndPr/>
    <w:sdtContent>
      <w:p w:rsidR="000F7F0B" w:rsidRDefault="000F7F0B">
        <w:pPr>
          <w:pStyle w:val="a5"/>
          <w:jc w:val="center"/>
        </w:pPr>
        <w:r>
          <w:fldChar w:fldCharType="begin"/>
        </w:r>
        <w:r>
          <w:instrText>PAGE   \* MERGEFORMAT</w:instrText>
        </w:r>
        <w:r>
          <w:fldChar w:fldCharType="separate"/>
        </w:r>
        <w:r w:rsidR="0032564A">
          <w:rPr>
            <w:noProof/>
          </w:rPr>
          <w:t>3</w:t>
        </w:r>
        <w:r>
          <w:fldChar w:fldCharType="end"/>
        </w:r>
      </w:p>
    </w:sdtContent>
  </w:sdt>
  <w:p w:rsidR="000F7F0B" w:rsidRDefault="000F7F0B">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285" w:rsidRDefault="008D3285" w:rsidP="005E306B">
      <w:pPr>
        <w:spacing w:after="0" w:line="240" w:lineRule="auto"/>
      </w:pPr>
      <w:r>
        <w:separator/>
      </w:r>
    </w:p>
  </w:footnote>
  <w:footnote w:type="continuationSeparator" w:id="0">
    <w:p w:rsidR="008D3285" w:rsidRDefault="008D328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BDE"/>
    <w:rsid w:val="00015E5A"/>
    <w:rsid w:val="000163C3"/>
    <w:rsid w:val="000571AA"/>
    <w:rsid w:val="000707A3"/>
    <w:rsid w:val="000B6CE8"/>
    <w:rsid w:val="000D6C58"/>
    <w:rsid w:val="000F1586"/>
    <w:rsid w:val="000F7F0B"/>
    <w:rsid w:val="00137CF0"/>
    <w:rsid w:val="00141617"/>
    <w:rsid w:val="00142338"/>
    <w:rsid w:val="0019108F"/>
    <w:rsid w:val="001966F0"/>
    <w:rsid w:val="001A7A9C"/>
    <w:rsid w:val="001C0C82"/>
    <w:rsid w:val="001D1645"/>
    <w:rsid w:val="001D2700"/>
    <w:rsid w:val="001D3C24"/>
    <w:rsid w:val="001D70F4"/>
    <w:rsid w:val="00205DFC"/>
    <w:rsid w:val="00235CD7"/>
    <w:rsid w:val="00271BD1"/>
    <w:rsid w:val="002A0E1F"/>
    <w:rsid w:val="002A5D4C"/>
    <w:rsid w:val="002B5FC1"/>
    <w:rsid w:val="002D0561"/>
    <w:rsid w:val="002E0A18"/>
    <w:rsid w:val="002E31BF"/>
    <w:rsid w:val="002E44DA"/>
    <w:rsid w:val="003143BE"/>
    <w:rsid w:val="0032564A"/>
    <w:rsid w:val="0033182C"/>
    <w:rsid w:val="00352D11"/>
    <w:rsid w:val="00363747"/>
    <w:rsid w:val="00375EF8"/>
    <w:rsid w:val="003A405A"/>
    <w:rsid w:val="003C1687"/>
    <w:rsid w:val="003C5FA9"/>
    <w:rsid w:val="003D1CBA"/>
    <w:rsid w:val="003D365C"/>
    <w:rsid w:val="003E0429"/>
    <w:rsid w:val="00427407"/>
    <w:rsid w:val="00451750"/>
    <w:rsid w:val="00452EE8"/>
    <w:rsid w:val="00491528"/>
    <w:rsid w:val="004A7145"/>
    <w:rsid w:val="004B473D"/>
    <w:rsid w:val="004C4718"/>
    <w:rsid w:val="004E4F5C"/>
    <w:rsid w:val="004F7B8A"/>
    <w:rsid w:val="0050620F"/>
    <w:rsid w:val="0055005A"/>
    <w:rsid w:val="0056352F"/>
    <w:rsid w:val="005A4728"/>
    <w:rsid w:val="005B71F5"/>
    <w:rsid w:val="005C688A"/>
    <w:rsid w:val="005E306B"/>
    <w:rsid w:val="005F20B5"/>
    <w:rsid w:val="006134B2"/>
    <w:rsid w:val="006207FA"/>
    <w:rsid w:val="00626A3E"/>
    <w:rsid w:val="006312F4"/>
    <w:rsid w:val="00634A7D"/>
    <w:rsid w:val="00646453"/>
    <w:rsid w:val="0066623D"/>
    <w:rsid w:val="00685898"/>
    <w:rsid w:val="0069432E"/>
    <w:rsid w:val="00696584"/>
    <w:rsid w:val="006A786C"/>
    <w:rsid w:val="006F10E8"/>
    <w:rsid w:val="00706710"/>
    <w:rsid w:val="007079A9"/>
    <w:rsid w:val="00713E93"/>
    <w:rsid w:val="0072592B"/>
    <w:rsid w:val="0073224C"/>
    <w:rsid w:val="007473F5"/>
    <w:rsid w:val="00784FD9"/>
    <w:rsid w:val="007B0878"/>
    <w:rsid w:val="007B29B3"/>
    <w:rsid w:val="007D7714"/>
    <w:rsid w:val="007E2A5D"/>
    <w:rsid w:val="007F5D91"/>
    <w:rsid w:val="0080545D"/>
    <w:rsid w:val="008552D8"/>
    <w:rsid w:val="008632FC"/>
    <w:rsid w:val="008864E0"/>
    <w:rsid w:val="008D2A00"/>
    <w:rsid w:val="008D2FA6"/>
    <w:rsid w:val="008D3285"/>
    <w:rsid w:val="008E12AB"/>
    <w:rsid w:val="0091619C"/>
    <w:rsid w:val="009363B9"/>
    <w:rsid w:val="00945B68"/>
    <w:rsid w:val="00957D31"/>
    <w:rsid w:val="00961CF7"/>
    <w:rsid w:val="00982E94"/>
    <w:rsid w:val="009A65DF"/>
    <w:rsid w:val="009A720A"/>
    <w:rsid w:val="009D3F3C"/>
    <w:rsid w:val="009E0F75"/>
    <w:rsid w:val="009F05AF"/>
    <w:rsid w:val="00A00059"/>
    <w:rsid w:val="00A368C6"/>
    <w:rsid w:val="00A75F11"/>
    <w:rsid w:val="00A777A3"/>
    <w:rsid w:val="00A833C8"/>
    <w:rsid w:val="00A91DBE"/>
    <w:rsid w:val="00AA1404"/>
    <w:rsid w:val="00AD7F82"/>
    <w:rsid w:val="00AF274F"/>
    <w:rsid w:val="00B17873"/>
    <w:rsid w:val="00B37A3F"/>
    <w:rsid w:val="00B51C8E"/>
    <w:rsid w:val="00B538DB"/>
    <w:rsid w:val="00B6696C"/>
    <w:rsid w:val="00B7213D"/>
    <w:rsid w:val="00B91E58"/>
    <w:rsid w:val="00B96F7B"/>
    <w:rsid w:val="00BD0801"/>
    <w:rsid w:val="00BF1E95"/>
    <w:rsid w:val="00C07D69"/>
    <w:rsid w:val="00C11FB6"/>
    <w:rsid w:val="00C27AE9"/>
    <w:rsid w:val="00C414D7"/>
    <w:rsid w:val="00C47E9F"/>
    <w:rsid w:val="00CB41D6"/>
    <w:rsid w:val="00CC39A1"/>
    <w:rsid w:val="00CD4A38"/>
    <w:rsid w:val="00CE3E1B"/>
    <w:rsid w:val="00CE418D"/>
    <w:rsid w:val="00CE6A4B"/>
    <w:rsid w:val="00D03ADA"/>
    <w:rsid w:val="00D242C2"/>
    <w:rsid w:val="00D26766"/>
    <w:rsid w:val="00D57E1B"/>
    <w:rsid w:val="00D925CF"/>
    <w:rsid w:val="00DC070E"/>
    <w:rsid w:val="00DD6C75"/>
    <w:rsid w:val="00DF7CA2"/>
    <w:rsid w:val="00E44C5A"/>
    <w:rsid w:val="00E50354"/>
    <w:rsid w:val="00EF58B0"/>
    <w:rsid w:val="00F01A33"/>
    <w:rsid w:val="00F44513"/>
    <w:rsid w:val="00F50010"/>
    <w:rsid w:val="00F55423"/>
    <w:rsid w:val="00F55DC4"/>
    <w:rsid w:val="00F91DD3"/>
    <w:rsid w:val="00FB05C7"/>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customStyle="1" w:styleId="af3">
    <w:name w:val="Нормальний текст"/>
    <w:basedOn w:val="a"/>
    <w:uiPriority w:val="99"/>
    <w:rsid w:val="00B7213D"/>
    <w:pPr>
      <w:spacing w:before="120" w:after="0" w:line="240" w:lineRule="auto"/>
      <w:ind w:firstLine="567"/>
      <w:jc w:val="both"/>
    </w:pPr>
    <w:rPr>
      <w:rFonts w:ascii="Antiqua" w:eastAsia="Times New Roman" w:hAnsi="Antiqua"/>
      <w:sz w:val="26"/>
      <w:szCs w:val="20"/>
      <w:lang w:eastAsia="ru-RU"/>
    </w:rPr>
  </w:style>
  <w:style w:type="character" w:customStyle="1" w:styleId="rvts0">
    <w:name w:val="rvts0"/>
    <w:basedOn w:val="a0"/>
    <w:rsid w:val="00B7213D"/>
  </w:style>
  <w:style w:type="character" w:customStyle="1" w:styleId="rvts9">
    <w:name w:val="rvts9"/>
    <w:basedOn w:val="a0"/>
    <w:rsid w:val="00B7213D"/>
  </w:style>
  <w:style w:type="paragraph" w:styleId="af4">
    <w:name w:val="No Spacing"/>
    <w:uiPriority w:val="1"/>
    <w:qFormat/>
    <w:rsid w:val="00CE418D"/>
    <w:rPr>
      <w:rFonts w:ascii="Times New Roman" w:eastAsiaTheme="minorHAnsi" w:hAnsi="Times New Roman" w:cstheme="minorBidi"/>
      <w:sz w:val="28"/>
      <w:lang w:val="ru-RU"/>
    </w:rPr>
  </w:style>
  <w:style w:type="character" w:customStyle="1" w:styleId="st42">
    <w:name w:val="st42"/>
    <w:uiPriority w:val="99"/>
    <w:rsid w:val="00CE418D"/>
    <w:rPr>
      <w:rFonts w:ascii="Times New Roman" w:hAnsi="Times New Roman" w:cs="Times New Roman"/>
      <w:color w:val="000000"/>
    </w:rPr>
  </w:style>
  <w:style w:type="paragraph" w:styleId="af5">
    <w:name w:val="List Paragraph"/>
    <w:basedOn w:val="a"/>
    <w:uiPriority w:val="99"/>
    <w:qFormat/>
    <w:rsid w:val="00C07D69"/>
    <w:pPr>
      <w:spacing w:after="200" w:line="276" w:lineRule="auto"/>
      <w:ind w:left="720"/>
      <w:contextualSpacing/>
    </w:pPr>
    <w:rPr>
      <w:rFonts w:asciiTheme="minorHAnsi" w:eastAsia="Times New Roman" w:hAnsiTheme="minorHAnsi"/>
      <w:lang w:val="ru-RU"/>
    </w:rPr>
  </w:style>
  <w:style w:type="character" w:customStyle="1" w:styleId="rvts23">
    <w:name w:val="rvts23"/>
    <w:basedOn w:val="a0"/>
    <w:rsid w:val="00C07D69"/>
  </w:style>
  <w:style w:type="paragraph" w:styleId="af6">
    <w:name w:val="Normal (Web)"/>
    <w:basedOn w:val="a"/>
    <w:uiPriority w:val="99"/>
    <w:rsid w:val="00C07D69"/>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f7">
    <w:name w:val="Символи виноски"/>
    <w:rsid w:val="00982E94"/>
    <w:rPr>
      <w:vertAlign w:val="superscript"/>
    </w:rPr>
  </w:style>
  <w:style w:type="character" w:customStyle="1" w:styleId="apple-converted-space">
    <w:name w:val="apple-converted-space"/>
    <w:rsid w:val="00982E94"/>
  </w:style>
  <w:style w:type="paragraph" w:customStyle="1" w:styleId="rvps2">
    <w:name w:val="rvps2"/>
    <w:basedOn w:val="a"/>
    <w:rsid w:val="00982E94"/>
    <w:pPr>
      <w:spacing w:before="100" w:beforeAutospacing="1" w:after="100" w:afterAutospacing="1" w:line="240" w:lineRule="auto"/>
    </w:pPr>
    <w:rPr>
      <w:rFonts w:ascii="Times New Roman" w:eastAsia="Times New Roman" w:hAnsi="Times New Roman"/>
      <w:sz w:val="24"/>
      <w:szCs w:val="24"/>
      <w:lang w:val="ru-RU" w:eastAsia="zh-CN"/>
    </w:rPr>
  </w:style>
  <w:style w:type="paragraph" w:customStyle="1" w:styleId="Default">
    <w:name w:val="Default"/>
    <w:rsid w:val="006207FA"/>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Arial Unicode MS"/>
      <w:color w:val="000000"/>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D325B-19B5-44BE-A0C1-F5223D21A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813</Words>
  <Characters>5660</Characters>
  <Application>Microsoft Office Word</Application>
  <DocSecurity>0</DocSecurity>
  <Lines>47</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Гонтар Алла Іванівна</cp:lastModifiedBy>
  <cp:revision>2</cp:revision>
  <cp:lastPrinted>2021-01-27T10:31:00Z</cp:lastPrinted>
  <dcterms:created xsi:type="dcterms:W3CDTF">2021-10-29T08:01:00Z</dcterms:created>
  <dcterms:modified xsi:type="dcterms:W3CDTF">2021-10-29T08:01:00Z</dcterms:modified>
</cp:coreProperties>
</file>