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023959" w14:textId="77777777" w:rsidR="00D91BF9" w:rsidRPr="00D91BF9" w:rsidRDefault="00D91BF9" w:rsidP="00EA52BA">
      <w:pPr>
        <w:spacing w:after="12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D91BF9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 </w:t>
      </w:r>
    </w:p>
    <w:p w14:paraId="715EF5BA" w14:textId="77777777" w:rsidR="00D91BF9" w:rsidRPr="00D91BF9" w:rsidRDefault="00D91BF9" w:rsidP="00EA52BA">
      <w:pPr>
        <w:spacing w:after="12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91BF9">
        <w:rPr>
          <w:rFonts w:ascii="Times New Roman" w:eastAsia="Times New Roman" w:hAnsi="Times New Roman" w:cs="Times New Roman"/>
          <w:color w:val="000000"/>
          <w:sz w:val="28"/>
          <w:szCs w:val="28"/>
        </w:rPr>
        <w:t>вноситься народними</w:t>
      </w:r>
    </w:p>
    <w:p w14:paraId="6305DE13" w14:textId="04DF4B33" w:rsidR="00135BDB" w:rsidRPr="00D37794" w:rsidRDefault="00D91BF9" w:rsidP="00135BDB">
      <w:pPr>
        <w:spacing w:after="12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91BF9">
        <w:rPr>
          <w:rFonts w:ascii="Times New Roman" w:eastAsia="Times New Roman" w:hAnsi="Times New Roman" w:cs="Times New Roman"/>
          <w:color w:val="000000"/>
          <w:sz w:val="28"/>
          <w:szCs w:val="28"/>
        </w:rPr>
        <w:t>депутатами України</w:t>
      </w:r>
      <w:r w:rsidR="00D377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2D83AD08" w14:textId="18142D67" w:rsidR="00D37794" w:rsidRPr="00D37794" w:rsidRDefault="00D37794" w:rsidP="00EA52BA">
      <w:pPr>
        <w:spacing w:after="12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806C9A2" w14:textId="77777777" w:rsidR="00D37794" w:rsidRDefault="00D37794" w:rsidP="00EA52B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906756E" w14:textId="77777777" w:rsidR="009C54D8" w:rsidRPr="00D91BF9" w:rsidRDefault="009C54D8" w:rsidP="009C54D8">
      <w:pPr>
        <w:tabs>
          <w:tab w:val="left" w:pos="8595"/>
        </w:tabs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3256254" w14:textId="7EDAD544" w:rsidR="00D91BF9" w:rsidRPr="00D91BF9" w:rsidRDefault="00D91BF9" w:rsidP="009C54D8">
      <w:pPr>
        <w:tabs>
          <w:tab w:val="left" w:pos="8595"/>
        </w:tabs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C3A3223" w14:textId="77777777" w:rsidR="00D91BF9" w:rsidRPr="00D91BF9" w:rsidRDefault="00D91BF9" w:rsidP="00EA52BA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91B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ЗАКОН УКРАЇНИ</w:t>
      </w:r>
    </w:p>
    <w:p w14:paraId="5FA27235" w14:textId="3C82803A" w:rsidR="00D91BF9" w:rsidRPr="00D91BF9" w:rsidRDefault="00D91BF9" w:rsidP="00EA52BA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C4196B3" w14:textId="653898E4" w:rsidR="00D91BF9" w:rsidRPr="00135BDB" w:rsidRDefault="00D91BF9" w:rsidP="00EA52BA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lk62812015"/>
      <w:r w:rsidRPr="00D91B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про внесення змін до Податкового кодексу України щодо оподаткування </w:t>
      </w:r>
      <w:r w:rsidR="00135B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виграшів</w:t>
      </w:r>
      <w:bookmarkEnd w:id="1"/>
    </w:p>
    <w:p w14:paraId="1B3F2360" w14:textId="77777777" w:rsidR="00D91BF9" w:rsidRPr="00D91BF9" w:rsidRDefault="00D91BF9" w:rsidP="00EA52BA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91BF9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603CE540" w14:textId="663C0D62" w:rsidR="00D91BF9" w:rsidRPr="00D91BF9" w:rsidRDefault="00D91BF9" w:rsidP="00EA52BA">
      <w:pPr>
        <w:spacing w:after="12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D91BF9">
        <w:rPr>
          <w:rFonts w:ascii="Times New Roman" w:eastAsia="Times New Roman" w:hAnsi="Times New Roman" w:cs="Times New Roman"/>
          <w:color w:val="000000"/>
          <w:sz w:val="28"/>
          <w:szCs w:val="28"/>
        </w:rPr>
        <w:t>Верховна Рада України</w:t>
      </w:r>
      <w:r w:rsidR="001756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91B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 о с т а н о в л я є</w:t>
      </w:r>
      <w:r w:rsidRPr="00D91BF9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1B33BE1D" w14:textId="77777777" w:rsidR="00D91BF9" w:rsidRPr="00D91BF9" w:rsidRDefault="00D91BF9" w:rsidP="00EA52BA">
      <w:pPr>
        <w:spacing w:after="12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14:paraId="4D117F0A" w14:textId="3FEDD0CB" w:rsidR="00D91BF9" w:rsidRPr="00D91BF9" w:rsidRDefault="00175699" w:rsidP="00EA52BA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91BF9" w:rsidRPr="00D91BF9">
        <w:rPr>
          <w:rFonts w:ascii="Times New Roman" w:eastAsia="Times New Roman" w:hAnsi="Times New Roman" w:cs="Times New Roman"/>
          <w:color w:val="000000"/>
          <w:sz w:val="28"/>
          <w:szCs w:val="28"/>
        </w:rPr>
        <w:t>І. Внести до Податкового кодексу України (Відомості Верховної Ради України, 2011 р., № №13–17, ст.112</w:t>
      </w:r>
      <w:r w:rsidR="00135B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із наступними змінами</w:t>
      </w:r>
      <w:r w:rsidR="00D91BF9" w:rsidRPr="00D91BF9">
        <w:rPr>
          <w:rFonts w:ascii="Times New Roman" w:eastAsia="Times New Roman" w:hAnsi="Times New Roman" w:cs="Times New Roman"/>
          <w:color w:val="000000"/>
          <w:sz w:val="28"/>
          <w:szCs w:val="28"/>
        </w:rPr>
        <w:t>) такі зміни:</w:t>
      </w:r>
    </w:p>
    <w:p w14:paraId="4CE43B35" w14:textId="5F83889E" w:rsidR="00135BDB" w:rsidRDefault="00135BDB" w:rsidP="00135BDB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У </w:t>
      </w:r>
      <w:r w:rsidR="001D08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пункті 164.2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 164:</w:t>
      </w:r>
      <w:r w:rsidRPr="00135B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826B212" w14:textId="77777777" w:rsidR="00135BDB" w:rsidRDefault="00135BDB" w:rsidP="00135BDB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п</w:t>
      </w:r>
      <w:r w:rsidR="0007367E" w:rsidRPr="00135BDB">
        <w:rPr>
          <w:rFonts w:ascii="Times New Roman" w:eastAsia="Times New Roman" w:hAnsi="Times New Roman" w:cs="Times New Roman"/>
          <w:color w:val="000000"/>
          <w:sz w:val="28"/>
          <w:szCs w:val="28"/>
        </w:rPr>
        <w:t>ідпункт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="0007367E" w:rsidRPr="00135B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164.2.8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слова «</w:t>
      </w:r>
      <w:r w:rsidRPr="00135BDB">
        <w:rPr>
          <w:rFonts w:ascii="Times New Roman" w:eastAsia="Times New Roman" w:hAnsi="Times New Roman" w:cs="Times New Roman"/>
          <w:color w:val="000000"/>
          <w:sz w:val="28"/>
          <w:szCs w:val="28"/>
        </w:rPr>
        <w:t>доходи у вигляді виграшів, призів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виключити;</w:t>
      </w:r>
    </w:p>
    <w:p w14:paraId="41DFBEF1" w14:textId="77777777" w:rsidR="00135BDB" w:rsidRDefault="00135BDB" w:rsidP="00135BDB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доповнити новим підпунктом </w:t>
      </w:r>
      <w:r w:rsidRPr="00135BDB">
        <w:rPr>
          <w:rFonts w:ascii="Times New Roman" w:eastAsia="Times New Roman" w:hAnsi="Times New Roman" w:cs="Times New Roman"/>
          <w:color w:val="000000"/>
          <w:sz w:val="28"/>
          <w:szCs w:val="28"/>
        </w:rPr>
        <w:t>164.2.8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-1 такого змісту:</w:t>
      </w:r>
    </w:p>
    <w:p w14:paraId="767711FC" w14:textId="0CCEDA7D" w:rsidR="00135BDB" w:rsidRDefault="00135BDB" w:rsidP="00135BDB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135BDB">
        <w:rPr>
          <w:rFonts w:ascii="Times New Roman" w:eastAsia="Times New Roman" w:hAnsi="Times New Roman" w:cs="Times New Roman"/>
          <w:color w:val="000000"/>
          <w:sz w:val="28"/>
          <w:szCs w:val="28"/>
        </w:rPr>
        <w:t>164.2.8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135BDB">
        <w:rPr>
          <w:rFonts w:ascii="Times New Roman" w:eastAsia="Times New Roman" w:hAnsi="Times New Roman" w:cs="Times New Roman"/>
          <w:color w:val="000000"/>
          <w:sz w:val="28"/>
          <w:szCs w:val="28"/>
        </w:rPr>
        <w:t>1. доходи у вигляді виграшів, призів в частині, визначеній пунктом 170.6. статті 170 цього Кодексу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14:paraId="2611D077" w14:textId="2DC5068E" w:rsidR="00D91BF9" w:rsidRPr="00135BDB" w:rsidRDefault="001D080A" w:rsidP="00135BDB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П</w:t>
      </w:r>
      <w:r w:rsidR="00D91BF9" w:rsidRPr="00135BDB">
        <w:rPr>
          <w:rFonts w:ascii="Times New Roman" w:eastAsia="Times New Roman" w:hAnsi="Times New Roman" w:cs="Times New Roman"/>
          <w:color w:val="000000"/>
          <w:sz w:val="28"/>
          <w:szCs w:val="28"/>
        </w:rPr>
        <w:t>ункт 165.1 статті 165 доповнити новим підпунктом такого змісту:</w:t>
      </w:r>
    </w:p>
    <w:p w14:paraId="14772167" w14:textId="3CD6F56D" w:rsidR="00D91BF9" w:rsidRPr="00135BDB" w:rsidRDefault="0007367E" w:rsidP="00135BDB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5BDB">
        <w:rPr>
          <w:rFonts w:ascii="Times New Roman" w:eastAsia="Times New Roman" w:hAnsi="Times New Roman" w:cs="Times New Roman"/>
          <w:color w:val="000000"/>
          <w:sz w:val="28"/>
          <w:szCs w:val="28"/>
        </w:rPr>
        <w:t>«165.1.62</w:t>
      </w:r>
      <w:r w:rsidR="00D91BF9" w:rsidRPr="00135B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1D080A" w:rsidRPr="001D080A">
        <w:rPr>
          <w:rFonts w:ascii="Times New Roman" w:eastAsia="Times New Roman" w:hAnsi="Times New Roman" w:cs="Times New Roman"/>
          <w:color w:val="000000"/>
          <w:sz w:val="28"/>
          <w:szCs w:val="28"/>
        </w:rPr>
        <w:t>сума (вартість) окремого виплаченого (отриманого) виграшу (призу) в азартній грі чи лотереї, який не перевищує 50 тисяч гривень</w:t>
      </w:r>
      <w:r w:rsidRPr="00135BDB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D91BF9" w:rsidRPr="00135BD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5C98062" w14:textId="3E343459" w:rsidR="0007367E" w:rsidRPr="00135BDB" w:rsidRDefault="00175699" w:rsidP="00135BDB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5B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D080A">
        <w:rPr>
          <w:rFonts w:ascii="Times New Roman" w:eastAsia="Times New Roman" w:hAnsi="Times New Roman" w:cs="Times New Roman"/>
          <w:color w:val="000000"/>
          <w:sz w:val="28"/>
          <w:szCs w:val="28"/>
        </w:rPr>
        <w:t>3. Пункт</w:t>
      </w:r>
      <w:r w:rsidR="00D91BF9" w:rsidRPr="00135B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170.6 статті 170</w:t>
      </w:r>
      <w:r w:rsidR="001D08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викласти у такій редакції</w:t>
      </w:r>
      <w:r w:rsidR="00D91BF9" w:rsidRPr="00135BDB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34B96C07" w14:textId="77777777" w:rsidR="001D080A" w:rsidRPr="001D080A" w:rsidRDefault="00F16219" w:rsidP="001D080A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5BDB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1D080A" w:rsidRPr="001D080A">
        <w:rPr>
          <w:rFonts w:ascii="Times New Roman" w:eastAsia="Times New Roman" w:hAnsi="Times New Roman" w:cs="Times New Roman"/>
          <w:color w:val="000000"/>
          <w:sz w:val="28"/>
          <w:szCs w:val="28"/>
        </w:rPr>
        <w:t>170.6. Оподаткування виграшів та призів</w:t>
      </w:r>
    </w:p>
    <w:p w14:paraId="48721F62" w14:textId="77777777" w:rsidR="001D080A" w:rsidRPr="001D080A" w:rsidRDefault="001D080A" w:rsidP="001D080A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08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170.6.1. Дохід у вигляді  призів та/або виграшів, одержаних за перемогу та/або участь в аматорських спортивних змаганнях, у тому числі у більярдному спорті,  виграшів (призів) в інших розіграшах підлягають оподаткуванню податковим агентом під час їх нарахування (виплати) за ставкою, визначеною пунктом 167.1 статті 167 цього розділу.  </w:t>
      </w:r>
    </w:p>
    <w:p w14:paraId="5D2AE072" w14:textId="4D306307" w:rsidR="001D080A" w:rsidRPr="001D080A" w:rsidRDefault="00627775" w:rsidP="001D080A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77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Дохід у вигляді  окремого виграшу (призу) в азартних іграх та/або лотереях,   сума (вартість) якого не перевищує 50 тисяч гривень, не підлягає оподаткуванню. У разі перевищення  суми (вартості) окремого виграшу (призу) в азартних іграх або лотереях понад суму 50 тисяч гривень,  податковий агент оподатковує всю суму (вартість) такого виплаченого </w:t>
      </w:r>
      <w:r w:rsidRPr="0062777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(отриманого) виграшу (призу) за ставкою, визначеною пунктом 167.1 статті 167 цього розділу</w:t>
      </w:r>
      <w:r w:rsidR="001D080A" w:rsidRPr="001D080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0F15A31" w14:textId="02C962AA" w:rsidR="001D080A" w:rsidRPr="001D080A" w:rsidRDefault="001D080A" w:rsidP="001D080A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080A">
        <w:rPr>
          <w:rFonts w:ascii="Times New Roman" w:eastAsia="Times New Roman" w:hAnsi="Times New Roman" w:cs="Times New Roman"/>
          <w:color w:val="000000"/>
          <w:sz w:val="28"/>
          <w:szCs w:val="28"/>
        </w:rPr>
        <w:t>170.6.2. Податковим агентом платника податку під час нарахування та/або виплати (надання) на його користь доходів, зазначених у цьому пункті (крім доходів у вигляді виграшів (призів) у лотерею), є особа, яка здійснює таке нарахування та/або виплату</w:t>
      </w:r>
      <w:r w:rsidR="007F2D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D080A">
        <w:rPr>
          <w:rFonts w:ascii="Times New Roman" w:eastAsia="Times New Roman" w:hAnsi="Times New Roman" w:cs="Times New Roman"/>
          <w:color w:val="000000"/>
          <w:sz w:val="28"/>
          <w:szCs w:val="28"/>
        </w:rPr>
        <w:t>(надання).  Податковим агентом платника податку під час нарахування та/або виплати (надання) на його користь доходів у вигляді виграшів (призів) у лотерею є оператор лотерей.</w:t>
      </w:r>
    </w:p>
    <w:p w14:paraId="561DEF67" w14:textId="77777777" w:rsidR="001D080A" w:rsidRPr="001D080A" w:rsidRDefault="001D080A" w:rsidP="001D080A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080A">
        <w:rPr>
          <w:rFonts w:ascii="Times New Roman" w:eastAsia="Times New Roman" w:hAnsi="Times New Roman" w:cs="Times New Roman"/>
          <w:color w:val="000000"/>
          <w:sz w:val="28"/>
          <w:szCs w:val="28"/>
        </w:rPr>
        <w:t>170.6.3. Під час нарахування (виплати, надання) доходів, порядок оподаткування яких встановлено цим пунктом, витрати платника податку у зв’язку з отриманням такого доходу (у тому числі по’вязані з придбанням  права на участь у розіграшах, змаганнях)  не враховуються</w:t>
      </w:r>
    </w:p>
    <w:p w14:paraId="065A45AB" w14:textId="07F70590" w:rsidR="00D91BF9" w:rsidRPr="00135BDB" w:rsidRDefault="001D080A" w:rsidP="00135BDB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D080A">
        <w:rPr>
          <w:rFonts w:ascii="Times New Roman" w:eastAsia="Times New Roman" w:hAnsi="Times New Roman" w:cs="Times New Roman"/>
          <w:color w:val="000000"/>
          <w:sz w:val="28"/>
          <w:szCs w:val="28"/>
        </w:rPr>
        <w:t>170.6.4. Доходи, зазначені у цьому пункті, остаточно оподатковуються під час їх виплати за їх рахунок</w:t>
      </w:r>
      <w:r w:rsidR="00070EE1" w:rsidRPr="00135B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». </w:t>
      </w:r>
    </w:p>
    <w:p w14:paraId="502F75C1" w14:textId="4549F194" w:rsidR="00D91BF9" w:rsidRPr="00D91BF9" w:rsidRDefault="00D91BF9" w:rsidP="00EA52BA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1BF9">
        <w:rPr>
          <w:rFonts w:ascii="Times New Roman" w:eastAsia="Times New Roman" w:hAnsi="Times New Roman" w:cs="Times New Roman"/>
          <w:color w:val="000000"/>
          <w:sz w:val="28"/>
          <w:szCs w:val="28"/>
        </w:rPr>
        <w:t>ІІ. Прикінцеві положення</w:t>
      </w:r>
    </w:p>
    <w:p w14:paraId="47C555A3" w14:textId="77777777" w:rsidR="00D91BF9" w:rsidRPr="00D91BF9" w:rsidRDefault="001D14BC" w:rsidP="00EA52BA">
      <w:pPr>
        <w:numPr>
          <w:ilvl w:val="0"/>
          <w:numId w:val="16"/>
        </w:numPr>
        <w:shd w:val="clear" w:color="auto" w:fill="FFFFFF"/>
        <w:tabs>
          <w:tab w:val="clear" w:pos="720"/>
          <w:tab w:val="num" w:pos="709"/>
        </w:tabs>
        <w:spacing w:after="12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91BF9" w:rsidRPr="00D91BF9">
        <w:rPr>
          <w:rFonts w:ascii="Times New Roman" w:eastAsia="Times New Roman" w:hAnsi="Times New Roman" w:cs="Times New Roman"/>
          <w:color w:val="000000"/>
          <w:sz w:val="28"/>
          <w:szCs w:val="28"/>
        </w:rPr>
        <w:t>Цей Закон набирає чинності з дня, наступного за днем його опублікування.</w:t>
      </w:r>
    </w:p>
    <w:p w14:paraId="787336F6" w14:textId="77777777" w:rsidR="00D91BF9" w:rsidRPr="00D91BF9" w:rsidRDefault="00D91BF9" w:rsidP="00EA52BA">
      <w:pPr>
        <w:numPr>
          <w:ilvl w:val="0"/>
          <w:numId w:val="16"/>
        </w:numPr>
        <w:shd w:val="clear" w:color="auto" w:fill="FFFFFF"/>
        <w:tabs>
          <w:tab w:val="clear" w:pos="720"/>
          <w:tab w:val="num" w:pos="709"/>
        </w:tabs>
        <w:spacing w:after="12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91BF9">
        <w:rPr>
          <w:rFonts w:ascii="Times New Roman" w:eastAsia="Times New Roman" w:hAnsi="Times New Roman" w:cs="Times New Roman"/>
          <w:color w:val="000000"/>
          <w:sz w:val="28"/>
          <w:szCs w:val="28"/>
        </w:rPr>
        <w:t>Кабінету Міністрів України у тримісячний строк привести свої нормативно-правові акти у відповідність з цим Законом.</w:t>
      </w:r>
    </w:p>
    <w:p w14:paraId="4DFFA62F" w14:textId="1C43E1A2" w:rsidR="00D91BF9" w:rsidRPr="00D91BF9" w:rsidRDefault="00D91BF9" w:rsidP="00EA52BA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1BF9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63972C2B" w14:textId="77777777" w:rsidR="00D91BF9" w:rsidRPr="00D91BF9" w:rsidRDefault="00D91BF9" w:rsidP="00EA52BA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1B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Голова Верховної Ради </w:t>
      </w:r>
    </w:p>
    <w:p w14:paraId="71F70E70" w14:textId="1570AD5F" w:rsidR="00F0321D" w:rsidRPr="00EA52BA" w:rsidRDefault="00D91BF9" w:rsidP="00EA52B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1B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України</w:t>
      </w:r>
    </w:p>
    <w:sectPr w:rsidR="00F0321D" w:rsidRPr="00EA52BA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ACE633" w14:textId="77777777" w:rsidR="00B7517E" w:rsidRDefault="00B7517E" w:rsidP="000621ED">
      <w:pPr>
        <w:spacing w:after="0" w:line="240" w:lineRule="auto"/>
      </w:pPr>
      <w:r>
        <w:separator/>
      </w:r>
    </w:p>
  </w:endnote>
  <w:endnote w:type="continuationSeparator" w:id="0">
    <w:p w14:paraId="04E979AE" w14:textId="77777777" w:rsidR="00B7517E" w:rsidRDefault="00B7517E" w:rsidP="00062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6572296"/>
      <w:docPartObj>
        <w:docPartGallery w:val="Page Numbers (Bottom of Page)"/>
        <w:docPartUnique/>
      </w:docPartObj>
    </w:sdtPr>
    <w:sdtEndPr/>
    <w:sdtContent>
      <w:p w14:paraId="280CC8E2" w14:textId="3F02D6DB" w:rsidR="000621ED" w:rsidRDefault="000621ED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424A" w:rsidRPr="00E3424A">
          <w:rPr>
            <w:noProof/>
            <w:lang w:val="ru-RU"/>
          </w:rPr>
          <w:t>1</w:t>
        </w:r>
        <w:r>
          <w:fldChar w:fldCharType="end"/>
        </w:r>
      </w:p>
    </w:sdtContent>
  </w:sdt>
  <w:p w14:paraId="30D261D2" w14:textId="77777777" w:rsidR="000621ED" w:rsidRDefault="000621E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09F540" w14:textId="77777777" w:rsidR="00B7517E" w:rsidRDefault="00B7517E" w:rsidP="000621ED">
      <w:pPr>
        <w:spacing w:after="0" w:line="240" w:lineRule="auto"/>
      </w:pPr>
      <w:r>
        <w:separator/>
      </w:r>
    </w:p>
  </w:footnote>
  <w:footnote w:type="continuationSeparator" w:id="0">
    <w:p w14:paraId="4796FFC3" w14:textId="77777777" w:rsidR="00B7517E" w:rsidRDefault="00B7517E" w:rsidP="000621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12F60"/>
    <w:multiLevelType w:val="multilevel"/>
    <w:tmpl w:val="55F073C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BD1157"/>
    <w:multiLevelType w:val="multilevel"/>
    <w:tmpl w:val="EFDC85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AC56C5"/>
    <w:multiLevelType w:val="multilevel"/>
    <w:tmpl w:val="F160B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F508F4"/>
    <w:multiLevelType w:val="multilevel"/>
    <w:tmpl w:val="C5946A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437A0C"/>
    <w:multiLevelType w:val="hybridMultilevel"/>
    <w:tmpl w:val="74FA1754"/>
    <w:lvl w:ilvl="0" w:tplc="0A8E2A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93B704B"/>
    <w:multiLevelType w:val="multilevel"/>
    <w:tmpl w:val="9D52D7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DA39BC"/>
    <w:multiLevelType w:val="multilevel"/>
    <w:tmpl w:val="4FC2139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CB64F3"/>
    <w:multiLevelType w:val="multilevel"/>
    <w:tmpl w:val="F132C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1F0856"/>
    <w:multiLevelType w:val="multilevel"/>
    <w:tmpl w:val="DDEEA2F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352E09"/>
    <w:multiLevelType w:val="multilevel"/>
    <w:tmpl w:val="8B280A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11C7F5B"/>
    <w:multiLevelType w:val="multilevel"/>
    <w:tmpl w:val="4378D1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602FE8"/>
    <w:multiLevelType w:val="multilevel"/>
    <w:tmpl w:val="34B2E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9A7AC5"/>
    <w:multiLevelType w:val="multilevel"/>
    <w:tmpl w:val="45F431D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8D8712A"/>
    <w:multiLevelType w:val="hybridMultilevel"/>
    <w:tmpl w:val="616496A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4A13AD"/>
    <w:multiLevelType w:val="multilevel"/>
    <w:tmpl w:val="129C3B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0745D03"/>
    <w:multiLevelType w:val="multilevel"/>
    <w:tmpl w:val="098CA03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A2C3CEA"/>
    <w:multiLevelType w:val="hybridMultilevel"/>
    <w:tmpl w:val="25A214C6"/>
    <w:lvl w:ilvl="0" w:tplc="7A8857C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04" w:hanging="360"/>
      </w:pPr>
    </w:lvl>
    <w:lvl w:ilvl="2" w:tplc="2000001B" w:tentative="1">
      <w:start w:val="1"/>
      <w:numFmt w:val="lowerRoman"/>
      <w:lvlText w:val="%3."/>
      <w:lvlJc w:val="right"/>
      <w:pPr>
        <w:ind w:left="2424" w:hanging="180"/>
      </w:pPr>
    </w:lvl>
    <w:lvl w:ilvl="3" w:tplc="2000000F" w:tentative="1">
      <w:start w:val="1"/>
      <w:numFmt w:val="decimal"/>
      <w:lvlText w:val="%4."/>
      <w:lvlJc w:val="left"/>
      <w:pPr>
        <w:ind w:left="3144" w:hanging="360"/>
      </w:pPr>
    </w:lvl>
    <w:lvl w:ilvl="4" w:tplc="20000019" w:tentative="1">
      <w:start w:val="1"/>
      <w:numFmt w:val="lowerLetter"/>
      <w:lvlText w:val="%5."/>
      <w:lvlJc w:val="left"/>
      <w:pPr>
        <w:ind w:left="3864" w:hanging="360"/>
      </w:pPr>
    </w:lvl>
    <w:lvl w:ilvl="5" w:tplc="2000001B" w:tentative="1">
      <w:start w:val="1"/>
      <w:numFmt w:val="lowerRoman"/>
      <w:lvlText w:val="%6."/>
      <w:lvlJc w:val="right"/>
      <w:pPr>
        <w:ind w:left="4584" w:hanging="180"/>
      </w:pPr>
    </w:lvl>
    <w:lvl w:ilvl="6" w:tplc="2000000F" w:tentative="1">
      <w:start w:val="1"/>
      <w:numFmt w:val="decimal"/>
      <w:lvlText w:val="%7."/>
      <w:lvlJc w:val="left"/>
      <w:pPr>
        <w:ind w:left="5304" w:hanging="360"/>
      </w:pPr>
    </w:lvl>
    <w:lvl w:ilvl="7" w:tplc="20000019" w:tentative="1">
      <w:start w:val="1"/>
      <w:numFmt w:val="lowerLetter"/>
      <w:lvlText w:val="%8."/>
      <w:lvlJc w:val="left"/>
      <w:pPr>
        <w:ind w:left="6024" w:hanging="360"/>
      </w:pPr>
    </w:lvl>
    <w:lvl w:ilvl="8" w:tplc="2000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7" w15:restartNumberingAfterBreak="0">
    <w:nsid w:val="7D574EDC"/>
    <w:multiLevelType w:val="multilevel"/>
    <w:tmpl w:val="46A4750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2"/>
  </w:num>
  <w:num w:numId="3">
    <w:abstractNumId w:val="5"/>
    <w:lvlOverride w:ilvl="0">
      <w:lvl w:ilvl="0">
        <w:numFmt w:val="decimal"/>
        <w:lvlText w:val="%1."/>
        <w:lvlJc w:val="left"/>
      </w:lvl>
    </w:lvlOverride>
  </w:num>
  <w:num w:numId="4">
    <w:abstractNumId w:val="1"/>
    <w:lvlOverride w:ilvl="0">
      <w:lvl w:ilvl="0">
        <w:numFmt w:val="decimal"/>
        <w:lvlText w:val="%1."/>
        <w:lvlJc w:val="left"/>
      </w:lvl>
    </w:lvlOverride>
  </w:num>
  <w:num w:numId="5">
    <w:abstractNumId w:val="3"/>
    <w:lvlOverride w:ilvl="0">
      <w:lvl w:ilvl="0">
        <w:numFmt w:val="decimal"/>
        <w:lvlText w:val="%1."/>
        <w:lvlJc w:val="left"/>
      </w:lvl>
    </w:lvlOverride>
  </w:num>
  <w:num w:numId="6">
    <w:abstractNumId w:val="10"/>
    <w:lvlOverride w:ilvl="0">
      <w:lvl w:ilvl="0">
        <w:numFmt w:val="decimal"/>
        <w:lvlText w:val="%1."/>
        <w:lvlJc w:val="left"/>
      </w:lvl>
    </w:lvlOverride>
  </w:num>
  <w:num w:numId="7">
    <w:abstractNumId w:val="9"/>
    <w:lvlOverride w:ilvl="0">
      <w:lvl w:ilvl="0">
        <w:numFmt w:val="decimal"/>
        <w:lvlText w:val="%1."/>
        <w:lvlJc w:val="left"/>
      </w:lvl>
    </w:lvlOverride>
  </w:num>
  <w:num w:numId="8">
    <w:abstractNumId w:val="9"/>
    <w:lvlOverride w:ilvl="0">
      <w:lvl w:ilvl="0">
        <w:numFmt w:val="decimal"/>
        <w:lvlText w:val="%1."/>
        <w:lvlJc w:val="left"/>
      </w:lvl>
    </w:lvlOverride>
  </w:num>
  <w:num w:numId="9">
    <w:abstractNumId w:val="14"/>
    <w:lvlOverride w:ilvl="0">
      <w:lvl w:ilvl="0">
        <w:numFmt w:val="decimal"/>
        <w:lvlText w:val="%1."/>
        <w:lvlJc w:val="left"/>
      </w:lvl>
    </w:lvlOverride>
  </w:num>
  <w:num w:numId="10">
    <w:abstractNumId w:val="15"/>
    <w:lvlOverride w:ilvl="0">
      <w:lvl w:ilvl="0">
        <w:numFmt w:val="decimal"/>
        <w:lvlText w:val="%1."/>
        <w:lvlJc w:val="left"/>
      </w:lvl>
    </w:lvlOverride>
  </w:num>
  <w:num w:numId="11">
    <w:abstractNumId w:val="8"/>
    <w:lvlOverride w:ilvl="0">
      <w:lvl w:ilvl="0">
        <w:numFmt w:val="decimal"/>
        <w:lvlText w:val="%1."/>
        <w:lvlJc w:val="left"/>
      </w:lvl>
    </w:lvlOverride>
  </w:num>
  <w:num w:numId="12">
    <w:abstractNumId w:val="17"/>
    <w:lvlOverride w:ilvl="0">
      <w:lvl w:ilvl="0">
        <w:numFmt w:val="decimal"/>
        <w:lvlText w:val="%1."/>
        <w:lvlJc w:val="left"/>
      </w:lvl>
    </w:lvlOverride>
  </w:num>
  <w:num w:numId="13">
    <w:abstractNumId w:val="6"/>
    <w:lvlOverride w:ilvl="0">
      <w:lvl w:ilvl="0">
        <w:numFmt w:val="decimal"/>
        <w:lvlText w:val="%1."/>
        <w:lvlJc w:val="left"/>
      </w:lvl>
    </w:lvlOverride>
  </w:num>
  <w:num w:numId="14">
    <w:abstractNumId w:val="0"/>
    <w:lvlOverride w:ilvl="0">
      <w:lvl w:ilvl="0">
        <w:numFmt w:val="decimal"/>
        <w:lvlText w:val="%1."/>
        <w:lvlJc w:val="left"/>
      </w:lvl>
    </w:lvlOverride>
  </w:num>
  <w:num w:numId="15">
    <w:abstractNumId w:val="12"/>
    <w:lvlOverride w:ilvl="0">
      <w:lvl w:ilvl="0">
        <w:numFmt w:val="decimal"/>
        <w:lvlText w:val="%1."/>
        <w:lvlJc w:val="left"/>
      </w:lvl>
    </w:lvlOverride>
  </w:num>
  <w:num w:numId="16">
    <w:abstractNumId w:val="7"/>
  </w:num>
  <w:num w:numId="17">
    <w:abstractNumId w:val="16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BF9"/>
    <w:rsid w:val="000147E7"/>
    <w:rsid w:val="000621ED"/>
    <w:rsid w:val="00070EE1"/>
    <w:rsid w:val="0007367E"/>
    <w:rsid w:val="000929F7"/>
    <w:rsid w:val="000A455A"/>
    <w:rsid w:val="00135BDB"/>
    <w:rsid w:val="00175699"/>
    <w:rsid w:val="00182E5C"/>
    <w:rsid w:val="001D080A"/>
    <w:rsid w:val="001D14BC"/>
    <w:rsid w:val="00394E80"/>
    <w:rsid w:val="004F5DE1"/>
    <w:rsid w:val="00525F7E"/>
    <w:rsid w:val="005D1909"/>
    <w:rsid w:val="00627534"/>
    <w:rsid w:val="00627775"/>
    <w:rsid w:val="006765FB"/>
    <w:rsid w:val="00694C64"/>
    <w:rsid w:val="00775DF0"/>
    <w:rsid w:val="00793986"/>
    <w:rsid w:val="007A1B54"/>
    <w:rsid w:val="007F2D33"/>
    <w:rsid w:val="007F2FCF"/>
    <w:rsid w:val="00827B45"/>
    <w:rsid w:val="008637E6"/>
    <w:rsid w:val="00884B18"/>
    <w:rsid w:val="008A2778"/>
    <w:rsid w:val="008C1DE6"/>
    <w:rsid w:val="009C54D8"/>
    <w:rsid w:val="009C6BCA"/>
    <w:rsid w:val="00AA27BE"/>
    <w:rsid w:val="00AC43EB"/>
    <w:rsid w:val="00B7517E"/>
    <w:rsid w:val="00B95ADF"/>
    <w:rsid w:val="00CE2BDA"/>
    <w:rsid w:val="00CF4E05"/>
    <w:rsid w:val="00D128E4"/>
    <w:rsid w:val="00D20289"/>
    <w:rsid w:val="00D361B4"/>
    <w:rsid w:val="00D37794"/>
    <w:rsid w:val="00D91BF9"/>
    <w:rsid w:val="00D972DB"/>
    <w:rsid w:val="00DD2854"/>
    <w:rsid w:val="00DE2BE8"/>
    <w:rsid w:val="00E23B1A"/>
    <w:rsid w:val="00E3424A"/>
    <w:rsid w:val="00EA52BA"/>
    <w:rsid w:val="00EF39AE"/>
    <w:rsid w:val="00F0321D"/>
    <w:rsid w:val="00F16219"/>
    <w:rsid w:val="00F5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54EAE"/>
  <w15:chartTrackingRefBased/>
  <w15:docId w15:val="{7F8F220F-4C1D-470A-8FD3-72E773658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4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ms">
    <w:name w:val="ams"/>
    <w:basedOn w:val="a0"/>
    <w:rsid w:val="00394E80"/>
  </w:style>
  <w:style w:type="paragraph" w:styleId="a4">
    <w:name w:val="List Paragraph"/>
    <w:basedOn w:val="a"/>
    <w:uiPriority w:val="34"/>
    <w:qFormat/>
    <w:rsid w:val="00CF4E0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621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0621ED"/>
  </w:style>
  <w:style w:type="paragraph" w:styleId="a7">
    <w:name w:val="footer"/>
    <w:basedOn w:val="a"/>
    <w:link w:val="a8"/>
    <w:uiPriority w:val="99"/>
    <w:unhideWhenUsed/>
    <w:rsid w:val="000621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0621ED"/>
  </w:style>
  <w:style w:type="paragraph" w:styleId="a9">
    <w:name w:val="Balloon Text"/>
    <w:basedOn w:val="a"/>
    <w:link w:val="aa"/>
    <w:uiPriority w:val="99"/>
    <w:semiHidden/>
    <w:unhideWhenUsed/>
    <w:rsid w:val="00827B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827B45"/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uiPriority w:val="99"/>
    <w:rsid w:val="00D37794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b">
    <w:name w:val="Table Grid"/>
    <w:basedOn w:val="a1"/>
    <w:uiPriority w:val="99"/>
    <w:rsid w:val="009C54D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7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7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23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3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0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10201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80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957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53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9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61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02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87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24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4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5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5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31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3097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92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569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49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1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11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78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504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736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9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23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2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3A6827-2AC7-4743-8698-927543F437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C02889-139C-4900-8950-3B2DB0931D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EE9DE2-F326-49FE-ABBE-58A2D08309B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1732</Words>
  <Characters>988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2021-02-09T08:40:00Z</dcterms:created>
  <dcterms:modified xsi:type="dcterms:W3CDTF">2021-02-09T08:40:00Z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