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0FD89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bookmarkStart w:id="0" w:name="_GoBack"/>
      <w:bookmarkEnd w:id="0"/>
      <w:r>
        <w:rPr>
          <w:rFonts w:ascii="TimesNewRomanPS-BoldMT" w:hAnsi="TimesNewRomanPS-BoldMT" w:cs="TimesNewRomanPS-BoldMT"/>
          <w:b/>
          <w:bCs/>
          <w:sz w:val="28"/>
          <w:szCs w:val="28"/>
        </w:rPr>
        <w:t>ПОЯСНЮВАЛЬНА ЗАПИСКА</w:t>
      </w:r>
    </w:p>
    <w:p w14:paraId="4D0B0962" w14:textId="77777777" w:rsidR="00035F66" w:rsidRPr="00035F66" w:rsidRDefault="002F257A" w:rsidP="00035F66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до проекту Закону України про внесення змін </w:t>
      </w:r>
      <w:r w:rsidR="00035F66" w:rsidRPr="00035F66">
        <w:rPr>
          <w:rFonts w:ascii="TimesNewRomanPS-BoldMT" w:hAnsi="TimesNewRomanPS-BoldMT" w:cs="TimesNewRomanPS-BoldMT"/>
          <w:b/>
          <w:bCs/>
          <w:sz w:val="28"/>
          <w:szCs w:val="28"/>
        </w:rPr>
        <w:t>до проекту Закону України про внесення змін до Податкового кодексу України</w:t>
      </w:r>
    </w:p>
    <w:p w14:paraId="476B7A30" w14:textId="3B73C0F4" w:rsidR="002F257A" w:rsidRDefault="00035F66" w:rsidP="00035F66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035F66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щодо оподаткування виграшів</w:t>
      </w:r>
    </w:p>
    <w:p w14:paraId="013B6260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14:paraId="5E39B5AB" w14:textId="77777777" w:rsidR="002F257A" w:rsidRDefault="002F257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6" w:firstLine="993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Обґрунтування необхідності прийняття проекту Закону</w:t>
      </w:r>
    </w:p>
    <w:p w14:paraId="66FB552F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left="993" w:right="-6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14:paraId="7643BB42" w14:textId="289D587D" w:rsidR="00035F66" w:rsidRPr="001F37D6" w:rsidRDefault="00035F66" w:rsidP="001F37D6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1F37D6">
        <w:rPr>
          <w:rFonts w:ascii="Times New Roman" w:hAnsi="Times New Roman"/>
          <w:spacing w:val="-6"/>
          <w:kern w:val="1"/>
          <w:sz w:val="28"/>
          <w:szCs w:val="28"/>
        </w:rPr>
        <w:t>У серпні 2020 року набрав чинності прийнятий</w:t>
      </w:r>
      <w:r w:rsidR="0096489B" w:rsidRPr="0096489B">
        <w:rPr>
          <w:rFonts w:ascii="Times New Roman" w:hAnsi="Times New Roman"/>
          <w:spacing w:val="-6"/>
          <w:kern w:val="1"/>
          <w:sz w:val="28"/>
          <w:szCs w:val="28"/>
          <w:lang w:val="ru-RU"/>
        </w:rPr>
        <w:t xml:space="preserve"> </w:t>
      </w:r>
      <w:r w:rsidR="002F257A" w:rsidRPr="001F37D6">
        <w:rPr>
          <w:rFonts w:ascii="Times New Roman" w:hAnsi="Times New Roman"/>
          <w:spacing w:val="-6"/>
          <w:kern w:val="1"/>
          <w:sz w:val="28"/>
          <w:szCs w:val="28"/>
        </w:rPr>
        <w:t>Верховною Радою України Закону України «Про державне регулювання діяльності щодо організації та проведення азартних ігор»</w:t>
      </w:r>
      <w:r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. </w:t>
      </w:r>
    </w:p>
    <w:p w14:paraId="35492DC6" w14:textId="77DC3CC7" w:rsidR="00035F66" w:rsidRPr="001F37D6" w:rsidRDefault="001451D2" w:rsidP="001F37D6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У </w:t>
      </w:r>
      <w:r w:rsidR="009A04D6" w:rsidRPr="001F37D6">
        <w:rPr>
          <w:rFonts w:ascii="Times New Roman" w:hAnsi="Times New Roman"/>
          <w:spacing w:val="-6"/>
          <w:kern w:val="1"/>
          <w:sz w:val="28"/>
          <w:szCs w:val="28"/>
        </w:rPr>
        <w:t>зв’язку</w:t>
      </w:r>
      <w:r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 з цим </w:t>
      </w:r>
      <w:r w:rsidR="009A04D6"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постає питання правил оподаткування виграшів у азартних іграх та лотереях. </w:t>
      </w:r>
    </w:p>
    <w:p w14:paraId="013F6BE7" w14:textId="55F05B86" w:rsidR="001451D2" w:rsidRPr="001F37D6" w:rsidRDefault="001F37D6" w:rsidP="001F37D6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>
        <w:rPr>
          <w:rFonts w:ascii="Times New Roman" w:hAnsi="Times New Roman"/>
          <w:spacing w:val="-6"/>
          <w:kern w:val="1"/>
          <w:sz w:val="28"/>
          <w:szCs w:val="28"/>
        </w:rPr>
        <w:t>Е</w:t>
      </w:r>
      <w:r w:rsidR="009A04D6"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кспертами ринку азартних ігор та лотерей </w:t>
      </w:r>
      <w:r w:rsidRPr="001F37D6">
        <w:rPr>
          <w:rFonts w:ascii="Times New Roman" w:hAnsi="Times New Roman"/>
          <w:spacing w:val="-6"/>
          <w:kern w:val="1"/>
          <w:sz w:val="28"/>
          <w:szCs w:val="28"/>
        </w:rPr>
        <w:t>неодноразово зазначалось</w:t>
      </w:r>
      <w:r w:rsidR="003F7837">
        <w:rPr>
          <w:rFonts w:ascii="Times New Roman" w:hAnsi="Times New Roman"/>
          <w:spacing w:val="-6"/>
          <w:kern w:val="1"/>
          <w:sz w:val="28"/>
          <w:szCs w:val="28"/>
        </w:rPr>
        <w:t>, що</w:t>
      </w:r>
      <w:r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r w:rsidR="009A04D6" w:rsidRPr="001F37D6">
        <w:rPr>
          <w:rFonts w:ascii="Times New Roman" w:hAnsi="Times New Roman"/>
          <w:spacing w:val="-6"/>
          <w:kern w:val="1"/>
          <w:sz w:val="28"/>
          <w:szCs w:val="28"/>
        </w:rPr>
        <w:t>оподаткування виграшів негативно впливає на розвиток легального бізнесу, оскільки гравець зацікавлений в отриманні повного виграшу та більш готовий звертатись до нелегальних закладів ніж сплачувати з будь-якого виграшу 19,5%</w:t>
      </w:r>
      <w:r w:rsidR="003F7837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r w:rsidR="003F7837" w:rsidRPr="003F7837">
        <w:rPr>
          <w:rFonts w:ascii="Times New Roman" w:hAnsi="Times New Roman"/>
          <w:spacing w:val="-6"/>
          <w:kern w:val="1"/>
          <w:sz w:val="28"/>
          <w:szCs w:val="28"/>
        </w:rPr>
        <w:t>податку на доходи та військового збору</w:t>
      </w:r>
      <w:r w:rsidR="009A04D6"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. Особливо враховуючи що витрати, </w:t>
      </w:r>
      <w:r>
        <w:rPr>
          <w:rFonts w:ascii="Times New Roman" w:hAnsi="Times New Roman"/>
          <w:spacing w:val="-6"/>
          <w:kern w:val="1"/>
          <w:sz w:val="28"/>
          <w:szCs w:val="28"/>
        </w:rPr>
        <w:t>які</w:t>
      </w:r>
      <w:r w:rsidR="009A04D6"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 несуть гравці, зазвичай перевищують доходи, що ними отримуються.</w:t>
      </w:r>
    </w:p>
    <w:p w14:paraId="4F341B6A" w14:textId="1A751DF2" w:rsidR="001F37D6" w:rsidRPr="001F37D6" w:rsidRDefault="009A04D6" w:rsidP="001F37D6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В той же час запропоноване законопроектами, що знаходяться на </w:t>
      </w:r>
      <w:r w:rsidR="00035F66"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 розгляді Верховної </w:t>
      </w:r>
      <w:r w:rsidRPr="001F37D6">
        <w:rPr>
          <w:rFonts w:ascii="Times New Roman" w:hAnsi="Times New Roman"/>
          <w:spacing w:val="-6"/>
          <w:kern w:val="1"/>
          <w:sz w:val="28"/>
          <w:szCs w:val="28"/>
        </w:rPr>
        <w:t>Р</w:t>
      </w:r>
      <w:r w:rsidR="00035F66" w:rsidRPr="001F37D6">
        <w:rPr>
          <w:rFonts w:ascii="Times New Roman" w:hAnsi="Times New Roman"/>
          <w:spacing w:val="-6"/>
          <w:kern w:val="1"/>
          <w:sz w:val="28"/>
          <w:szCs w:val="28"/>
        </w:rPr>
        <w:t>ади України</w:t>
      </w:r>
      <w:r w:rsidRPr="001F37D6">
        <w:rPr>
          <w:rFonts w:ascii="Times New Roman" w:hAnsi="Times New Roman"/>
          <w:spacing w:val="-6"/>
          <w:kern w:val="1"/>
          <w:sz w:val="28"/>
          <w:szCs w:val="28"/>
        </w:rPr>
        <w:t>,</w:t>
      </w:r>
      <w:r w:rsidR="00035F66"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 </w:t>
      </w:r>
      <w:r w:rsidRPr="001F37D6">
        <w:rPr>
          <w:rFonts w:ascii="Times New Roman" w:hAnsi="Times New Roman"/>
          <w:spacing w:val="-6"/>
          <w:kern w:val="1"/>
          <w:sz w:val="28"/>
          <w:szCs w:val="28"/>
        </w:rPr>
        <w:t>повне звільнення виграшів від азартних ігор</w:t>
      </w:r>
      <w:r w:rsidR="001F37D6">
        <w:rPr>
          <w:rFonts w:ascii="Times New Roman" w:hAnsi="Times New Roman"/>
          <w:spacing w:val="-6"/>
          <w:kern w:val="1"/>
          <w:sz w:val="28"/>
          <w:szCs w:val="28"/>
        </w:rPr>
        <w:t xml:space="preserve"> від оподаткування податком на </w:t>
      </w:r>
      <w:r w:rsidR="00F363DC">
        <w:rPr>
          <w:rFonts w:ascii="Times New Roman" w:hAnsi="Times New Roman"/>
          <w:spacing w:val="-6"/>
          <w:kern w:val="1"/>
          <w:sz w:val="28"/>
          <w:szCs w:val="28"/>
        </w:rPr>
        <w:t>доходи фізичних осіб</w:t>
      </w:r>
      <w:r w:rsidR="001F37D6">
        <w:rPr>
          <w:rFonts w:ascii="Times New Roman" w:hAnsi="Times New Roman"/>
          <w:spacing w:val="-6"/>
          <w:kern w:val="1"/>
          <w:sz w:val="28"/>
          <w:szCs w:val="28"/>
        </w:rPr>
        <w:t xml:space="preserve"> та </w:t>
      </w:r>
      <w:r w:rsidR="003F7837">
        <w:rPr>
          <w:rFonts w:ascii="Times New Roman" w:hAnsi="Times New Roman"/>
          <w:spacing w:val="-6"/>
          <w:kern w:val="1"/>
          <w:sz w:val="28"/>
          <w:szCs w:val="28"/>
        </w:rPr>
        <w:t>військовим</w:t>
      </w:r>
      <w:r w:rsidR="001F37D6">
        <w:rPr>
          <w:rFonts w:ascii="Times New Roman" w:hAnsi="Times New Roman"/>
          <w:spacing w:val="-6"/>
          <w:kern w:val="1"/>
          <w:sz w:val="28"/>
          <w:szCs w:val="28"/>
        </w:rPr>
        <w:t xml:space="preserve"> збором</w:t>
      </w:r>
      <w:r w:rsidR="001F37D6"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 матиме негативний соціальний ефект, а також потребує встановлення додаткових процедур для </w:t>
      </w:r>
      <w:r w:rsidR="001F37D6">
        <w:rPr>
          <w:rFonts w:ascii="Times New Roman" w:hAnsi="Times New Roman"/>
          <w:spacing w:val="-6"/>
          <w:kern w:val="1"/>
          <w:sz w:val="28"/>
          <w:szCs w:val="28"/>
        </w:rPr>
        <w:t xml:space="preserve">забезпечення </w:t>
      </w:r>
      <w:r w:rsidR="003F7837" w:rsidRPr="003F7837">
        <w:rPr>
          <w:rFonts w:ascii="Times New Roman" w:hAnsi="Times New Roman"/>
          <w:spacing w:val="-6"/>
          <w:kern w:val="1"/>
          <w:sz w:val="28"/>
          <w:szCs w:val="28"/>
        </w:rPr>
        <w:t>унеможливлення</w:t>
      </w:r>
      <w:r w:rsidR="001F37D6"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 використання звільнення виграшів від оподаткування для відмивання коштів, отриманих злочинним, в тому числі корупційним, шляхом.</w:t>
      </w:r>
    </w:p>
    <w:p w14:paraId="12FBD1E4" w14:textId="3E112B0D" w:rsidR="0045756E" w:rsidRDefault="008536E1" w:rsidP="001F37D6">
      <w:pPr>
        <w:widowControl w:val="0"/>
        <w:autoSpaceDE w:val="0"/>
        <w:autoSpaceDN w:val="0"/>
        <w:adjustRightInd w:val="0"/>
        <w:spacing w:after="120" w:line="240" w:lineRule="auto"/>
        <w:ind w:firstLine="992"/>
        <w:jc w:val="both"/>
        <w:rPr>
          <w:rFonts w:ascii="Times New Roman" w:hAnsi="Times New Roman"/>
          <w:spacing w:val="-6"/>
          <w:kern w:val="1"/>
          <w:sz w:val="28"/>
          <w:szCs w:val="28"/>
        </w:rPr>
      </w:pPr>
      <w:r>
        <w:rPr>
          <w:rFonts w:ascii="Times New Roman" w:hAnsi="Times New Roman"/>
          <w:spacing w:val="-6"/>
          <w:kern w:val="1"/>
          <w:sz w:val="28"/>
          <w:szCs w:val="28"/>
        </w:rPr>
        <w:t>У світовій практиці застосовуються різні схеми оподаткування виграшів від азартних ігор та лотерей – від повного звільнення виграшів до збільшеної ставки оподаткування таких доходів</w:t>
      </w:r>
      <w:r w:rsidR="002F257A" w:rsidRPr="001F37D6">
        <w:rPr>
          <w:rFonts w:ascii="Times New Roman" w:hAnsi="Times New Roman"/>
          <w:spacing w:val="-6"/>
          <w:kern w:val="1"/>
          <w:sz w:val="28"/>
          <w:szCs w:val="28"/>
        </w:rPr>
        <w:t xml:space="preserve">. </w:t>
      </w:r>
      <w:r>
        <w:rPr>
          <w:rFonts w:ascii="Times New Roman" w:hAnsi="Times New Roman"/>
          <w:spacing w:val="-6"/>
          <w:kern w:val="1"/>
          <w:sz w:val="28"/>
          <w:szCs w:val="28"/>
        </w:rPr>
        <w:t>Одним із варіантів</w:t>
      </w:r>
      <w:r w:rsidR="0045756E">
        <w:rPr>
          <w:rFonts w:ascii="Times New Roman" w:hAnsi="Times New Roman"/>
          <w:spacing w:val="-6"/>
          <w:kern w:val="1"/>
          <w:sz w:val="28"/>
          <w:szCs w:val="28"/>
        </w:rPr>
        <w:t>, що використовується,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 є </w:t>
      </w:r>
      <w:r w:rsidR="0045756E">
        <w:rPr>
          <w:rFonts w:ascii="Times New Roman" w:hAnsi="Times New Roman"/>
          <w:spacing w:val="-6"/>
          <w:kern w:val="1"/>
          <w:sz w:val="28"/>
          <w:szCs w:val="28"/>
        </w:rPr>
        <w:t xml:space="preserve">не оподаткування виграшів, розмір яких не перевищує певного </w:t>
      </w:r>
      <w:r>
        <w:rPr>
          <w:rFonts w:ascii="Times New Roman" w:hAnsi="Times New Roman"/>
          <w:spacing w:val="-6"/>
          <w:kern w:val="1"/>
          <w:sz w:val="28"/>
          <w:szCs w:val="28"/>
        </w:rPr>
        <w:t>встановлен</w:t>
      </w:r>
      <w:r w:rsidR="0045756E">
        <w:rPr>
          <w:rFonts w:ascii="Times New Roman" w:hAnsi="Times New Roman"/>
          <w:spacing w:val="-6"/>
          <w:kern w:val="1"/>
          <w:sz w:val="28"/>
          <w:szCs w:val="28"/>
        </w:rPr>
        <w:t>ого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 розміру</w:t>
      </w:r>
      <w:r w:rsidR="0045756E">
        <w:rPr>
          <w:rFonts w:ascii="Times New Roman" w:hAnsi="Times New Roman"/>
          <w:spacing w:val="-6"/>
          <w:kern w:val="1"/>
          <w:sz w:val="28"/>
          <w:szCs w:val="28"/>
        </w:rPr>
        <w:t>.</w:t>
      </w:r>
    </w:p>
    <w:p w14:paraId="3A6ACDB5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2E626375" w14:textId="77777777" w:rsidR="002F257A" w:rsidRDefault="00E85267" w:rsidP="00E85267">
      <w:pPr>
        <w:widowControl w:val="0"/>
        <w:autoSpaceDE w:val="0"/>
        <w:autoSpaceDN w:val="0"/>
        <w:adjustRightInd w:val="0"/>
        <w:spacing w:after="0" w:line="240" w:lineRule="auto"/>
        <w:ind w:left="1135" w:right="-6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  <w:r w:rsidRPr="004D3D7B"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 xml:space="preserve">2. </w:t>
      </w:r>
      <w:r w:rsidR="002F257A"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Цілі та завдання прийняття проекту Закону</w:t>
      </w:r>
    </w:p>
    <w:p w14:paraId="0F8E5D05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left="993" w:right="-6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</w:p>
    <w:p w14:paraId="6393304D" w14:textId="71CCCB79" w:rsidR="002F257A" w:rsidRDefault="002F257A">
      <w:pPr>
        <w:widowControl w:val="0"/>
        <w:autoSpaceDE w:val="0"/>
        <w:autoSpaceDN w:val="0"/>
        <w:adjustRightInd w:val="0"/>
        <w:spacing w:before="120" w:after="120" w:line="240" w:lineRule="auto"/>
        <w:ind w:right="-6" w:firstLine="993"/>
        <w:jc w:val="both"/>
        <w:rPr>
          <w:rFonts w:ascii="TimesNewRomanPSMT" w:hAnsi="TimesNewRomanPSMT" w:cs="TimesNewRomanPSMT"/>
          <w:spacing w:val="-6"/>
          <w:kern w:val="1"/>
          <w:sz w:val="28"/>
          <w:szCs w:val="28"/>
        </w:rPr>
      </w:pPr>
      <w:r>
        <w:rPr>
          <w:rFonts w:ascii="TimesNewRomanPSMT" w:hAnsi="TimesNewRomanPSMT" w:cs="TimesNewRomanPSMT"/>
          <w:spacing w:val="-6"/>
          <w:kern w:val="1"/>
          <w:sz w:val="28"/>
          <w:szCs w:val="28"/>
        </w:rPr>
        <w:t>Метою прийняття даного законопроекту є</w:t>
      </w:r>
      <w:r w:rsidR="001451D2" w:rsidRPr="001451D2">
        <w:rPr>
          <w:rFonts w:ascii="TimesNewRomanPSMT" w:hAnsi="TimesNewRomanPSMT" w:cs="TimesNewRomanPSMT"/>
          <w:spacing w:val="-6"/>
          <w:kern w:val="1"/>
          <w:sz w:val="28"/>
          <w:szCs w:val="28"/>
        </w:rPr>
        <w:t xml:space="preserve"> встановлення</w:t>
      </w:r>
      <w:r w:rsidR="001451D2">
        <w:rPr>
          <w:rFonts w:cs="TimesNewRomanPSMT"/>
          <w:spacing w:val="-6"/>
          <w:kern w:val="1"/>
          <w:sz w:val="28"/>
          <w:szCs w:val="28"/>
        </w:rPr>
        <w:t xml:space="preserve"> </w:t>
      </w:r>
      <w:r w:rsidR="001451D2" w:rsidRPr="001451D2">
        <w:rPr>
          <w:rFonts w:ascii="TimesNewRomanPSMT" w:hAnsi="TimesNewRomanPSMT" w:cs="TimesNewRomanPSMT"/>
          <w:spacing w:val="-6"/>
          <w:kern w:val="1"/>
          <w:sz w:val="28"/>
          <w:szCs w:val="28"/>
        </w:rPr>
        <w:t xml:space="preserve">граничного розміру виграшів в азартних іграх, </w:t>
      </w:r>
      <w:r w:rsidR="008536E1">
        <w:rPr>
          <w:rFonts w:cs="TimesNewRomanPSMT"/>
          <w:spacing w:val="-6"/>
          <w:kern w:val="1"/>
          <w:sz w:val="28"/>
          <w:szCs w:val="28"/>
        </w:rPr>
        <w:t>що</w:t>
      </w:r>
      <w:r w:rsidR="001451D2" w:rsidRPr="001451D2">
        <w:rPr>
          <w:rFonts w:ascii="TimesNewRomanPSMT" w:hAnsi="TimesNewRomanPSMT" w:cs="TimesNewRomanPSMT"/>
          <w:spacing w:val="-6"/>
          <w:kern w:val="1"/>
          <w:sz w:val="28"/>
          <w:szCs w:val="28"/>
        </w:rPr>
        <w:t xml:space="preserve"> не підлягають оподаткуванню податком на доходи фізичних осіб. </w:t>
      </w:r>
      <w:r>
        <w:rPr>
          <w:rFonts w:ascii="TimesNewRomanPSMT" w:hAnsi="TimesNewRomanPSMT" w:cs="TimesNewRomanPSMT"/>
          <w:spacing w:val="-6"/>
          <w:kern w:val="1"/>
          <w:sz w:val="28"/>
          <w:szCs w:val="28"/>
        </w:rPr>
        <w:t xml:space="preserve"> </w:t>
      </w:r>
    </w:p>
    <w:p w14:paraId="20B0EF9D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3EE51441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3.</w:t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  <w:t>Загальна характеристика і основні положення проекту Закону</w:t>
      </w:r>
    </w:p>
    <w:p w14:paraId="7546E09F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</w:p>
    <w:p w14:paraId="1CD867E3" w14:textId="5D90E96E" w:rsidR="002F257A" w:rsidRPr="004D3D7B" w:rsidRDefault="002F257A" w:rsidP="004D3D7B">
      <w:pPr>
        <w:widowControl w:val="0"/>
        <w:autoSpaceDE w:val="0"/>
        <w:autoSpaceDN w:val="0"/>
        <w:adjustRightInd w:val="0"/>
        <w:spacing w:before="120" w:after="120" w:line="240" w:lineRule="auto"/>
        <w:ind w:right="-6" w:firstLine="993"/>
        <w:jc w:val="both"/>
        <w:rPr>
          <w:rFonts w:ascii="TimesNewRomanPSMT" w:hAnsi="TimesNewRomanPSMT" w:cs="TimesNewRomanPSMT"/>
          <w:spacing w:val="-6"/>
          <w:kern w:val="1"/>
          <w:sz w:val="28"/>
          <w:szCs w:val="28"/>
        </w:rPr>
      </w:pPr>
      <w:r w:rsidRPr="004D3D7B">
        <w:rPr>
          <w:rFonts w:ascii="TimesNewRomanPSMT" w:hAnsi="TimesNewRomanPSMT" w:cs="TimesNewRomanPSMT"/>
          <w:spacing w:val="-6"/>
          <w:kern w:val="1"/>
          <w:sz w:val="28"/>
          <w:szCs w:val="28"/>
        </w:rPr>
        <w:t>Законопроект</w:t>
      </w:r>
      <w:r w:rsidR="004D3D7B" w:rsidRPr="004D3D7B">
        <w:rPr>
          <w:rFonts w:ascii="TimesNewRomanPSMT" w:hAnsi="TimesNewRomanPSMT" w:cs="TimesNewRomanPSMT"/>
          <w:spacing w:val="-6"/>
          <w:kern w:val="1"/>
          <w:sz w:val="28"/>
          <w:szCs w:val="28"/>
        </w:rPr>
        <w:t xml:space="preserve">ом </w:t>
      </w:r>
      <w:r w:rsidRPr="004D3D7B">
        <w:rPr>
          <w:rFonts w:ascii="TimesNewRomanPSMT" w:hAnsi="TimesNewRomanPSMT" w:cs="TimesNewRomanPSMT"/>
          <w:spacing w:val="-6"/>
          <w:kern w:val="1"/>
          <w:sz w:val="28"/>
          <w:szCs w:val="28"/>
        </w:rPr>
        <w:t xml:space="preserve"> </w:t>
      </w:r>
      <w:r w:rsidR="004D3D7B">
        <w:rPr>
          <w:rFonts w:ascii="TimesNewRomanPSMT" w:hAnsi="TimesNewRomanPSMT" w:cs="TimesNewRomanPSMT"/>
          <w:spacing w:val="-6"/>
          <w:kern w:val="1"/>
          <w:sz w:val="28"/>
          <w:szCs w:val="28"/>
        </w:rPr>
        <w:t>передбаче</w:t>
      </w:r>
      <w:r w:rsidR="004D3D7B" w:rsidRPr="004D3D7B">
        <w:rPr>
          <w:rFonts w:ascii="TimesNewRomanPSMT" w:hAnsi="TimesNewRomanPSMT" w:cs="TimesNewRomanPSMT"/>
          <w:spacing w:val="-6"/>
          <w:kern w:val="1"/>
          <w:sz w:val="28"/>
          <w:szCs w:val="28"/>
        </w:rPr>
        <w:t>но</w:t>
      </w:r>
      <w:r>
        <w:rPr>
          <w:rFonts w:ascii="TimesNewRomanPSMT" w:hAnsi="TimesNewRomanPSMT" w:cs="TimesNewRomanPSMT"/>
          <w:spacing w:val="-6"/>
          <w:kern w:val="1"/>
          <w:sz w:val="28"/>
          <w:szCs w:val="28"/>
        </w:rPr>
        <w:t xml:space="preserve"> звільнення від </w:t>
      </w:r>
      <w:r w:rsidRPr="004D3D7B">
        <w:rPr>
          <w:rFonts w:ascii="TimesNewRomanPSMT" w:hAnsi="TimesNewRomanPSMT" w:cs="TimesNewRomanPSMT"/>
          <w:spacing w:val="-6"/>
          <w:kern w:val="1"/>
          <w:sz w:val="28"/>
          <w:szCs w:val="28"/>
        </w:rPr>
        <w:t>оподаткування податком на доходи фізичних осіб та військовим збором виграшів в азартні ігри</w:t>
      </w:r>
      <w:r w:rsidR="004D3D7B" w:rsidRPr="004D3D7B">
        <w:rPr>
          <w:rFonts w:ascii="TimesNewRomanPSMT" w:hAnsi="TimesNewRomanPSMT" w:cs="TimesNewRomanPSMT"/>
          <w:spacing w:val="-6"/>
          <w:kern w:val="1"/>
          <w:sz w:val="28"/>
          <w:szCs w:val="28"/>
        </w:rPr>
        <w:t xml:space="preserve">, розмір яких не </w:t>
      </w:r>
      <w:r w:rsidR="004D3D7B" w:rsidRPr="004D3D7B">
        <w:rPr>
          <w:rFonts w:ascii="TimesNewRomanPSMT" w:hAnsi="TimesNewRomanPSMT" w:cs="TimesNewRomanPSMT"/>
          <w:spacing w:val="-6"/>
          <w:kern w:val="1"/>
          <w:sz w:val="28"/>
          <w:szCs w:val="28"/>
        </w:rPr>
        <w:lastRenderedPageBreak/>
        <w:t>перевищує 50 тисяч гривень</w:t>
      </w:r>
      <w:r w:rsidRPr="004D3D7B">
        <w:rPr>
          <w:rFonts w:ascii="TimesNewRomanPSMT" w:hAnsi="TimesNewRomanPSMT" w:cs="TimesNewRomanPSMT"/>
          <w:spacing w:val="-6"/>
          <w:kern w:val="1"/>
          <w:sz w:val="28"/>
          <w:szCs w:val="28"/>
        </w:rPr>
        <w:t>.</w:t>
      </w:r>
    </w:p>
    <w:p w14:paraId="35162C62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2EB178EE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4. Стан нормативно-правової бази у даній сфері правового регулювання</w:t>
      </w:r>
    </w:p>
    <w:p w14:paraId="69790751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</w:p>
    <w:p w14:paraId="631AABDB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 xml:space="preserve"> Нормативно-правова база у цій сфері складається з Податкового кодексу України.</w:t>
      </w:r>
    </w:p>
    <w:p w14:paraId="113FCCF3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57A63854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5.</w:t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  <w:t>Фінансово-економічне обґрунтування</w:t>
      </w:r>
    </w:p>
    <w:p w14:paraId="1ECBD53F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</w:p>
    <w:p w14:paraId="0CC0867D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 xml:space="preserve">Прийняття цього Закону не потребує збільшення видатків Державного бюджету України. </w:t>
      </w:r>
    </w:p>
    <w:p w14:paraId="50F43084" w14:textId="77777777" w:rsidR="00E85267" w:rsidRDefault="00E85267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cs="TimesNewRomanPSMT"/>
          <w:kern w:val="1"/>
          <w:sz w:val="28"/>
          <w:szCs w:val="28"/>
        </w:rPr>
      </w:pPr>
    </w:p>
    <w:p w14:paraId="42F62041" w14:textId="77777777" w:rsidR="00E85267" w:rsidRDefault="00E85267" w:rsidP="00E85267">
      <w:pPr>
        <w:suppressAutoHyphens/>
        <w:spacing w:after="0" w:line="240" w:lineRule="auto"/>
        <w:ind w:left="1" w:firstLineChars="202" w:firstLine="566"/>
        <w:contextualSpacing/>
        <w:jc w:val="both"/>
        <w:textDirection w:val="btLr"/>
        <w:textAlignment w:val="top"/>
        <w:outlineLvl w:val="0"/>
        <w:rPr>
          <w:rFonts w:ascii="Times New Roman" w:hAnsi="Times New Roman"/>
          <w:b/>
          <w:color w:val="000000"/>
          <w:position w:val="-1"/>
          <w:sz w:val="28"/>
          <w:szCs w:val="28"/>
          <w:lang w:eastAsia="ru-RU"/>
        </w:rPr>
      </w:pPr>
      <w:r w:rsidRPr="00035F66">
        <w:rPr>
          <w:rFonts w:ascii="Times New Roman" w:hAnsi="Times New Roman"/>
          <w:b/>
          <w:color w:val="000000"/>
          <w:position w:val="-1"/>
          <w:sz w:val="28"/>
          <w:szCs w:val="28"/>
          <w:lang w:val="ru-RU" w:eastAsia="ru-RU"/>
        </w:rPr>
        <w:t xml:space="preserve">    </w:t>
      </w:r>
      <w:r w:rsidRPr="00E85267">
        <w:rPr>
          <w:rFonts w:ascii="Times New Roman" w:hAnsi="Times New Roman"/>
          <w:b/>
          <w:color w:val="000000"/>
          <w:position w:val="-1"/>
          <w:sz w:val="28"/>
          <w:szCs w:val="28"/>
          <w:lang w:eastAsia="ru-RU"/>
        </w:rPr>
        <w:t>6. Запобігання корупції</w:t>
      </w:r>
    </w:p>
    <w:p w14:paraId="77403174" w14:textId="77777777" w:rsidR="00E85267" w:rsidRPr="00E85267" w:rsidRDefault="00E85267" w:rsidP="00E85267">
      <w:pPr>
        <w:suppressAutoHyphens/>
        <w:spacing w:after="0" w:line="240" w:lineRule="auto"/>
        <w:ind w:left="1" w:firstLineChars="202" w:firstLine="566"/>
        <w:contextualSpacing/>
        <w:jc w:val="both"/>
        <w:textDirection w:val="btLr"/>
        <w:textAlignment w:val="top"/>
        <w:outlineLvl w:val="0"/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</w:pPr>
    </w:p>
    <w:p w14:paraId="74B63928" w14:textId="77777777" w:rsidR="00E85267" w:rsidRPr="00E85267" w:rsidRDefault="00E85267" w:rsidP="00E85267">
      <w:pPr>
        <w:suppressAutoHyphens/>
        <w:spacing w:after="0" w:line="240" w:lineRule="auto"/>
        <w:ind w:left="1" w:firstLineChars="202" w:firstLine="566"/>
        <w:contextualSpacing/>
        <w:jc w:val="both"/>
        <w:textDirection w:val="btLr"/>
        <w:textAlignment w:val="top"/>
        <w:outlineLvl w:val="0"/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</w:pPr>
      <w:r w:rsidRPr="00E85267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>У проекті закону відсутні правила і процедури, які можуть містити ризики вчинення корупційних правопорушень.</w:t>
      </w:r>
    </w:p>
    <w:p w14:paraId="0DBBA3DA" w14:textId="77777777" w:rsidR="00E85267" w:rsidRPr="00E85267" w:rsidRDefault="00E85267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cs="TimesNewRomanPSMT"/>
          <w:kern w:val="1"/>
          <w:sz w:val="28"/>
          <w:szCs w:val="28"/>
        </w:rPr>
      </w:pPr>
    </w:p>
    <w:p w14:paraId="7289A075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24DDA689" w14:textId="77777777" w:rsidR="002F257A" w:rsidRDefault="00E85267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7</w:t>
      </w:r>
      <w:r w:rsidR="002F257A"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. Прогноз соціально-економічних та інших наслідків прийняття проекту Закону</w:t>
      </w:r>
    </w:p>
    <w:p w14:paraId="664A9D53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</w:pPr>
    </w:p>
    <w:p w14:paraId="578264E6" w14:textId="110B0268" w:rsidR="002F257A" w:rsidRPr="001451D2" w:rsidRDefault="002F257A" w:rsidP="001451D2">
      <w:pPr>
        <w:suppressAutoHyphens/>
        <w:spacing w:after="0" w:line="240" w:lineRule="auto"/>
        <w:ind w:left="1" w:firstLineChars="202" w:firstLine="566"/>
        <w:contextualSpacing/>
        <w:jc w:val="both"/>
        <w:textAlignment w:val="top"/>
        <w:outlineLvl w:val="0"/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</w:pPr>
      <w:r w:rsidRPr="001451D2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 xml:space="preserve">Прийняття проекту Закону сприятиме </w:t>
      </w:r>
      <w:r w:rsidR="008536E1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>детінізації</w:t>
      </w:r>
      <w:r w:rsidR="001451D2" w:rsidRPr="001451D2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 xml:space="preserve"> ігорного біз</w:t>
      </w:r>
      <w:r w:rsidR="001451D2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>н</w:t>
      </w:r>
      <w:r w:rsidR="001451D2" w:rsidRPr="001451D2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>есу в Україні</w:t>
      </w:r>
      <w:r w:rsidRPr="001451D2">
        <w:rPr>
          <w:rFonts w:ascii="Times New Roman" w:hAnsi="Times New Roman"/>
          <w:color w:val="000000"/>
          <w:position w:val="-1"/>
          <w:sz w:val="28"/>
          <w:szCs w:val="28"/>
          <w:lang w:eastAsia="ru-RU"/>
        </w:rPr>
        <w:t xml:space="preserve">. </w:t>
      </w:r>
    </w:p>
    <w:p w14:paraId="4065AD09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17AC182D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40282B06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60075341" w14:textId="08FFD14A" w:rsidR="002F257A" w:rsidRPr="00E85267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cs="TimesNewRomanPS-BoldMT"/>
          <w:b/>
          <w:bCs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>Народн</w:t>
      </w:r>
      <w:r w:rsidR="0096489B">
        <w:rPr>
          <w:rFonts w:cs="TimesNewRomanPS-BoldMT"/>
          <w:b/>
          <w:bCs/>
          <w:kern w:val="1"/>
          <w:sz w:val="28"/>
          <w:szCs w:val="28"/>
        </w:rPr>
        <w:t>і</w:t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 xml:space="preserve"> депутат</w:t>
      </w:r>
      <w:r w:rsidR="0096489B">
        <w:rPr>
          <w:rFonts w:cs="TimesNewRomanPS-BoldMT"/>
          <w:b/>
          <w:bCs/>
          <w:kern w:val="1"/>
          <w:sz w:val="28"/>
          <w:szCs w:val="28"/>
        </w:rPr>
        <w:t>и</w:t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 xml:space="preserve"> України</w:t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 w:rsidR="00E85267" w:rsidRPr="00E85267">
        <w:rPr>
          <w:rFonts w:ascii="TimesNewRomanPS-BoldMT" w:hAnsi="TimesNewRomanPS-BoldMT" w:cs="TimesNewRomanPS-BoldMT"/>
          <w:b/>
          <w:bCs/>
          <w:kern w:val="1"/>
          <w:sz w:val="28"/>
          <w:szCs w:val="28"/>
          <w:lang w:val="ru-RU"/>
        </w:rPr>
        <w:t xml:space="preserve">      </w:t>
      </w:r>
      <w:r w:rsidR="00E85267">
        <w:rPr>
          <w:rFonts w:ascii="TimesNewRomanPS-BoldMT" w:hAnsi="TimesNewRomanPS-BoldMT" w:cs="TimesNewRomanPS-BoldMT"/>
          <w:b/>
          <w:bCs/>
          <w:kern w:val="1"/>
          <w:sz w:val="28"/>
          <w:szCs w:val="28"/>
          <w:lang w:val="ru-RU"/>
        </w:rPr>
        <w:t xml:space="preserve">    </w:t>
      </w:r>
    </w:p>
    <w:p w14:paraId="1411C8CC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  <w:r>
        <w:rPr>
          <w:rFonts w:ascii="TimesNewRomanPS-BoldMT" w:hAnsi="TimesNewRomanPS-BoldMT" w:cs="TimesNewRomanPS-BoldMT"/>
          <w:b/>
          <w:bCs/>
          <w:kern w:val="1"/>
          <w:sz w:val="28"/>
          <w:szCs w:val="28"/>
        </w:rPr>
        <w:tab/>
      </w:r>
    </w:p>
    <w:p w14:paraId="0950E7F8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7FDFCEDC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14:paraId="480FCFD9" w14:textId="77777777" w:rsidR="002F257A" w:rsidRDefault="002F257A">
      <w:pPr>
        <w:widowControl w:val="0"/>
        <w:autoSpaceDE w:val="0"/>
        <w:autoSpaceDN w:val="0"/>
        <w:adjustRightInd w:val="0"/>
        <w:spacing w:after="0" w:line="240" w:lineRule="auto"/>
        <w:ind w:right="-6" w:firstLine="993"/>
        <w:rPr>
          <w:rFonts w:ascii="TimesNewRomanPSMT" w:hAnsi="TimesNewRomanPSMT" w:cs="TimesNewRomanPSMT"/>
          <w:kern w:val="1"/>
          <w:sz w:val="28"/>
          <w:szCs w:val="28"/>
        </w:rPr>
      </w:pPr>
    </w:p>
    <w:sectPr w:rsidR="002F257A">
      <w:headerReference w:type="default" r:id="rId10"/>
      <w:pgSz w:w="11900" w:h="16840"/>
      <w:pgMar w:top="1134" w:right="850" w:bottom="1134" w:left="1701" w:header="708" w:footer="708" w:gutter="0"/>
      <w:cols w:space="720"/>
      <w:noEndnote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4CC2C" w14:textId="77777777" w:rsidR="0058648C" w:rsidRDefault="0058648C" w:rsidP="00BF1623">
      <w:pPr>
        <w:spacing w:after="0" w:line="240" w:lineRule="auto"/>
      </w:pPr>
      <w:r>
        <w:separator/>
      </w:r>
    </w:p>
  </w:endnote>
  <w:endnote w:type="continuationSeparator" w:id="0">
    <w:p w14:paraId="43AE64DF" w14:textId="77777777" w:rsidR="0058648C" w:rsidRDefault="0058648C" w:rsidP="00BF1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BDCF4" w14:textId="77777777" w:rsidR="0058648C" w:rsidRDefault="0058648C" w:rsidP="00BF1623">
      <w:pPr>
        <w:spacing w:after="0" w:line="240" w:lineRule="auto"/>
      </w:pPr>
      <w:r>
        <w:separator/>
      </w:r>
    </w:p>
  </w:footnote>
  <w:footnote w:type="continuationSeparator" w:id="0">
    <w:p w14:paraId="70AE0C43" w14:textId="77777777" w:rsidR="0058648C" w:rsidRDefault="0058648C" w:rsidP="00BF1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244023"/>
      <w:docPartObj>
        <w:docPartGallery w:val="Page Numbers (Top of Page)"/>
        <w:docPartUnique/>
      </w:docPartObj>
    </w:sdtPr>
    <w:sdtEndPr/>
    <w:sdtContent>
      <w:p w14:paraId="1F069230" w14:textId="4FD3D9CC" w:rsidR="00BF1623" w:rsidRDefault="00BF162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663E">
          <w:rPr>
            <w:noProof/>
          </w:rPr>
          <w:t>1</w:t>
        </w:r>
        <w:r>
          <w:fldChar w:fldCharType="end"/>
        </w:r>
      </w:p>
    </w:sdtContent>
  </w:sdt>
  <w:p w14:paraId="455A202C" w14:textId="77777777" w:rsidR="00BF1623" w:rsidRDefault="00BF16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267"/>
    <w:rsid w:val="00035F66"/>
    <w:rsid w:val="001451D2"/>
    <w:rsid w:val="001F37D6"/>
    <w:rsid w:val="002F257A"/>
    <w:rsid w:val="003F7837"/>
    <w:rsid w:val="00434C9B"/>
    <w:rsid w:val="0045756E"/>
    <w:rsid w:val="004D39BC"/>
    <w:rsid w:val="004D3D7B"/>
    <w:rsid w:val="0058648C"/>
    <w:rsid w:val="00587392"/>
    <w:rsid w:val="005C16C0"/>
    <w:rsid w:val="006760CA"/>
    <w:rsid w:val="008536E1"/>
    <w:rsid w:val="0096489B"/>
    <w:rsid w:val="009A04D6"/>
    <w:rsid w:val="00BF1623"/>
    <w:rsid w:val="00E85267"/>
    <w:rsid w:val="00EF663E"/>
    <w:rsid w:val="00F3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A44739"/>
  <w14:defaultImageDpi w14:val="0"/>
  <w15:docId w15:val="{E2174D70-539D-4FDE-B9B4-D60061531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6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F1623"/>
  </w:style>
  <w:style w:type="paragraph" w:styleId="a5">
    <w:name w:val="footer"/>
    <w:basedOn w:val="a"/>
    <w:link w:val="a6"/>
    <w:uiPriority w:val="99"/>
    <w:unhideWhenUsed/>
    <w:rsid w:val="00BF16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F1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96F71-ACDE-4792-85CF-3432D91DC1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6CA6BA-E0FF-4D69-89C9-9EF194DC80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B8D5E4-4109-4A4A-BD8E-C7C130EE90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1762</Words>
  <Characters>1005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2021-02-09T08:41:00Z</dcterms:created>
  <dcterms:modified xsi:type="dcterms:W3CDTF">2021-02-09T08:41:00Z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