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23959" w14:textId="77777777" w:rsidR="00D91BF9" w:rsidRPr="00D91BF9" w:rsidRDefault="00D91BF9" w:rsidP="00EA52BA">
      <w:pPr>
        <w:spacing w:after="120" w:line="240" w:lineRule="auto"/>
        <w:jc w:val="right"/>
        <w:rPr>
          <w:rFonts w:ascii="Times New Roman" w:eastAsia="Times New Roman" w:hAnsi="Times New Roman" w:cs="Times New Roman"/>
          <w:sz w:val="24"/>
          <w:szCs w:val="24"/>
        </w:rPr>
      </w:pPr>
      <w:bookmarkStart w:id="0" w:name="_GoBack"/>
      <w:bookmarkEnd w:id="0"/>
      <w:r w:rsidRPr="00D91BF9">
        <w:rPr>
          <w:rFonts w:ascii="Times New Roman" w:eastAsia="Times New Roman" w:hAnsi="Times New Roman" w:cs="Times New Roman"/>
          <w:color w:val="000000"/>
          <w:sz w:val="28"/>
          <w:szCs w:val="28"/>
        </w:rPr>
        <w:t>ПРОЕКТ </w:t>
      </w:r>
    </w:p>
    <w:p w14:paraId="715EF5BA" w14:textId="77777777" w:rsidR="00D91BF9" w:rsidRPr="00D91BF9" w:rsidRDefault="00D91BF9" w:rsidP="00EA52BA">
      <w:pPr>
        <w:spacing w:after="120" w:line="240" w:lineRule="auto"/>
        <w:jc w:val="right"/>
        <w:rPr>
          <w:rFonts w:ascii="Times New Roman" w:eastAsia="Times New Roman" w:hAnsi="Times New Roman" w:cs="Times New Roman"/>
          <w:sz w:val="24"/>
          <w:szCs w:val="24"/>
        </w:rPr>
      </w:pPr>
      <w:r w:rsidRPr="00D91BF9">
        <w:rPr>
          <w:rFonts w:ascii="Times New Roman" w:eastAsia="Times New Roman" w:hAnsi="Times New Roman" w:cs="Times New Roman"/>
          <w:color w:val="000000"/>
          <w:sz w:val="28"/>
          <w:szCs w:val="28"/>
        </w:rPr>
        <w:t>вноситься народними</w:t>
      </w:r>
    </w:p>
    <w:p w14:paraId="6305DE13" w14:textId="6CFE29DB" w:rsidR="000C253F" w:rsidRPr="00D37794" w:rsidRDefault="00D91BF9" w:rsidP="000C253F">
      <w:pPr>
        <w:spacing w:after="120" w:line="240" w:lineRule="auto"/>
        <w:jc w:val="right"/>
        <w:rPr>
          <w:rFonts w:ascii="Times New Roman" w:eastAsia="Times New Roman" w:hAnsi="Times New Roman" w:cs="Times New Roman"/>
          <w:sz w:val="24"/>
          <w:szCs w:val="24"/>
        </w:rPr>
      </w:pPr>
      <w:r w:rsidRPr="00D91BF9">
        <w:rPr>
          <w:rFonts w:ascii="Times New Roman" w:eastAsia="Times New Roman" w:hAnsi="Times New Roman" w:cs="Times New Roman"/>
          <w:color w:val="000000"/>
          <w:sz w:val="28"/>
          <w:szCs w:val="28"/>
        </w:rPr>
        <w:t>депутатами України</w:t>
      </w:r>
      <w:r w:rsidR="00D37794">
        <w:rPr>
          <w:rFonts w:ascii="Times New Roman" w:eastAsia="Times New Roman" w:hAnsi="Times New Roman" w:cs="Times New Roman"/>
          <w:color w:val="000000"/>
          <w:sz w:val="28"/>
          <w:szCs w:val="28"/>
        </w:rPr>
        <w:t xml:space="preserve"> </w:t>
      </w:r>
    </w:p>
    <w:p w14:paraId="2D83AD08" w14:textId="065F1E43" w:rsidR="00D37794" w:rsidRPr="00D37794" w:rsidRDefault="00D37794" w:rsidP="00EA52BA">
      <w:pPr>
        <w:spacing w:after="120" w:line="240" w:lineRule="auto"/>
        <w:jc w:val="right"/>
        <w:rPr>
          <w:rFonts w:ascii="Times New Roman" w:eastAsia="Times New Roman" w:hAnsi="Times New Roman" w:cs="Times New Roman"/>
          <w:sz w:val="24"/>
          <w:szCs w:val="24"/>
        </w:rPr>
      </w:pPr>
    </w:p>
    <w:p w14:paraId="0806C9A2" w14:textId="77777777" w:rsidR="00D37794" w:rsidRDefault="00D37794" w:rsidP="00EA52BA">
      <w:pPr>
        <w:spacing w:after="120" w:line="240" w:lineRule="auto"/>
        <w:rPr>
          <w:rFonts w:ascii="Times New Roman" w:eastAsia="Times New Roman" w:hAnsi="Times New Roman" w:cs="Times New Roman"/>
          <w:sz w:val="24"/>
          <w:szCs w:val="24"/>
        </w:rPr>
      </w:pPr>
    </w:p>
    <w:p w14:paraId="4906756E" w14:textId="77777777" w:rsidR="009C54D8" w:rsidRPr="00D91BF9" w:rsidRDefault="009C54D8" w:rsidP="009C54D8">
      <w:pPr>
        <w:tabs>
          <w:tab w:val="left" w:pos="8595"/>
        </w:tabs>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73256254" w14:textId="7EDAD544" w:rsidR="00D91BF9" w:rsidRPr="00D91BF9" w:rsidRDefault="00D91BF9" w:rsidP="009C54D8">
      <w:pPr>
        <w:tabs>
          <w:tab w:val="left" w:pos="8595"/>
        </w:tabs>
        <w:spacing w:after="120" w:line="240" w:lineRule="auto"/>
        <w:rPr>
          <w:rFonts w:ascii="Times New Roman" w:eastAsia="Times New Roman" w:hAnsi="Times New Roman" w:cs="Times New Roman"/>
          <w:sz w:val="24"/>
          <w:szCs w:val="24"/>
        </w:rPr>
      </w:pPr>
    </w:p>
    <w:p w14:paraId="7C3A3223" w14:textId="77777777" w:rsidR="00D91BF9" w:rsidRPr="00D91BF9" w:rsidRDefault="00D91BF9" w:rsidP="00EA52BA">
      <w:pPr>
        <w:spacing w:after="120" w:line="240" w:lineRule="auto"/>
        <w:jc w:val="center"/>
        <w:rPr>
          <w:rFonts w:ascii="Times New Roman" w:eastAsia="Times New Roman" w:hAnsi="Times New Roman" w:cs="Times New Roman"/>
          <w:sz w:val="24"/>
          <w:szCs w:val="24"/>
        </w:rPr>
      </w:pPr>
      <w:r w:rsidRPr="00D91BF9">
        <w:rPr>
          <w:rFonts w:ascii="Times New Roman" w:eastAsia="Times New Roman" w:hAnsi="Times New Roman" w:cs="Times New Roman"/>
          <w:b/>
          <w:bCs/>
          <w:color w:val="000000"/>
          <w:sz w:val="28"/>
          <w:szCs w:val="28"/>
        </w:rPr>
        <w:t>ЗАКОН УКРАЇНИ</w:t>
      </w:r>
    </w:p>
    <w:p w14:paraId="5FA27235" w14:textId="3C82803A" w:rsidR="00D91BF9" w:rsidRPr="00D91BF9" w:rsidRDefault="00D91BF9" w:rsidP="00EA52BA">
      <w:pPr>
        <w:shd w:val="clear" w:color="auto" w:fill="FFFFFF"/>
        <w:spacing w:after="120" w:line="240" w:lineRule="auto"/>
        <w:jc w:val="center"/>
        <w:rPr>
          <w:rFonts w:ascii="Times New Roman" w:eastAsia="Times New Roman" w:hAnsi="Times New Roman" w:cs="Times New Roman"/>
          <w:sz w:val="24"/>
          <w:szCs w:val="24"/>
        </w:rPr>
      </w:pPr>
    </w:p>
    <w:p w14:paraId="4400AA20" w14:textId="4826C53A" w:rsidR="00B17A9B" w:rsidRPr="00B17A9B" w:rsidRDefault="00D91BF9" w:rsidP="00B17A9B">
      <w:pPr>
        <w:shd w:val="clear" w:color="auto" w:fill="FFFFFF"/>
        <w:spacing w:after="120" w:line="240" w:lineRule="auto"/>
        <w:contextualSpacing/>
        <w:jc w:val="center"/>
        <w:rPr>
          <w:rFonts w:ascii="Times New Roman" w:eastAsia="Times New Roman" w:hAnsi="Times New Roman" w:cs="Times New Roman"/>
          <w:b/>
          <w:bCs/>
          <w:color w:val="000000"/>
          <w:sz w:val="28"/>
          <w:szCs w:val="28"/>
        </w:rPr>
      </w:pPr>
      <w:r w:rsidRPr="00D91BF9">
        <w:rPr>
          <w:rFonts w:ascii="Times New Roman" w:eastAsia="Times New Roman" w:hAnsi="Times New Roman" w:cs="Times New Roman"/>
          <w:b/>
          <w:bCs/>
          <w:color w:val="000000"/>
          <w:sz w:val="28"/>
          <w:szCs w:val="28"/>
        </w:rPr>
        <w:t xml:space="preserve">про внесення змін до </w:t>
      </w:r>
      <w:r w:rsidR="00B17A9B" w:rsidRPr="00B17A9B">
        <w:rPr>
          <w:rFonts w:ascii="Times New Roman" w:eastAsia="Times New Roman" w:hAnsi="Times New Roman" w:cs="Times New Roman"/>
          <w:b/>
          <w:bCs/>
          <w:color w:val="000000"/>
          <w:sz w:val="28"/>
          <w:szCs w:val="28"/>
        </w:rPr>
        <w:t>Податкового кодексу України</w:t>
      </w:r>
    </w:p>
    <w:p w14:paraId="1C4196B3" w14:textId="688B6ECE" w:rsidR="00D91BF9" w:rsidRPr="00D37794" w:rsidRDefault="00B17A9B" w:rsidP="00B17A9B">
      <w:pPr>
        <w:shd w:val="clear" w:color="auto" w:fill="FFFFFF"/>
        <w:spacing w:after="120" w:line="240" w:lineRule="auto"/>
        <w:contextualSpacing/>
        <w:jc w:val="center"/>
        <w:rPr>
          <w:rFonts w:ascii="Times New Roman" w:eastAsia="Times New Roman" w:hAnsi="Times New Roman" w:cs="Times New Roman"/>
          <w:sz w:val="24"/>
          <w:szCs w:val="24"/>
        </w:rPr>
      </w:pPr>
      <w:r w:rsidRPr="00B17A9B">
        <w:rPr>
          <w:rFonts w:ascii="Times New Roman" w:eastAsia="Times New Roman" w:hAnsi="Times New Roman" w:cs="Times New Roman"/>
          <w:b/>
          <w:bCs/>
          <w:color w:val="000000"/>
          <w:sz w:val="28"/>
          <w:szCs w:val="28"/>
        </w:rPr>
        <w:t xml:space="preserve"> щодо особливостей оподаткування деяких доходів</w:t>
      </w:r>
    </w:p>
    <w:p w14:paraId="1B3F2360" w14:textId="77777777" w:rsidR="00D91BF9" w:rsidRPr="00D91BF9" w:rsidRDefault="00D91BF9" w:rsidP="00EA52BA">
      <w:pPr>
        <w:shd w:val="clear" w:color="auto" w:fill="FFFFFF"/>
        <w:spacing w:after="120" w:line="240" w:lineRule="auto"/>
        <w:jc w:val="center"/>
        <w:rPr>
          <w:rFonts w:ascii="Times New Roman" w:eastAsia="Times New Roman" w:hAnsi="Times New Roman" w:cs="Times New Roman"/>
          <w:sz w:val="24"/>
          <w:szCs w:val="24"/>
        </w:rPr>
      </w:pPr>
      <w:r w:rsidRPr="00D91BF9">
        <w:rPr>
          <w:rFonts w:ascii="Times New Roman" w:eastAsia="Times New Roman" w:hAnsi="Times New Roman" w:cs="Times New Roman"/>
          <w:sz w:val="24"/>
          <w:szCs w:val="24"/>
        </w:rPr>
        <w:t> </w:t>
      </w:r>
    </w:p>
    <w:p w14:paraId="603CE540" w14:textId="663C0D62" w:rsidR="00D91BF9" w:rsidRPr="00D91BF9" w:rsidRDefault="00D91BF9" w:rsidP="00EA52BA">
      <w:pPr>
        <w:spacing w:after="120" w:line="240" w:lineRule="auto"/>
        <w:ind w:firstLine="709"/>
        <w:rPr>
          <w:rFonts w:ascii="Times New Roman" w:eastAsia="Times New Roman" w:hAnsi="Times New Roman" w:cs="Times New Roman"/>
          <w:sz w:val="24"/>
          <w:szCs w:val="24"/>
        </w:rPr>
      </w:pPr>
      <w:r w:rsidRPr="00D91BF9">
        <w:rPr>
          <w:rFonts w:ascii="Times New Roman" w:eastAsia="Times New Roman" w:hAnsi="Times New Roman" w:cs="Times New Roman"/>
          <w:color w:val="000000"/>
          <w:sz w:val="28"/>
          <w:szCs w:val="28"/>
        </w:rPr>
        <w:t>Верховна Рада України</w:t>
      </w:r>
      <w:r w:rsidR="00175699">
        <w:rPr>
          <w:rFonts w:ascii="Times New Roman" w:eastAsia="Times New Roman" w:hAnsi="Times New Roman" w:cs="Times New Roman"/>
          <w:color w:val="000000"/>
          <w:sz w:val="28"/>
          <w:szCs w:val="28"/>
        </w:rPr>
        <w:t xml:space="preserve"> </w:t>
      </w:r>
      <w:r w:rsidRPr="00D91BF9">
        <w:rPr>
          <w:rFonts w:ascii="Times New Roman" w:eastAsia="Times New Roman" w:hAnsi="Times New Roman" w:cs="Times New Roman"/>
          <w:b/>
          <w:bCs/>
          <w:color w:val="000000"/>
          <w:sz w:val="28"/>
          <w:szCs w:val="28"/>
        </w:rPr>
        <w:t>п о с т а н о в л я є</w:t>
      </w:r>
      <w:r w:rsidRPr="00D91BF9">
        <w:rPr>
          <w:rFonts w:ascii="Times New Roman" w:eastAsia="Times New Roman" w:hAnsi="Times New Roman" w:cs="Times New Roman"/>
          <w:color w:val="000000"/>
          <w:sz w:val="28"/>
          <w:szCs w:val="28"/>
        </w:rPr>
        <w:t>:</w:t>
      </w:r>
    </w:p>
    <w:p w14:paraId="1B33BE1D" w14:textId="77777777" w:rsidR="00D91BF9" w:rsidRPr="00D91BF9" w:rsidRDefault="00D91BF9" w:rsidP="00EA52BA">
      <w:pPr>
        <w:spacing w:after="120" w:line="240" w:lineRule="auto"/>
        <w:ind w:firstLine="709"/>
        <w:rPr>
          <w:rFonts w:ascii="Times New Roman" w:eastAsia="Times New Roman" w:hAnsi="Times New Roman" w:cs="Times New Roman"/>
          <w:sz w:val="24"/>
          <w:szCs w:val="24"/>
        </w:rPr>
      </w:pPr>
    </w:p>
    <w:p w14:paraId="4D117F0A" w14:textId="5600B63F" w:rsidR="00D91BF9" w:rsidRPr="008D1A81" w:rsidRDefault="00175699" w:rsidP="008D1A81">
      <w:pPr>
        <w:pStyle w:val="Rvps2"/>
        <w:spacing w:before="0" w:after="120"/>
        <w:ind w:firstLine="567"/>
        <w:jc w:val="both"/>
        <w:rPr>
          <w:color w:val="000000"/>
          <w:sz w:val="28"/>
          <w:szCs w:val="28"/>
        </w:rPr>
      </w:pPr>
      <w:r>
        <w:rPr>
          <w:color w:val="000000"/>
          <w:sz w:val="28"/>
          <w:szCs w:val="28"/>
        </w:rPr>
        <w:t xml:space="preserve"> </w:t>
      </w:r>
      <w:r w:rsidR="00D91BF9" w:rsidRPr="00D91BF9">
        <w:rPr>
          <w:color w:val="000000"/>
          <w:sz w:val="28"/>
          <w:szCs w:val="28"/>
        </w:rPr>
        <w:t>І. Внести до Податкового кодексу України (Відомості Верховної Ради України, 2011 р., № №13–17, ст.112</w:t>
      </w:r>
      <w:r w:rsidR="00B17A9B">
        <w:rPr>
          <w:color w:val="000000"/>
          <w:sz w:val="28"/>
          <w:szCs w:val="28"/>
        </w:rPr>
        <w:t xml:space="preserve"> із наступними змінами</w:t>
      </w:r>
      <w:r w:rsidR="00D91BF9" w:rsidRPr="00D91BF9">
        <w:rPr>
          <w:color w:val="000000"/>
          <w:sz w:val="28"/>
          <w:szCs w:val="28"/>
        </w:rPr>
        <w:t>) такі зміни:</w:t>
      </w:r>
    </w:p>
    <w:p w14:paraId="334389E3" w14:textId="2E3D917C" w:rsidR="00D91BF9" w:rsidRPr="008D1A81" w:rsidRDefault="00B728C6" w:rsidP="008D1A81">
      <w:pPr>
        <w:pStyle w:val="Rvps2"/>
        <w:spacing w:before="0" w:after="120"/>
        <w:ind w:firstLine="567"/>
        <w:jc w:val="both"/>
        <w:rPr>
          <w:color w:val="000000"/>
          <w:sz w:val="28"/>
          <w:szCs w:val="28"/>
        </w:rPr>
      </w:pPr>
      <w:r w:rsidRPr="008D1A81">
        <w:rPr>
          <w:color w:val="000000"/>
          <w:sz w:val="28"/>
          <w:szCs w:val="28"/>
        </w:rPr>
        <w:t xml:space="preserve">1. </w:t>
      </w:r>
      <w:r w:rsidR="00D91BF9" w:rsidRPr="008D1A81">
        <w:rPr>
          <w:color w:val="000000"/>
          <w:sz w:val="28"/>
          <w:szCs w:val="28"/>
        </w:rPr>
        <w:t xml:space="preserve">У </w:t>
      </w:r>
      <w:r w:rsidRPr="00B728C6">
        <w:rPr>
          <w:color w:val="000000"/>
          <w:sz w:val="28"/>
          <w:szCs w:val="28"/>
        </w:rPr>
        <w:t>пункті 14.1</w:t>
      </w:r>
      <w:r w:rsidR="00D91BF9" w:rsidRPr="008D1A81">
        <w:rPr>
          <w:color w:val="000000"/>
          <w:sz w:val="28"/>
          <w:szCs w:val="28"/>
        </w:rPr>
        <w:t>статті 14:</w:t>
      </w:r>
    </w:p>
    <w:p w14:paraId="67983388" w14:textId="0B258ABA" w:rsidR="00D91BF9" w:rsidRDefault="008A2778" w:rsidP="008D1A81">
      <w:pPr>
        <w:pStyle w:val="Rvps2"/>
        <w:spacing w:before="0" w:after="120"/>
        <w:ind w:firstLine="567"/>
        <w:jc w:val="both"/>
        <w:rPr>
          <w:color w:val="000000"/>
          <w:sz w:val="28"/>
          <w:szCs w:val="28"/>
        </w:rPr>
      </w:pPr>
      <w:r>
        <w:rPr>
          <w:color w:val="000000"/>
          <w:sz w:val="28"/>
          <w:szCs w:val="28"/>
        </w:rPr>
        <w:t>у підпункті 14.1.46 слова «лотерей, а також»</w:t>
      </w:r>
      <w:r w:rsidR="00D91BF9" w:rsidRPr="00D91BF9">
        <w:rPr>
          <w:color w:val="000000"/>
          <w:sz w:val="28"/>
          <w:szCs w:val="28"/>
        </w:rPr>
        <w:t xml:space="preserve"> виключити</w:t>
      </w:r>
      <w:r>
        <w:rPr>
          <w:color w:val="000000"/>
          <w:sz w:val="28"/>
          <w:szCs w:val="28"/>
        </w:rPr>
        <w:t xml:space="preserve"> </w:t>
      </w:r>
      <w:r w:rsidR="00D91BF9" w:rsidRPr="00D91BF9">
        <w:rPr>
          <w:color w:val="000000"/>
          <w:sz w:val="28"/>
          <w:szCs w:val="28"/>
        </w:rPr>
        <w:t>та доповнити реченням такого змісту:</w:t>
      </w:r>
      <w:r w:rsidR="00175699">
        <w:rPr>
          <w:color w:val="000000"/>
          <w:sz w:val="28"/>
          <w:szCs w:val="28"/>
        </w:rPr>
        <w:t xml:space="preserve"> </w:t>
      </w:r>
      <w:r>
        <w:rPr>
          <w:color w:val="000000"/>
          <w:sz w:val="28"/>
          <w:szCs w:val="28"/>
        </w:rPr>
        <w:t>«</w:t>
      </w:r>
      <w:r w:rsidR="00B17A9B" w:rsidRPr="00B17A9B">
        <w:rPr>
          <w:color w:val="000000"/>
          <w:sz w:val="28"/>
          <w:szCs w:val="28"/>
        </w:rPr>
        <w:t>До діяльності у сфері розваг не відноситься діяльність з організації та проведення азартних ігор та  діяльність з випуску та проведення лотерей</w:t>
      </w:r>
      <w:r>
        <w:rPr>
          <w:color w:val="000000"/>
          <w:sz w:val="28"/>
          <w:szCs w:val="28"/>
        </w:rPr>
        <w:t>»</w:t>
      </w:r>
      <w:r w:rsidR="00D91BF9" w:rsidRPr="00D91BF9">
        <w:rPr>
          <w:color w:val="000000"/>
          <w:sz w:val="28"/>
          <w:szCs w:val="28"/>
        </w:rPr>
        <w:t>;</w:t>
      </w:r>
    </w:p>
    <w:p w14:paraId="3F2587B0" w14:textId="46A8C2A5" w:rsidR="00884B18" w:rsidRPr="008D1A81" w:rsidRDefault="00884B18" w:rsidP="008D1A81">
      <w:pPr>
        <w:pStyle w:val="Rvps2"/>
        <w:spacing w:before="0" w:after="120"/>
        <w:ind w:firstLine="567"/>
        <w:jc w:val="both"/>
        <w:rPr>
          <w:color w:val="000000"/>
          <w:sz w:val="28"/>
          <w:szCs w:val="28"/>
        </w:rPr>
      </w:pPr>
      <w:r>
        <w:rPr>
          <w:color w:val="000000"/>
          <w:sz w:val="28"/>
          <w:szCs w:val="28"/>
        </w:rPr>
        <w:t>підпункт 14.1.271</w:t>
      </w:r>
      <w:r w:rsidR="00B728C6" w:rsidRPr="008D1A81">
        <w:rPr>
          <w:color w:val="000000"/>
          <w:sz w:val="28"/>
          <w:szCs w:val="28"/>
        </w:rPr>
        <w:t xml:space="preserve"> </w:t>
      </w:r>
      <w:r w:rsidR="00B728C6">
        <w:rPr>
          <w:color w:val="000000"/>
          <w:sz w:val="28"/>
          <w:szCs w:val="28"/>
        </w:rPr>
        <w:t>виключити</w:t>
      </w:r>
      <w:r w:rsidRPr="008D1A81">
        <w:rPr>
          <w:color w:val="000000"/>
          <w:sz w:val="28"/>
          <w:szCs w:val="28"/>
        </w:rPr>
        <w:t>;</w:t>
      </w:r>
    </w:p>
    <w:p w14:paraId="4E2F7B19" w14:textId="253FDDD1" w:rsidR="00D91BF9" w:rsidRPr="008D1A81" w:rsidRDefault="00B728C6" w:rsidP="008D1A81">
      <w:pPr>
        <w:pStyle w:val="Rvps2"/>
        <w:spacing w:before="0" w:after="120"/>
        <w:ind w:firstLine="567"/>
        <w:jc w:val="both"/>
        <w:rPr>
          <w:color w:val="000000"/>
          <w:sz w:val="28"/>
          <w:szCs w:val="28"/>
        </w:rPr>
      </w:pPr>
      <w:r w:rsidRPr="008D1A81">
        <w:rPr>
          <w:color w:val="000000"/>
          <w:sz w:val="28"/>
          <w:szCs w:val="28"/>
        </w:rPr>
        <w:t>2. П</w:t>
      </w:r>
      <w:r w:rsidR="00D91BF9" w:rsidRPr="008D1A81">
        <w:rPr>
          <w:color w:val="000000"/>
          <w:sz w:val="28"/>
          <w:szCs w:val="28"/>
        </w:rPr>
        <w:t>ідпункт 20.1.40 пункту 20.1 статті 20 виключити.</w:t>
      </w:r>
    </w:p>
    <w:p w14:paraId="3AF8D858" w14:textId="1A85313E" w:rsidR="004F5DE1" w:rsidRPr="008D1A81" w:rsidRDefault="00B728C6" w:rsidP="008D1A81">
      <w:pPr>
        <w:pStyle w:val="Rvps2"/>
        <w:spacing w:before="0" w:after="120"/>
        <w:ind w:firstLine="567"/>
        <w:jc w:val="both"/>
        <w:rPr>
          <w:color w:val="000000"/>
          <w:sz w:val="28"/>
          <w:szCs w:val="28"/>
        </w:rPr>
      </w:pPr>
      <w:r w:rsidRPr="008D1A81">
        <w:rPr>
          <w:color w:val="000000"/>
          <w:sz w:val="28"/>
          <w:szCs w:val="28"/>
        </w:rPr>
        <w:t xml:space="preserve">3. </w:t>
      </w:r>
      <w:r w:rsidR="00FA5E3A" w:rsidRPr="008D1A81">
        <w:rPr>
          <w:color w:val="000000"/>
          <w:sz w:val="28"/>
          <w:szCs w:val="28"/>
        </w:rPr>
        <w:t>У</w:t>
      </w:r>
      <w:r w:rsidR="00D361B4" w:rsidRPr="008D1A81">
        <w:rPr>
          <w:color w:val="000000"/>
          <w:sz w:val="28"/>
          <w:szCs w:val="28"/>
        </w:rPr>
        <w:t xml:space="preserve"> пункті 134.1 статті 134:</w:t>
      </w:r>
    </w:p>
    <w:p w14:paraId="076F3DEA" w14:textId="58F78761" w:rsidR="00FA5E3A" w:rsidRPr="00FA5E3A" w:rsidRDefault="00FA5E3A" w:rsidP="008D1A81">
      <w:pPr>
        <w:pStyle w:val="Rvps2"/>
        <w:spacing w:before="0" w:after="120"/>
        <w:ind w:firstLine="567"/>
        <w:jc w:val="both"/>
        <w:rPr>
          <w:color w:val="000000"/>
          <w:sz w:val="28"/>
          <w:szCs w:val="28"/>
        </w:rPr>
      </w:pPr>
      <w:r w:rsidRPr="00FA5E3A">
        <w:rPr>
          <w:color w:val="000000"/>
          <w:sz w:val="28"/>
          <w:szCs w:val="28"/>
        </w:rPr>
        <w:t xml:space="preserve">у </w:t>
      </w:r>
      <w:r w:rsidR="00D361B4" w:rsidRPr="00FA5E3A">
        <w:rPr>
          <w:color w:val="000000"/>
          <w:sz w:val="28"/>
          <w:szCs w:val="28"/>
        </w:rPr>
        <w:t>підпункт</w:t>
      </w:r>
      <w:r w:rsidRPr="00FA5E3A">
        <w:rPr>
          <w:color w:val="000000"/>
          <w:sz w:val="28"/>
          <w:szCs w:val="28"/>
        </w:rPr>
        <w:t>і</w:t>
      </w:r>
      <w:r w:rsidR="00D361B4" w:rsidRPr="00FA5E3A">
        <w:rPr>
          <w:color w:val="000000"/>
          <w:sz w:val="28"/>
          <w:szCs w:val="28"/>
        </w:rPr>
        <w:t xml:space="preserve"> 134.1.4 </w:t>
      </w:r>
      <w:r w:rsidRPr="00FA5E3A">
        <w:rPr>
          <w:color w:val="000000"/>
          <w:sz w:val="28"/>
          <w:szCs w:val="28"/>
        </w:rPr>
        <w:t>слова «дохід суб’єктів, які здійснюють випуск та проведення лотерей» замінити словами «дохід від діяльності з випуску та проведення лотерей, що визначається як сума доходу, отриманого від прийняття ставок у лотерею, що»</w:t>
      </w:r>
      <w:r>
        <w:rPr>
          <w:color w:val="000000"/>
          <w:sz w:val="28"/>
          <w:szCs w:val="28"/>
        </w:rPr>
        <w:t>;</w:t>
      </w:r>
    </w:p>
    <w:p w14:paraId="32087AA7" w14:textId="6D3C513A" w:rsidR="00D361B4" w:rsidRPr="00FA5E3A" w:rsidRDefault="00FA5E3A" w:rsidP="008D1A81">
      <w:pPr>
        <w:pStyle w:val="Rvps2"/>
        <w:spacing w:before="0" w:after="120"/>
        <w:ind w:firstLine="567"/>
        <w:jc w:val="both"/>
        <w:rPr>
          <w:color w:val="000000"/>
          <w:sz w:val="28"/>
          <w:szCs w:val="28"/>
        </w:rPr>
      </w:pPr>
      <w:r w:rsidRPr="00FA5E3A">
        <w:rPr>
          <w:color w:val="000000"/>
          <w:sz w:val="28"/>
          <w:szCs w:val="28"/>
        </w:rPr>
        <w:t>у підпункті</w:t>
      </w:r>
      <w:r w:rsidR="00D361B4" w:rsidRPr="00FA5E3A">
        <w:rPr>
          <w:color w:val="000000"/>
          <w:sz w:val="28"/>
          <w:szCs w:val="28"/>
        </w:rPr>
        <w:t xml:space="preserve"> 134.1.5 </w:t>
      </w:r>
      <w:r w:rsidRPr="00FA5E3A">
        <w:rPr>
          <w:color w:val="000000"/>
          <w:sz w:val="28"/>
          <w:szCs w:val="28"/>
        </w:rPr>
        <w:t xml:space="preserve">слова «операторів, отриманий від букмекерської діяльності, азартних ігор (у тому числі казино), крім доходу, отриманого від азартних ігор з використанням гральних автоматів, зменшеного на суму виплачених виплат гравцю» </w:t>
      </w:r>
      <w:r>
        <w:rPr>
          <w:color w:val="000000"/>
          <w:sz w:val="28"/>
          <w:szCs w:val="28"/>
        </w:rPr>
        <w:t>замінити словами «</w:t>
      </w:r>
      <w:r w:rsidRPr="00FA5E3A">
        <w:rPr>
          <w:color w:val="000000"/>
          <w:sz w:val="28"/>
          <w:szCs w:val="28"/>
        </w:rPr>
        <w:t>від діяльності з організації та проведення азартних ігор, що визначається як сума грошових коштів, отриманих у готівковій та/або безготівковій формі в касу та/або на рахунки організатора азартних ігор від гравців в азартні ігри,  зменшена на суму виплачених гравцям протягом цього звітного періоду виграшів (призів), виплат в такі азартні ігри, повернень ставок. Такий дохід</w:t>
      </w:r>
      <w:r>
        <w:rPr>
          <w:color w:val="000000"/>
          <w:sz w:val="28"/>
          <w:szCs w:val="28"/>
        </w:rPr>
        <w:t>»</w:t>
      </w:r>
    </w:p>
    <w:p w14:paraId="3B245E46" w14:textId="1581975F" w:rsidR="00D361B4" w:rsidRPr="00FA5E3A" w:rsidRDefault="00D361B4" w:rsidP="008D1A81">
      <w:pPr>
        <w:pStyle w:val="Rvps2"/>
        <w:spacing w:before="0" w:after="120"/>
        <w:ind w:firstLine="567"/>
        <w:jc w:val="both"/>
        <w:rPr>
          <w:color w:val="000000"/>
          <w:sz w:val="28"/>
          <w:szCs w:val="28"/>
        </w:rPr>
      </w:pPr>
      <w:r w:rsidRPr="00FA5E3A">
        <w:rPr>
          <w:color w:val="000000"/>
          <w:sz w:val="28"/>
          <w:szCs w:val="28"/>
        </w:rPr>
        <w:t>підпункт 134.1.6 виключити</w:t>
      </w:r>
      <w:r w:rsidR="006765FB" w:rsidRPr="00FA5E3A">
        <w:rPr>
          <w:color w:val="000000"/>
          <w:sz w:val="28"/>
          <w:szCs w:val="28"/>
        </w:rPr>
        <w:t>.</w:t>
      </w:r>
    </w:p>
    <w:p w14:paraId="1B63F6DA" w14:textId="1E213F4A" w:rsidR="00D361B4" w:rsidRPr="008D1A81" w:rsidRDefault="00C9272A" w:rsidP="008D1A81">
      <w:pPr>
        <w:pStyle w:val="Rvps2"/>
        <w:spacing w:before="0" w:after="120"/>
        <w:ind w:firstLine="567"/>
        <w:jc w:val="both"/>
        <w:rPr>
          <w:color w:val="000000"/>
          <w:sz w:val="28"/>
          <w:szCs w:val="28"/>
        </w:rPr>
      </w:pPr>
      <w:r w:rsidRPr="008D1A81">
        <w:rPr>
          <w:color w:val="000000"/>
          <w:sz w:val="28"/>
          <w:szCs w:val="28"/>
        </w:rPr>
        <w:lastRenderedPageBreak/>
        <w:t xml:space="preserve">4. </w:t>
      </w:r>
      <w:r w:rsidR="006765FB" w:rsidRPr="008D1A81">
        <w:rPr>
          <w:color w:val="000000"/>
          <w:sz w:val="28"/>
          <w:szCs w:val="28"/>
        </w:rPr>
        <w:t>У статті 136:</w:t>
      </w:r>
    </w:p>
    <w:p w14:paraId="2F78771A" w14:textId="6CA0603A" w:rsidR="006765FB" w:rsidRPr="008D1A81" w:rsidRDefault="006765FB" w:rsidP="008D1A81">
      <w:pPr>
        <w:pStyle w:val="Rvps2"/>
        <w:spacing w:before="0" w:after="120"/>
        <w:ind w:firstLine="567"/>
        <w:jc w:val="both"/>
        <w:rPr>
          <w:color w:val="000000"/>
          <w:sz w:val="28"/>
          <w:szCs w:val="28"/>
        </w:rPr>
      </w:pPr>
      <w:r w:rsidRPr="008D1A81">
        <w:rPr>
          <w:color w:val="000000"/>
          <w:sz w:val="28"/>
          <w:szCs w:val="28"/>
        </w:rPr>
        <w:t>пункт 136.4 викласти у такій редакції:</w:t>
      </w:r>
    </w:p>
    <w:p w14:paraId="4885FA8A" w14:textId="51E2FAD6" w:rsidR="006765FB" w:rsidRPr="008D1A81" w:rsidRDefault="006765FB" w:rsidP="008D1A81">
      <w:pPr>
        <w:pStyle w:val="Rvps2"/>
        <w:spacing w:before="0" w:after="120"/>
        <w:ind w:firstLine="567"/>
        <w:jc w:val="both"/>
        <w:rPr>
          <w:color w:val="000000"/>
          <w:sz w:val="28"/>
          <w:szCs w:val="28"/>
        </w:rPr>
      </w:pPr>
      <w:r w:rsidRPr="008D1A81">
        <w:rPr>
          <w:color w:val="000000"/>
          <w:sz w:val="28"/>
          <w:szCs w:val="28"/>
        </w:rPr>
        <w:t>«</w:t>
      </w:r>
      <w:bookmarkStart w:id="1" w:name="_Hlk28863270"/>
      <w:r w:rsidR="00C9272A" w:rsidRPr="008D1A81">
        <w:rPr>
          <w:color w:val="000000"/>
          <w:sz w:val="28"/>
          <w:szCs w:val="28"/>
        </w:rPr>
        <w:t>136.4. Під час провадження діяльності з організації та проведення азартних ігор ставка податку на дохід від діяльності з організації та проведення азартних ігор встановлюється у розмірі 18 відсотків</w:t>
      </w:r>
      <w:r w:rsidRPr="008D1A81">
        <w:rPr>
          <w:color w:val="000000"/>
          <w:sz w:val="28"/>
          <w:szCs w:val="28"/>
        </w:rPr>
        <w:t>»;</w:t>
      </w:r>
    </w:p>
    <w:p w14:paraId="00158625" w14:textId="6A4672C9" w:rsidR="00C9272A" w:rsidRPr="008D1A81" w:rsidRDefault="006765FB" w:rsidP="008D1A81">
      <w:pPr>
        <w:pStyle w:val="Rvps2"/>
        <w:spacing w:before="0" w:after="120"/>
        <w:ind w:firstLine="567"/>
        <w:jc w:val="both"/>
        <w:rPr>
          <w:color w:val="000000"/>
          <w:sz w:val="28"/>
          <w:szCs w:val="28"/>
        </w:rPr>
      </w:pPr>
      <w:r w:rsidRPr="008D1A81">
        <w:rPr>
          <w:color w:val="000000"/>
          <w:sz w:val="28"/>
          <w:szCs w:val="28"/>
        </w:rPr>
        <w:t xml:space="preserve">пункт 136.6 </w:t>
      </w:r>
      <w:bookmarkEnd w:id="1"/>
      <w:r w:rsidR="00C9272A" w:rsidRPr="008D1A81">
        <w:rPr>
          <w:color w:val="000000"/>
          <w:sz w:val="28"/>
          <w:szCs w:val="28"/>
        </w:rPr>
        <w:t>викласти у такій редакції:</w:t>
      </w:r>
    </w:p>
    <w:p w14:paraId="234A01AE" w14:textId="77777777" w:rsidR="008D1A81" w:rsidRPr="008D1A81" w:rsidRDefault="008D1A81" w:rsidP="008D1A81">
      <w:pPr>
        <w:pStyle w:val="Rvps2"/>
        <w:spacing w:before="0" w:after="120"/>
        <w:ind w:firstLine="567"/>
        <w:jc w:val="both"/>
        <w:rPr>
          <w:color w:val="000000"/>
          <w:sz w:val="28"/>
          <w:szCs w:val="28"/>
        </w:rPr>
      </w:pPr>
      <w:r w:rsidRPr="008D1A81">
        <w:rPr>
          <w:color w:val="000000"/>
          <w:sz w:val="28"/>
          <w:szCs w:val="28"/>
        </w:rPr>
        <w:t>«136.6. Під час провадження діяльності з випуску та проведення лотерей ставка податку на дохід від діяльності з випуску та проведення лотерей встановлюється у розмірі 30 відсотків».</w:t>
      </w:r>
    </w:p>
    <w:p w14:paraId="6833A8BB" w14:textId="33E5FBE5" w:rsidR="00DE2BE8" w:rsidRPr="00793986" w:rsidRDefault="008D1A81" w:rsidP="00BB642F">
      <w:pPr>
        <w:pStyle w:val="Rvps2"/>
        <w:shd w:val="clear" w:color="auto" w:fill="FFFFFF"/>
        <w:spacing w:before="0" w:after="0"/>
        <w:ind w:firstLine="567"/>
        <w:jc w:val="both"/>
        <w:rPr>
          <w:sz w:val="28"/>
          <w:szCs w:val="28"/>
        </w:rPr>
      </w:pPr>
      <w:r w:rsidRPr="008D1A81">
        <w:rPr>
          <w:bCs/>
          <w:color w:val="000000"/>
          <w:sz w:val="28"/>
          <w:szCs w:val="28"/>
        </w:rPr>
        <w:t xml:space="preserve"> </w:t>
      </w:r>
      <w:r w:rsidR="004C7A2F">
        <w:rPr>
          <w:bCs/>
          <w:color w:val="000000"/>
          <w:sz w:val="28"/>
          <w:szCs w:val="28"/>
        </w:rPr>
        <w:t xml:space="preserve">5. </w:t>
      </w:r>
      <w:r w:rsidR="00DE2BE8" w:rsidRPr="00793986">
        <w:rPr>
          <w:bCs/>
          <w:color w:val="000000"/>
          <w:sz w:val="28"/>
          <w:szCs w:val="28"/>
        </w:rPr>
        <w:t>П</w:t>
      </w:r>
      <w:r w:rsidR="00D91BF9" w:rsidRPr="00793986">
        <w:rPr>
          <w:bCs/>
          <w:color w:val="000000"/>
          <w:sz w:val="28"/>
          <w:szCs w:val="28"/>
        </w:rPr>
        <w:t xml:space="preserve">ункт 137.8 статті 137 </w:t>
      </w:r>
      <w:r w:rsidR="00DE2BE8" w:rsidRPr="00793986">
        <w:rPr>
          <w:bCs/>
          <w:color w:val="000000"/>
          <w:sz w:val="28"/>
          <w:szCs w:val="28"/>
        </w:rPr>
        <w:t>викласти в такій редакції:</w:t>
      </w:r>
    </w:p>
    <w:p w14:paraId="23D3A81F" w14:textId="1AEC8CEE" w:rsidR="00793986" w:rsidRPr="00793986" w:rsidRDefault="00793986" w:rsidP="00EA52BA">
      <w:pPr>
        <w:pStyle w:val="Rvps2"/>
        <w:shd w:val="clear" w:color="auto" w:fill="FFFFFF"/>
        <w:spacing w:before="0" w:after="120"/>
        <w:ind w:firstLine="567"/>
        <w:jc w:val="both"/>
        <w:rPr>
          <w:sz w:val="28"/>
          <w:szCs w:val="28"/>
          <w:lang w:val="ru-RU"/>
        </w:rPr>
      </w:pPr>
      <w:r w:rsidRPr="00793986">
        <w:rPr>
          <w:bCs/>
          <w:color w:val="000000"/>
          <w:sz w:val="28"/>
          <w:szCs w:val="28"/>
        </w:rPr>
        <w:t>«</w:t>
      </w:r>
      <w:r w:rsidRPr="00793986">
        <w:rPr>
          <w:sz w:val="28"/>
          <w:szCs w:val="28"/>
        </w:rPr>
        <w:t xml:space="preserve">137.8. </w:t>
      </w:r>
      <w:r w:rsidR="004C7A2F" w:rsidRPr="004C7A2F">
        <w:rPr>
          <w:sz w:val="28"/>
          <w:szCs w:val="28"/>
        </w:rPr>
        <w:t>Платники податку на дохід: суб’єкти, які здійснюють діяльність з випуску та проведення лотерей та/або діяльність з організації та проведення азартних ігор, щоквартально сплачують податок на дохід у порядку і в строки, які встановлені для квартального податкового (звітного) періоду з поданням податкової декларації з податку на прибуток. У податковій декларації з податку на прибуток такими платниками податків відображається отриманий ними дохід щодо кожного виду діяльності у сфері організації та проведення азартних ігор, що ними проводиться.</w:t>
      </w:r>
      <w:r w:rsidRPr="00793986">
        <w:rPr>
          <w:sz w:val="28"/>
          <w:szCs w:val="28"/>
          <w:lang w:val="ru-RU"/>
        </w:rPr>
        <w:t>».</w:t>
      </w:r>
    </w:p>
    <w:p w14:paraId="71F27AB1" w14:textId="5F95A79B" w:rsidR="00793986" w:rsidRPr="00793986" w:rsidRDefault="004C7A2F" w:rsidP="004C7A2F">
      <w:pPr>
        <w:pStyle w:val="Rvps2"/>
        <w:shd w:val="clear" w:color="auto" w:fill="FFFFFF"/>
        <w:spacing w:before="0" w:after="120"/>
        <w:ind w:left="709"/>
        <w:jc w:val="both"/>
        <w:rPr>
          <w:sz w:val="28"/>
          <w:szCs w:val="28"/>
        </w:rPr>
      </w:pPr>
      <w:r>
        <w:rPr>
          <w:sz w:val="28"/>
          <w:szCs w:val="28"/>
        </w:rPr>
        <w:t xml:space="preserve">6. </w:t>
      </w:r>
      <w:r w:rsidR="00793986" w:rsidRPr="00793986">
        <w:rPr>
          <w:sz w:val="28"/>
          <w:szCs w:val="28"/>
        </w:rPr>
        <w:t>У статті 141:</w:t>
      </w:r>
    </w:p>
    <w:p w14:paraId="64DCD18E" w14:textId="477B7F5D" w:rsidR="009C6BCA" w:rsidRPr="009C6BCA" w:rsidRDefault="009C6BCA" w:rsidP="004C7A2F">
      <w:pPr>
        <w:pStyle w:val="Rvps2"/>
        <w:shd w:val="clear" w:color="auto" w:fill="FFFFFF"/>
        <w:spacing w:before="0" w:after="120"/>
        <w:ind w:firstLine="567"/>
        <w:jc w:val="both"/>
        <w:rPr>
          <w:sz w:val="28"/>
          <w:szCs w:val="28"/>
        </w:rPr>
      </w:pPr>
      <w:r w:rsidRPr="004C7A2F">
        <w:rPr>
          <w:sz w:val="28"/>
          <w:szCs w:val="28"/>
        </w:rPr>
        <w:t>у підпункті «і» підпункту 141.4.1 пункту 141.4 слова та символи: «</w:t>
      </w:r>
      <w:r w:rsidRPr="009C6BCA">
        <w:rPr>
          <w:sz w:val="28"/>
          <w:szCs w:val="28"/>
        </w:rPr>
        <w:t>(крім діяльності з проведення лотереї)» виключити;</w:t>
      </w:r>
    </w:p>
    <w:p w14:paraId="00CAC714" w14:textId="77777777" w:rsidR="009C6BCA" w:rsidRDefault="009C6BCA" w:rsidP="004C7A2F">
      <w:pPr>
        <w:pStyle w:val="Rvps2"/>
        <w:shd w:val="clear" w:color="auto" w:fill="FFFFFF"/>
        <w:spacing w:before="0" w:after="120"/>
        <w:ind w:firstLine="567"/>
        <w:jc w:val="both"/>
        <w:rPr>
          <w:sz w:val="28"/>
          <w:szCs w:val="28"/>
        </w:rPr>
      </w:pPr>
      <w:r w:rsidRPr="009C6BCA">
        <w:rPr>
          <w:sz w:val="28"/>
          <w:szCs w:val="28"/>
        </w:rPr>
        <w:t>пункт 141.5 викласти у такій редакції:</w:t>
      </w:r>
    </w:p>
    <w:p w14:paraId="2BCC4CAA" w14:textId="00FEA93C" w:rsidR="004C7A2F" w:rsidRPr="004C7A2F" w:rsidRDefault="009C6BCA" w:rsidP="004C7A2F">
      <w:pPr>
        <w:pStyle w:val="Rvps2"/>
        <w:shd w:val="clear" w:color="auto" w:fill="FFFFFF"/>
        <w:spacing w:before="0" w:after="120"/>
        <w:ind w:firstLine="567"/>
        <w:jc w:val="both"/>
        <w:rPr>
          <w:color w:val="000000"/>
          <w:sz w:val="28"/>
          <w:szCs w:val="28"/>
        </w:rPr>
      </w:pPr>
      <w:r w:rsidRPr="009C6BCA">
        <w:rPr>
          <w:color w:val="000000"/>
          <w:sz w:val="28"/>
          <w:szCs w:val="28"/>
        </w:rPr>
        <w:t>«</w:t>
      </w:r>
      <w:r w:rsidR="004C7A2F" w:rsidRPr="004C7A2F">
        <w:rPr>
          <w:color w:val="000000"/>
          <w:sz w:val="28"/>
          <w:szCs w:val="28"/>
        </w:rPr>
        <w:t>141.5. Особливості оподаткування діяльності з організації та проведення азартних ігор.</w:t>
      </w:r>
    </w:p>
    <w:p w14:paraId="57A5D9CB" w14:textId="77777777" w:rsidR="004C7A2F" w:rsidRPr="004C7A2F" w:rsidRDefault="004C7A2F" w:rsidP="004C7A2F">
      <w:pPr>
        <w:pStyle w:val="Rvps2"/>
        <w:shd w:val="clear" w:color="auto" w:fill="FFFFFF"/>
        <w:spacing w:after="120"/>
        <w:ind w:firstLine="567"/>
        <w:jc w:val="both"/>
        <w:rPr>
          <w:color w:val="000000"/>
          <w:sz w:val="28"/>
          <w:szCs w:val="28"/>
        </w:rPr>
      </w:pPr>
      <w:r w:rsidRPr="004C7A2F">
        <w:rPr>
          <w:color w:val="000000"/>
          <w:sz w:val="28"/>
          <w:szCs w:val="28"/>
        </w:rPr>
        <w:t>Діяльність з організації та проведення азартних ігор оподатковується одночасно податком на прибуток за ставкою, визначеною у пункті 136.1 статті 136 цього Кодексу, та податком на дохід за ставкою, визначеною у пункті 136.4 статті 136 цього Кодексу.</w:t>
      </w:r>
    </w:p>
    <w:p w14:paraId="7B88AF79" w14:textId="77777777" w:rsidR="00486BB2" w:rsidRDefault="00486BB2" w:rsidP="004C7A2F">
      <w:pPr>
        <w:pStyle w:val="Rvps2"/>
        <w:shd w:val="clear" w:color="auto" w:fill="FFFFFF"/>
        <w:spacing w:after="120"/>
        <w:ind w:firstLine="567"/>
        <w:jc w:val="both"/>
        <w:rPr>
          <w:color w:val="000000"/>
          <w:sz w:val="28"/>
          <w:szCs w:val="28"/>
        </w:rPr>
      </w:pPr>
      <w:r w:rsidRPr="004C7A2F">
        <w:rPr>
          <w:color w:val="000000"/>
          <w:sz w:val="28"/>
          <w:szCs w:val="28"/>
        </w:rPr>
        <w:t>Прибуток суб’єктів, що здійснюють діяльність з організації та проведення азартних ігор, від здійснення іншої діяльності, яка не пов’язана із організацією та проведенням азартних ігор, нараховується та сплачується за правилами цього розділу за базовою (основною) ставкою податку, якщо інше не передбачено цим Кодексом</w:t>
      </w:r>
      <w:r>
        <w:rPr>
          <w:color w:val="000000"/>
          <w:sz w:val="28"/>
          <w:szCs w:val="28"/>
        </w:rPr>
        <w:t>.</w:t>
      </w:r>
    </w:p>
    <w:p w14:paraId="2AF173E6" w14:textId="356C1B36" w:rsidR="009C6BCA" w:rsidRDefault="004C7A2F" w:rsidP="00486BB2">
      <w:pPr>
        <w:pStyle w:val="Rvps2"/>
        <w:shd w:val="clear" w:color="auto" w:fill="FFFFFF"/>
        <w:spacing w:after="120"/>
        <w:ind w:firstLine="567"/>
        <w:jc w:val="both"/>
        <w:rPr>
          <w:color w:val="000000"/>
          <w:sz w:val="28"/>
          <w:szCs w:val="28"/>
        </w:rPr>
      </w:pPr>
      <w:r w:rsidRPr="004C7A2F">
        <w:rPr>
          <w:color w:val="000000"/>
          <w:sz w:val="28"/>
          <w:szCs w:val="28"/>
        </w:rPr>
        <w:t>Нарахований податок на дохід від діяльності з організації та проведення азартних ігор за ставкою, визначеною у  пункті 136.4 статті 136 цього Кодексу, є різницею та зменшує фінансовий результат до оподаткування такої діяльності</w:t>
      </w:r>
      <w:r w:rsidR="009C6BCA">
        <w:rPr>
          <w:color w:val="000000"/>
          <w:sz w:val="28"/>
          <w:szCs w:val="28"/>
        </w:rPr>
        <w:t>»;</w:t>
      </w:r>
    </w:p>
    <w:p w14:paraId="0352806E" w14:textId="46F45D65" w:rsidR="009C6BCA" w:rsidRPr="009C6BCA" w:rsidRDefault="009C6BCA" w:rsidP="00EA52BA">
      <w:pPr>
        <w:pStyle w:val="Rvps2"/>
        <w:shd w:val="clear" w:color="auto" w:fill="FFFFFF"/>
        <w:spacing w:before="0" w:after="120"/>
        <w:ind w:firstLine="567"/>
        <w:jc w:val="both"/>
        <w:rPr>
          <w:sz w:val="28"/>
          <w:szCs w:val="28"/>
        </w:rPr>
      </w:pPr>
      <w:r>
        <w:rPr>
          <w:color w:val="000000"/>
          <w:sz w:val="28"/>
          <w:szCs w:val="28"/>
        </w:rPr>
        <w:t>пункт 141.8 викласти у такій редакції:</w:t>
      </w:r>
    </w:p>
    <w:p w14:paraId="48BAB6FC" w14:textId="77777777" w:rsidR="00AE7424" w:rsidRPr="00AE7424" w:rsidRDefault="00627534" w:rsidP="00AE7424">
      <w:pPr>
        <w:pStyle w:val="Rvps2"/>
        <w:shd w:val="clear" w:color="auto" w:fill="FFFFFF"/>
        <w:spacing w:after="120"/>
        <w:ind w:firstLine="567"/>
        <w:jc w:val="both"/>
        <w:rPr>
          <w:bCs/>
          <w:sz w:val="28"/>
          <w:szCs w:val="28"/>
        </w:rPr>
      </w:pPr>
      <w:r w:rsidRPr="00627534">
        <w:rPr>
          <w:sz w:val="28"/>
          <w:szCs w:val="28"/>
        </w:rPr>
        <w:lastRenderedPageBreak/>
        <w:t>«</w:t>
      </w:r>
      <w:r w:rsidRPr="00627534">
        <w:rPr>
          <w:bCs/>
          <w:sz w:val="28"/>
          <w:szCs w:val="28"/>
        </w:rPr>
        <w:t xml:space="preserve">141.8. </w:t>
      </w:r>
      <w:r w:rsidR="00AE7424" w:rsidRPr="00AE7424">
        <w:rPr>
          <w:bCs/>
          <w:sz w:val="28"/>
          <w:szCs w:val="28"/>
        </w:rPr>
        <w:t>Особливості оподаткування суб’єктів, які здійснюють діяльність з випуску та проведення лотерей.</w:t>
      </w:r>
    </w:p>
    <w:p w14:paraId="3E0AB6BE" w14:textId="77777777" w:rsidR="00AE7424" w:rsidRPr="00AE7424" w:rsidRDefault="00AE7424" w:rsidP="00AE7424">
      <w:pPr>
        <w:pStyle w:val="Rvps2"/>
        <w:shd w:val="clear" w:color="auto" w:fill="FFFFFF"/>
        <w:spacing w:after="120"/>
        <w:ind w:firstLine="567"/>
        <w:jc w:val="both"/>
        <w:rPr>
          <w:bCs/>
          <w:sz w:val="28"/>
          <w:szCs w:val="28"/>
        </w:rPr>
      </w:pPr>
      <w:r w:rsidRPr="00AE7424">
        <w:rPr>
          <w:bCs/>
          <w:sz w:val="28"/>
          <w:szCs w:val="28"/>
        </w:rPr>
        <w:t>Дохід від діяльності з випуску та проведення лотерей оподатковується за ставкою, визначеною у пункті 136.6 статті 136 цього Кодексу.</w:t>
      </w:r>
    </w:p>
    <w:p w14:paraId="3C115EA8" w14:textId="77777777" w:rsidR="00AE7424" w:rsidRPr="00AE7424" w:rsidRDefault="00AE7424" w:rsidP="00AE7424">
      <w:pPr>
        <w:pStyle w:val="Rvps2"/>
        <w:shd w:val="clear" w:color="auto" w:fill="FFFFFF"/>
        <w:spacing w:after="120"/>
        <w:ind w:firstLine="567"/>
        <w:jc w:val="both"/>
        <w:rPr>
          <w:bCs/>
          <w:sz w:val="28"/>
          <w:szCs w:val="28"/>
        </w:rPr>
      </w:pPr>
      <w:r w:rsidRPr="00AE7424">
        <w:rPr>
          <w:bCs/>
          <w:sz w:val="28"/>
          <w:szCs w:val="28"/>
        </w:rPr>
        <w:t>Прибуток суб’єктів, що здійснюють діяльність з випуску та проведення лотерей, від здійснення іншої діяльності, яка не пов’язана із випуском та проведенням лотерей, нараховується та сплачується за правилами цього розділу за базовою (основною) ставкою податку, якщо інше не передбачено цим Кодексом.</w:t>
      </w:r>
    </w:p>
    <w:p w14:paraId="2DC10590" w14:textId="38E5CFF7" w:rsidR="0007367E" w:rsidRPr="000A455A" w:rsidRDefault="00AE7424" w:rsidP="00AE7424">
      <w:pPr>
        <w:pStyle w:val="Rvps2"/>
        <w:shd w:val="clear" w:color="auto" w:fill="FFFFFF"/>
        <w:spacing w:after="120"/>
        <w:ind w:firstLine="567"/>
        <w:jc w:val="both"/>
        <w:rPr>
          <w:sz w:val="28"/>
          <w:szCs w:val="28"/>
        </w:rPr>
      </w:pPr>
      <w:r w:rsidRPr="00AE7424">
        <w:rPr>
          <w:bCs/>
          <w:sz w:val="28"/>
          <w:szCs w:val="28"/>
        </w:rPr>
        <w:t>Нарахований суб’єктом, що здійснює діяльність з випуску та проведення лотерей, податок на дохід за ставкою, визначеною у пункті 136.6 статті 136 цього Кодексу, не є різницею та не зменшує фінансовий результат до оподаткування такого суб’єкта</w:t>
      </w:r>
      <w:r w:rsidR="00627534" w:rsidRPr="000A455A">
        <w:rPr>
          <w:sz w:val="28"/>
          <w:szCs w:val="28"/>
        </w:rPr>
        <w:t>».</w:t>
      </w:r>
    </w:p>
    <w:p w14:paraId="2C3D5B12" w14:textId="77777777" w:rsidR="00262C3A" w:rsidRPr="00262C3A" w:rsidRDefault="00262C3A" w:rsidP="00262C3A">
      <w:pPr>
        <w:pStyle w:val="Rvps2"/>
        <w:shd w:val="clear" w:color="auto" w:fill="FFFFFF"/>
        <w:spacing w:after="120"/>
        <w:ind w:left="709"/>
        <w:jc w:val="both"/>
        <w:rPr>
          <w:bCs/>
          <w:sz w:val="28"/>
          <w:szCs w:val="28"/>
        </w:rPr>
      </w:pPr>
      <w:r>
        <w:rPr>
          <w:bCs/>
          <w:sz w:val="28"/>
          <w:szCs w:val="28"/>
        </w:rPr>
        <w:t xml:space="preserve">7. </w:t>
      </w:r>
      <w:r w:rsidRPr="00262C3A">
        <w:rPr>
          <w:bCs/>
          <w:sz w:val="28"/>
          <w:szCs w:val="28"/>
        </w:rPr>
        <w:t xml:space="preserve">У пункті 164.2 статті 164: </w:t>
      </w:r>
    </w:p>
    <w:p w14:paraId="48DB9A54" w14:textId="77777777" w:rsidR="00262C3A" w:rsidRPr="00262C3A" w:rsidRDefault="00262C3A" w:rsidP="00262C3A">
      <w:pPr>
        <w:pStyle w:val="Rvps2"/>
        <w:shd w:val="clear" w:color="auto" w:fill="FFFFFF"/>
        <w:spacing w:before="0" w:after="120"/>
        <w:ind w:firstLine="567"/>
        <w:jc w:val="both"/>
        <w:rPr>
          <w:bCs/>
          <w:sz w:val="28"/>
          <w:szCs w:val="28"/>
        </w:rPr>
      </w:pPr>
      <w:r w:rsidRPr="00262C3A">
        <w:rPr>
          <w:bCs/>
          <w:sz w:val="28"/>
          <w:szCs w:val="28"/>
        </w:rPr>
        <w:t>у підпункті 164.2.8 слова «доходи у вигляді виграшів, призів» виключити;</w:t>
      </w:r>
    </w:p>
    <w:p w14:paraId="2BBC6BB9" w14:textId="77777777" w:rsidR="00262C3A" w:rsidRPr="00262C3A" w:rsidRDefault="00262C3A" w:rsidP="00262C3A">
      <w:pPr>
        <w:pStyle w:val="Rvps2"/>
        <w:shd w:val="clear" w:color="auto" w:fill="FFFFFF"/>
        <w:spacing w:before="0" w:after="120"/>
        <w:ind w:firstLine="567"/>
        <w:jc w:val="both"/>
        <w:rPr>
          <w:bCs/>
          <w:sz w:val="28"/>
          <w:szCs w:val="28"/>
        </w:rPr>
      </w:pPr>
      <w:r w:rsidRPr="00262C3A">
        <w:rPr>
          <w:bCs/>
          <w:sz w:val="28"/>
          <w:szCs w:val="28"/>
        </w:rPr>
        <w:t>доповнити новим підпунктом 164.2.8-1 такого змісту:</w:t>
      </w:r>
    </w:p>
    <w:p w14:paraId="767D5E90" w14:textId="77777777" w:rsidR="00262C3A" w:rsidRPr="00262C3A" w:rsidRDefault="00262C3A" w:rsidP="00262C3A">
      <w:pPr>
        <w:pStyle w:val="Rvps2"/>
        <w:shd w:val="clear" w:color="auto" w:fill="FFFFFF"/>
        <w:spacing w:before="0" w:after="120"/>
        <w:ind w:firstLine="567"/>
        <w:jc w:val="both"/>
        <w:rPr>
          <w:bCs/>
          <w:sz w:val="28"/>
          <w:szCs w:val="28"/>
        </w:rPr>
      </w:pPr>
      <w:r w:rsidRPr="00262C3A">
        <w:rPr>
          <w:bCs/>
          <w:sz w:val="28"/>
          <w:szCs w:val="28"/>
        </w:rPr>
        <w:t>«164.2.8-1. доходи у вигляді виграшів, призів в частині, визначеній пунктом 170.6. статті 170 цього Кодексу»</w:t>
      </w:r>
    </w:p>
    <w:p w14:paraId="42A1A9A8" w14:textId="7AB2DC68" w:rsidR="00262C3A" w:rsidRPr="00262C3A" w:rsidRDefault="00262C3A" w:rsidP="00E6474B">
      <w:pPr>
        <w:pStyle w:val="Rvps2"/>
        <w:shd w:val="clear" w:color="auto" w:fill="FFFFFF"/>
        <w:spacing w:after="120"/>
        <w:ind w:firstLine="567"/>
        <w:jc w:val="both"/>
        <w:rPr>
          <w:bCs/>
          <w:sz w:val="28"/>
          <w:szCs w:val="28"/>
        </w:rPr>
      </w:pPr>
      <w:r>
        <w:rPr>
          <w:bCs/>
          <w:sz w:val="28"/>
          <w:szCs w:val="28"/>
        </w:rPr>
        <w:t>8</w:t>
      </w:r>
      <w:r w:rsidRPr="00262C3A">
        <w:rPr>
          <w:bCs/>
          <w:sz w:val="28"/>
          <w:szCs w:val="28"/>
        </w:rPr>
        <w:t>. Пункт 165.1 статті 165 доповнити новим підпунктом такого змісту:</w:t>
      </w:r>
    </w:p>
    <w:p w14:paraId="4EF668DF" w14:textId="386DA5BB" w:rsidR="00262C3A" w:rsidRPr="00262C3A" w:rsidRDefault="00262C3A" w:rsidP="00E6474B">
      <w:pPr>
        <w:pStyle w:val="Rvps2"/>
        <w:shd w:val="clear" w:color="auto" w:fill="FFFFFF"/>
        <w:spacing w:after="120"/>
        <w:ind w:firstLine="567"/>
        <w:jc w:val="both"/>
        <w:rPr>
          <w:bCs/>
          <w:sz w:val="28"/>
          <w:szCs w:val="28"/>
        </w:rPr>
      </w:pPr>
      <w:r w:rsidRPr="00262C3A">
        <w:rPr>
          <w:bCs/>
          <w:sz w:val="28"/>
          <w:szCs w:val="28"/>
        </w:rPr>
        <w:t>«</w:t>
      </w:r>
      <w:r w:rsidR="00AE7424" w:rsidRPr="00AE7424">
        <w:rPr>
          <w:bCs/>
          <w:sz w:val="28"/>
          <w:szCs w:val="28"/>
        </w:rPr>
        <w:t>165.1.62. сума (вартість) виплачених (отриманих) виграшів (призів) в азартних іграх чи лотереях в частині, визначеній пунктом 170.6. статті 170 цього Кодексу</w:t>
      </w:r>
      <w:r w:rsidRPr="00262C3A">
        <w:rPr>
          <w:bCs/>
          <w:sz w:val="28"/>
          <w:szCs w:val="28"/>
        </w:rPr>
        <w:t>».</w:t>
      </w:r>
    </w:p>
    <w:p w14:paraId="5C9C7763" w14:textId="1DDAD2C6" w:rsidR="00D15F44" w:rsidRDefault="00262C3A" w:rsidP="00E6474B">
      <w:pPr>
        <w:pStyle w:val="Rvps2"/>
        <w:shd w:val="clear" w:color="auto" w:fill="FFFFFF"/>
        <w:spacing w:after="120"/>
        <w:ind w:firstLine="567"/>
        <w:jc w:val="both"/>
        <w:rPr>
          <w:bCs/>
          <w:sz w:val="28"/>
          <w:szCs w:val="28"/>
        </w:rPr>
      </w:pPr>
      <w:r w:rsidRPr="00262C3A">
        <w:rPr>
          <w:bCs/>
          <w:sz w:val="28"/>
          <w:szCs w:val="28"/>
        </w:rPr>
        <w:t xml:space="preserve"> </w:t>
      </w:r>
      <w:r>
        <w:rPr>
          <w:bCs/>
          <w:sz w:val="28"/>
          <w:szCs w:val="28"/>
        </w:rPr>
        <w:t>9</w:t>
      </w:r>
      <w:r w:rsidRPr="00262C3A">
        <w:rPr>
          <w:bCs/>
          <w:sz w:val="28"/>
          <w:szCs w:val="28"/>
        </w:rPr>
        <w:t xml:space="preserve">. </w:t>
      </w:r>
      <w:r w:rsidR="00D15F44">
        <w:rPr>
          <w:bCs/>
          <w:sz w:val="28"/>
          <w:szCs w:val="28"/>
        </w:rPr>
        <w:t>У статті 170:</w:t>
      </w:r>
    </w:p>
    <w:p w14:paraId="5E2220DB" w14:textId="7F5D561E" w:rsidR="00262C3A" w:rsidRPr="00262C3A" w:rsidRDefault="00D15F44" w:rsidP="00E6474B">
      <w:pPr>
        <w:pStyle w:val="Rvps2"/>
        <w:shd w:val="clear" w:color="auto" w:fill="FFFFFF"/>
        <w:spacing w:after="120"/>
        <w:ind w:firstLine="567"/>
        <w:jc w:val="both"/>
        <w:rPr>
          <w:bCs/>
          <w:sz w:val="28"/>
          <w:szCs w:val="28"/>
        </w:rPr>
      </w:pPr>
      <w:r>
        <w:rPr>
          <w:bCs/>
          <w:sz w:val="28"/>
          <w:szCs w:val="28"/>
        </w:rPr>
        <w:t>п</w:t>
      </w:r>
      <w:r w:rsidR="00262C3A" w:rsidRPr="00262C3A">
        <w:rPr>
          <w:bCs/>
          <w:sz w:val="28"/>
          <w:szCs w:val="28"/>
        </w:rPr>
        <w:t>ункт 170.6 викласти у такій редакції:</w:t>
      </w:r>
    </w:p>
    <w:p w14:paraId="55FDCACC" w14:textId="45556AB6" w:rsidR="00AE7424" w:rsidRPr="00AE7424" w:rsidRDefault="00262C3A" w:rsidP="00AE7424">
      <w:pPr>
        <w:pStyle w:val="Rvps2"/>
        <w:shd w:val="clear" w:color="auto" w:fill="FFFFFF"/>
        <w:spacing w:after="120"/>
        <w:ind w:firstLine="567"/>
        <w:jc w:val="both"/>
        <w:rPr>
          <w:bCs/>
          <w:sz w:val="28"/>
          <w:szCs w:val="28"/>
        </w:rPr>
      </w:pPr>
      <w:r w:rsidRPr="00262C3A">
        <w:rPr>
          <w:bCs/>
          <w:sz w:val="28"/>
          <w:szCs w:val="28"/>
        </w:rPr>
        <w:t xml:space="preserve">«170.6. </w:t>
      </w:r>
      <w:r w:rsidR="00AE7424" w:rsidRPr="00AE7424">
        <w:rPr>
          <w:bCs/>
          <w:sz w:val="28"/>
          <w:szCs w:val="28"/>
        </w:rPr>
        <w:t>Оподаткування виграшів та призів</w:t>
      </w:r>
    </w:p>
    <w:p w14:paraId="2809DA4D" w14:textId="77777777" w:rsidR="00167B3F" w:rsidRPr="00167B3F" w:rsidRDefault="00167B3F" w:rsidP="00167B3F">
      <w:pPr>
        <w:pStyle w:val="Rvps2"/>
        <w:shd w:val="clear" w:color="auto" w:fill="FFFFFF"/>
        <w:spacing w:after="120"/>
        <w:ind w:firstLine="567"/>
        <w:jc w:val="both"/>
        <w:rPr>
          <w:bCs/>
          <w:sz w:val="28"/>
          <w:szCs w:val="28"/>
        </w:rPr>
      </w:pPr>
      <w:r w:rsidRPr="00167B3F">
        <w:rPr>
          <w:bCs/>
          <w:sz w:val="28"/>
          <w:szCs w:val="28"/>
        </w:rPr>
        <w:t xml:space="preserve">170.6.1. Дохід у вигляді  призів та/або виграшів, одержаних за перемогу та/або участь в аматорських спортивних змаганнях, у тому числі у більярдному спорті,  виграшів (призів) в інших іграх, змаганнях, розіграшах  підлягають оподаткуванню податковим агентом під час їх нарахування (виплати) за ставкою, визначеною пунктом 167.1 статті 167 цього розділу, крім випадків, передбачених підпунктами 170.6.2 та 170.6.3 цього пункту.  </w:t>
      </w:r>
    </w:p>
    <w:p w14:paraId="6BDB7014" w14:textId="77777777" w:rsidR="00167B3F" w:rsidRPr="00167B3F" w:rsidRDefault="00167B3F" w:rsidP="00167B3F">
      <w:pPr>
        <w:pStyle w:val="Rvps2"/>
        <w:shd w:val="clear" w:color="auto" w:fill="FFFFFF"/>
        <w:spacing w:after="120"/>
        <w:ind w:firstLine="567"/>
        <w:jc w:val="both"/>
        <w:rPr>
          <w:bCs/>
          <w:sz w:val="28"/>
          <w:szCs w:val="28"/>
        </w:rPr>
      </w:pPr>
      <w:r w:rsidRPr="00167B3F">
        <w:rPr>
          <w:bCs/>
          <w:sz w:val="28"/>
          <w:szCs w:val="28"/>
        </w:rPr>
        <w:t xml:space="preserve">170.6.2. При отриманні доходів у вигляді виграшів у грі у покер (в тому числі в мережі Інтернет) професійними гравцями у покер оподаткуванню підлягає різниця між сумою коштів, отриманих платником податку як виграш та сумою коштів, внесених таким платником податку для отримання права участі у такій грі (ставок у таких іграх). Сума такої різниці підлягає оподаткуванню податковим агентом підчас її виплати за ставкою, визначеною пунктом 167.1 статті 167 цього розділу, до якої застосовується коефіцієнт 0,2. </w:t>
      </w:r>
    </w:p>
    <w:p w14:paraId="5C67A846" w14:textId="77777777" w:rsidR="00167B3F" w:rsidRPr="00167B3F" w:rsidRDefault="00167B3F" w:rsidP="00167B3F">
      <w:pPr>
        <w:pStyle w:val="Rvps2"/>
        <w:shd w:val="clear" w:color="auto" w:fill="FFFFFF"/>
        <w:spacing w:after="120"/>
        <w:ind w:firstLine="567"/>
        <w:jc w:val="both"/>
        <w:rPr>
          <w:bCs/>
          <w:sz w:val="28"/>
          <w:szCs w:val="28"/>
        </w:rPr>
      </w:pPr>
      <w:r w:rsidRPr="00167B3F">
        <w:rPr>
          <w:bCs/>
          <w:sz w:val="28"/>
          <w:szCs w:val="28"/>
        </w:rPr>
        <w:lastRenderedPageBreak/>
        <w:t xml:space="preserve">За результатами звітного податкового року професійні гравці у покер мають право на перерахунок податку з доходів у вигляді виграшів у грі у покер на підставі річної податкової декларації за умови документального підтвердження факту отримання доходу у вигляді виграшів у грі у покер та понесених  витрат на отримання права участі у іграх у покер. Порядок документального підтвердження факту отримання доходу у вигляді виграшів у грі у покер та понесених  витрат на отримання права участі у іграх у покер затверджується центральним органом виконавчої влади, що   забезпечує формування та реалізує державну фінансову політику. </w:t>
      </w:r>
    </w:p>
    <w:p w14:paraId="0FAF6CC2" w14:textId="77777777" w:rsidR="00167B3F" w:rsidRPr="00167B3F" w:rsidRDefault="00167B3F" w:rsidP="00167B3F">
      <w:pPr>
        <w:pStyle w:val="Rvps2"/>
        <w:shd w:val="clear" w:color="auto" w:fill="FFFFFF"/>
        <w:spacing w:after="120"/>
        <w:ind w:firstLine="567"/>
        <w:jc w:val="both"/>
        <w:rPr>
          <w:bCs/>
          <w:sz w:val="28"/>
          <w:szCs w:val="28"/>
        </w:rPr>
      </w:pPr>
      <w:r w:rsidRPr="00167B3F">
        <w:rPr>
          <w:bCs/>
          <w:sz w:val="28"/>
          <w:szCs w:val="28"/>
        </w:rPr>
        <w:t>Для цілей цього розділу професійними гравцями у покер вважаються фізичні особи-резиденти, які включені в Реєстр професійних гравців у покер, що ведеться центральним органом виконавчої влади, що реалізує державну політику у сфері фізичної культури та спорту, в порядку, визначеному центральним органом виконавчої влади, що забезпечує формування державної політики у сфері фізичної культури та спорту.</w:t>
      </w:r>
    </w:p>
    <w:p w14:paraId="57EC1475" w14:textId="77777777" w:rsidR="00167B3F" w:rsidRPr="00167B3F" w:rsidRDefault="00167B3F" w:rsidP="00167B3F">
      <w:pPr>
        <w:pStyle w:val="Rvps2"/>
        <w:shd w:val="clear" w:color="auto" w:fill="FFFFFF"/>
        <w:spacing w:after="120"/>
        <w:ind w:firstLine="567"/>
        <w:jc w:val="both"/>
        <w:rPr>
          <w:bCs/>
          <w:sz w:val="28"/>
          <w:szCs w:val="28"/>
        </w:rPr>
      </w:pPr>
      <w:r w:rsidRPr="00167B3F">
        <w:rPr>
          <w:bCs/>
          <w:sz w:val="28"/>
          <w:szCs w:val="28"/>
        </w:rPr>
        <w:t>Включення фізичних осіб-резидентів в Реєстр гравців у покер здійснюється  центральним органом виконавчої влади, що реалізує державну політику у сфері фізичної культури та спорту, або національною спортивною федерацією, яка відповідає за розвиток спортивного покеру в Україні, за умови відповідності таких осіб критеріям, затвердженим центральним органом виконавчої влади, що забезпечує формування державної політики у сфері фізичної культури та спорту. Плата за внесення інформації до Реєстру професійних гравців у покер не стягується.</w:t>
      </w:r>
    </w:p>
    <w:p w14:paraId="16D9BF5F" w14:textId="77777777" w:rsidR="00167B3F" w:rsidRPr="00167B3F" w:rsidRDefault="00167B3F" w:rsidP="00167B3F">
      <w:pPr>
        <w:pStyle w:val="Rvps2"/>
        <w:shd w:val="clear" w:color="auto" w:fill="FFFFFF"/>
        <w:spacing w:after="120"/>
        <w:ind w:firstLine="567"/>
        <w:jc w:val="both"/>
        <w:rPr>
          <w:bCs/>
          <w:sz w:val="28"/>
          <w:szCs w:val="28"/>
        </w:rPr>
      </w:pPr>
      <w:r w:rsidRPr="00167B3F">
        <w:rPr>
          <w:bCs/>
          <w:sz w:val="28"/>
          <w:szCs w:val="28"/>
        </w:rPr>
        <w:t xml:space="preserve">Реєстр професійних гравців у покер є публічним та публікується на офіційному сайті центрального органу виконавчої влади, що реалізує державну політику у сфері фізичної культури та спорту. </w:t>
      </w:r>
    </w:p>
    <w:p w14:paraId="2A0D4773" w14:textId="77777777" w:rsidR="00167B3F" w:rsidRPr="00167B3F" w:rsidRDefault="00167B3F" w:rsidP="00167B3F">
      <w:pPr>
        <w:pStyle w:val="Rvps2"/>
        <w:shd w:val="clear" w:color="auto" w:fill="FFFFFF"/>
        <w:spacing w:after="120"/>
        <w:ind w:firstLine="567"/>
        <w:jc w:val="both"/>
        <w:rPr>
          <w:bCs/>
          <w:sz w:val="28"/>
          <w:szCs w:val="28"/>
        </w:rPr>
      </w:pPr>
      <w:r w:rsidRPr="00167B3F">
        <w:rPr>
          <w:bCs/>
          <w:sz w:val="28"/>
          <w:szCs w:val="28"/>
        </w:rPr>
        <w:t>170.6.3. Дохід у вигляді  окремого виграшу (призу) в азартних іграх та/або лотереях,   сума (вартість) якого не перевищує 50 тисяч гривень, не підлягає оподаткуванню. У разі перевищення  суми (вартості) окремого виграшу (призу) в азартних іграх або лотереях понад суму 50 тисяч гривень,  податковий агент оподатковує всю суму (вартість) такого виплаченого (отриманого) виграшу (призу) за ставкою, визначеною пунктом 167.1 статті 167 цього розділу.</w:t>
      </w:r>
    </w:p>
    <w:p w14:paraId="36CB81C9" w14:textId="77777777" w:rsidR="00167B3F" w:rsidRPr="00167B3F" w:rsidRDefault="00167B3F" w:rsidP="00167B3F">
      <w:pPr>
        <w:pStyle w:val="Rvps2"/>
        <w:shd w:val="clear" w:color="auto" w:fill="FFFFFF"/>
        <w:spacing w:after="120"/>
        <w:ind w:firstLine="567"/>
        <w:jc w:val="both"/>
        <w:rPr>
          <w:bCs/>
          <w:sz w:val="28"/>
          <w:szCs w:val="28"/>
        </w:rPr>
      </w:pPr>
      <w:r w:rsidRPr="00167B3F">
        <w:rPr>
          <w:bCs/>
          <w:sz w:val="28"/>
          <w:szCs w:val="28"/>
        </w:rPr>
        <w:t xml:space="preserve">170.6.4. Податковим агентом платника податку під час нарахування та/або виплати (надання) на його користь доходів, зазначених у цьому пункті (крім доходів у вигляді виграшів (призів) у лотереї), є особа, яка здійснює таке нарахування та/або виплату( надання).  Податковим агентом платника податку під час нарахування та/або виплати (надання) на його користь доходів у вигляді виграшів (призів) у лотереї є оператор лотереї . </w:t>
      </w:r>
    </w:p>
    <w:p w14:paraId="151B8DAE" w14:textId="59B5946E" w:rsidR="00E6474B" w:rsidRDefault="00167B3F" w:rsidP="00167B3F">
      <w:pPr>
        <w:pStyle w:val="Rvps2"/>
        <w:shd w:val="clear" w:color="auto" w:fill="FFFFFF"/>
        <w:spacing w:after="120"/>
        <w:ind w:firstLine="567"/>
        <w:jc w:val="both"/>
        <w:rPr>
          <w:bCs/>
          <w:sz w:val="28"/>
          <w:szCs w:val="28"/>
        </w:rPr>
      </w:pPr>
      <w:r w:rsidRPr="00167B3F">
        <w:rPr>
          <w:bCs/>
          <w:sz w:val="28"/>
          <w:szCs w:val="28"/>
        </w:rPr>
        <w:t xml:space="preserve">170.6.5. Під час нарахування (виплати, надання) доходів, порядок оподаткування яких встановлено цим пунктом, витрати платника податку у зв’язку з отриманням такого доходу (у тому числі по’вязані з придбанням  </w:t>
      </w:r>
      <w:r w:rsidRPr="00167B3F">
        <w:rPr>
          <w:bCs/>
          <w:sz w:val="28"/>
          <w:szCs w:val="28"/>
        </w:rPr>
        <w:lastRenderedPageBreak/>
        <w:t>права на участь у розіграшах, змаганнях)  не враховуються, крім випадку, передбаченого підпунктом 170.6.2 цього пункту</w:t>
      </w:r>
      <w:r w:rsidR="00262C3A" w:rsidRPr="00262C3A">
        <w:rPr>
          <w:bCs/>
          <w:sz w:val="28"/>
          <w:szCs w:val="28"/>
        </w:rPr>
        <w:t>»</w:t>
      </w:r>
      <w:r>
        <w:rPr>
          <w:bCs/>
          <w:sz w:val="28"/>
          <w:szCs w:val="28"/>
        </w:rPr>
        <w:t>;</w:t>
      </w:r>
      <w:r w:rsidR="00262C3A" w:rsidRPr="00262C3A">
        <w:rPr>
          <w:bCs/>
          <w:sz w:val="28"/>
          <w:szCs w:val="28"/>
        </w:rPr>
        <w:t xml:space="preserve"> </w:t>
      </w:r>
    </w:p>
    <w:p w14:paraId="0E2B74D7" w14:textId="260C2CFC" w:rsidR="00D15F44" w:rsidRDefault="00D15F44" w:rsidP="00D15F44">
      <w:pPr>
        <w:pStyle w:val="Rvps2"/>
        <w:shd w:val="clear" w:color="auto" w:fill="FFFFFF"/>
        <w:spacing w:after="120"/>
        <w:ind w:firstLine="567"/>
        <w:jc w:val="both"/>
        <w:rPr>
          <w:bCs/>
          <w:sz w:val="28"/>
          <w:szCs w:val="28"/>
        </w:rPr>
      </w:pPr>
      <w:r>
        <w:rPr>
          <w:bCs/>
          <w:sz w:val="28"/>
          <w:szCs w:val="28"/>
        </w:rPr>
        <w:t>підпункт 170.11.1 пункту 170.11 після слів «</w:t>
      </w:r>
      <w:r w:rsidRPr="00961F93">
        <w:rPr>
          <w:sz w:val="28"/>
          <w:szCs w:val="28"/>
        </w:rPr>
        <w:t xml:space="preserve">що оподатковується в порядку, </w:t>
      </w:r>
      <w:r w:rsidRPr="00AE0BEF">
        <w:rPr>
          <w:bCs/>
          <w:sz w:val="28"/>
          <w:szCs w:val="28"/>
        </w:rPr>
        <w:t>визначеному пунктом 170.2 статті 170 цього Кодексу</w:t>
      </w:r>
      <w:r>
        <w:rPr>
          <w:bCs/>
          <w:sz w:val="28"/>
          <w:szCs w:val="28"/>
        </w:rPr>
        <w:t>»</w:t>
      </w:r>
      <w:r w:rsidR="00AE0BEF">
        <w:rPr>
          <w:bCs/>
          <w:sz w:val="28"/>
          <w:szCs w:val="28"/>
        </w:rPr>
        <w:t xml:space="preserve"> доповнити словами «</w:t>
      </w:r>
      <w:r w:rsidR="00AE0BEF" w:rsidRPr="00AE0BEF">
        <w:rPr>
          <w:bCs/>
          <w:sz w:val="28"/>
          <w:szCs w:val="28"/>
        </w:rPr>
        <w:t>крім доходу у вигляді виграшів у грі у покер, що оподатковується за правилами, визначеними підпунктом 170.6.2 пункту 170.6 статті 170 цього Кодексу</w:t>
      </w:r>
      <w:r w:rsidR="00AE0BEF">
        <w:rPr>
          <w:bCs/>
          <w:sz w:val="28"/>
          <w:szCs w:val="28"/>
        </w:rPr>
        <w:t xml:space="preserve">» </w:t>
      </w:r>
    </w:p>
    <w:p w14:paraId="1277AE4A" w14:textId="028ACD1E" w:rsidR="00D91BF9" w:rsidRPr="00E6474B" w:rsidRDefault="000A455A" w:rsidP="00E6474B">
      <w:pPr>
        <w:pStyle w:val="Rvps2"/>
        <w:shd w:val="clear" w:color="auto" w:fill="FFFFFF"/>
        <w:spacing w:after="120"/>
        <w:ind w:firstLine="567"/>
        <w:jc w:val="both"/>
        <w:rPr>
          <w:bCs/>
          <w:sz w:val="28"/>
          <w:szCs w:val="28"/>
        </w:rPr>
      </w:pPr>
      <w:r w:rsidRPr="00E6474B">
        <w:rPr>
          <w:bCs/>
          <w:sz w:val="28"/>
          <w:szCs w:val="28"/>
        </w:rPr>
        <w:t xml:space="preserve">10. </w:t>
      </w:r>
      <w:r w:rsidR="00D91BF9" w:rsidRPr="00E6474B">
        <w:rPr>
          <w:bCs/>
          <w:sz w:val="28"/>
          <w:szCs w:val="28"/>
        </w:rPr>
        <w:t> У</w:t>
      </w:r>
      <w:r w:rsidRPr="00E6474B">
        <w:rPr>
          <w:bCs/>
          <w:sz w:val="28"/>
          <w:szCs w:val="28"/>
        </w:rPr>
        <w:t xml:space="preserve"> пункті 197.6 статті 197 слова «проведення лотерей» замінити словами «</w:t>
      </w:r>
      <w:r w:rsidR="00AE0BEF" w:rsidRPr="00AE0BEF">
        <w:rPr>
          <w:bCs/>
          <w:sz w:val="28"/>
          <w:szCs w:val="28"/>
        </w:rPr>
        <w:t>організації та проведення азартних ігор,  випуску та проведення лотерей,  проведення</w:t>
      </w:r>
      <w:r w:rsidRPr="00E6474B">
        <w:rPr>
          <w:bCs/>
          <w:sz w:val="28"/>
          <w:szCs w:val="28"/>
        </w:rPr>
        <w:t>»</w:t>
      </w:r>
      <w:r w:rsidR="00D91BF9" w:rsidRPr="00E6474B">
        <w:rPr>
          <w:bCs/>
          <w:sz w:val="28"/>
          <w:szCs w:val="28"/>
        </w:rPr>
        <w:t>.</w:t>
      </w:r>
    </w:p>
    <w:p w14:paraId="2BF70F41" w14:textId="5F45BCD4" w:rsidR="00D91BF9" w:rsidRPr="00070EE1" w:rsidRDefault="00070EE1" w:rsidP="00EA52BA">
      <w:pPr>
        <w:pStyle w:val="Rvps2"/>
        <w:shd w:val="clear" w:color="auto" w:fill="FFFFFF"/>
        <w:spacing w:before="0" w:after="120"/>
        <w:ind w:firstLine="567"/>
        <w:jc w:val="both"/>
        <w:rPr>
          <w:bCs/>
          <w:color w:val="000000"/>
          <w:sz w:val="28"/>
          <w:szCs w:val="28"/>
        </w:rPr>
      </w:pPr>
      <w:r w:rsidRPr="00070EE1">
        <w:rPr>
          <w:bCs/>
          <w:color w:val="000000"/>
          <w:sz w:val="28"/>
          <w:szCs w:val="28"/>
        </w:rPr>
        <w:t>11.</w:t>
      </w:r>
      <w:r w:rsidR="00175699" w:rsidRPr="00070EE1">
        <w:rPr>
          <w:bCs/>
          <w:color w:val="000000"/>
          <w:sz w:val="28"/>
          <w:szCs w:val="28"/>
        </w:rPr>
        <w:t xml:space="preserve"> </w:t>
      </w:r>
      <w:r w:rsidR="00D91BF9" w:rsidRPr="00070EE1">
        <w:rPr>
          <w:bCs/>
          <w:color w:val="000000"/>
          <w:sz w:val="28"/>
          <w:szCs w:val="28"/>
        </w:rPr>
        <w:t xml:space="preserve">Підпункт </w:t>
      </w:r>
      <w:r w:rsidR="00525F7E" w:rsidRPr="00070EE1">
        <w:rPr>
          <w:bCs/>
          <w:color w:val="000000"/>
          <w:sz w:val="28"/>
          <w:szCs w:val="28"/>
        </w:rPr>
        <w:t>1</w:t>
      </w:r>
      <w:r w:rsidR="00D91BF9" w:rsidRPr="00070EE1">
        <w:rPr>
          <w:bCs/>
          <w:color w:val="000000"/>
          <w:sz w:val="28"/>
          <w:szCs w:val="28"/>
        </w:rPr>
        <w:t xml:space="preserve"> підпункту 291.5.1 пункту 291.5 статті 291 викласти в такій редакції:</w:t>
      </w:r>
    </w:p>
    <w:p w14:paraId="116A078F" w14:textId="37F28A39" w:rsidR="00070EE1" w:rsidRPr="00070EE1" w:rsidRDefault="00070EE1" w:rsidP="00EA52BA">
      <w:pPr>
        <w:pStyle w:val="Rvps2"/>
        <w:shd w:val="clear" w:color="auto" w:fill="FFFFFF"/>
        <w:spacing w:before="0" w:after="120"/>
        <w:ind w:firstLine="567"/>
        <w:jc w:val="both"/>
        <w:rPr>
          <w:sz w:val="28"/>
          <w:szCs w:val="28"/>
        </w:rPr>
      </w:pPr>
      <w:r w:rsidRPr="00070EE1">
        <w:rPr>
          <w:bCs/>
          <w:color w:val="000000"/>
          <w:sz w:val="28"/>
          <w:szCs w:val="28"/>
        </w:rPr>
        <w:t>«</w:t>
      </w:r>
      <w:r w:rsidRPr="00070EE1">
        <w:rPr>
          <w:sz w:val="28"/>
          <w:szCs w:val="28"/>
        </w:rPr>
        <w:t>1) діяльність з організації та проведення азартних ігор та/ або діяльність з випуску та проведення лотерей (крім розповсюдження лотерей);».</w:t>
      </w:r>
    </w:p>
    <w:p w14:paraId="79F2632A" w14:textId="57A80535" w:rsidR="00070EE1" w:rsidRPr="00070EE1" w:rsidRDefault="00070EE1" w:rsidP="00EA52BA">
      <w:pPr>
        <w:pStyle w:val="Rvps2"/>
        <w:shd w:val="clear" w:color="auto" w:fill="FFFFFF"/>
        <w:spacing w:before="0" w:after="120"/>
        <w:ind w:firstLine="567"/>
        <w:jc w:val="both"/>
        <w:rPr>
          <w:bCs/>
          <w:color w:val="000000"/>
          <w:sz w:val="28"/>
          <w:szCs w:val="28"/>
        </w:rPr>
      </w:pPr>
      <w:r>
        <w:rPr>
          <w:sz w:val="28"/>
          <w:szCs w:val="28"/>
        </w:rPr>
        <w:t>12</w:t>
      </w:r>
      <w:r w:rsidRPr="00070EE1">
        <w:rPr>
          <w:sz w:val="28"/>
          <w:szCs w:val="28"/>
        </w:rPr>
        <w:t xml:space="preserve">. </w:t>
      </w:r>
      <w:r w:rsidR="00AE0BEF">
        <w:rPr>
          <w:bCs/>
          <w:color w:val="000000"/>
          <w:sz w:val="28"/>
          <w:szCs w:val="28"/>
        </w:rPr>
        <w:t>П</w:t>
      </w:r>
      <w:r w:rsidR="00AE0BEF" w:rsidRPr="00070EE1">
        <w:rPr>
          <w:bCs/>
          <w:color w:val="000000"/>
          <w:sz w:val="28"/>
          <w:szCs w:val="28"/>
        </w:rPr>
        <w:t xml:space="preserve">ункт 48 </w:t>
      </w:r>
      <w:r w:rsidRPr="00070EE1">
        <w:rPr>
          <w:bCs/>
          <w:color w:val="000000"/>
          <w:sz w:val="28"/>
          <w:szCs w:val="28"/>
        </w:rPr>
        <w:t>підрозділ</w:t>
      </w:r>
      <w:r w:rsidR="00AE0BEF">
        <w:rPr>
          <w:bCs/>
          <w:color w:val="000000"/>
          <w:sz w:val="28"/>
          <w:szCs w:val="28"/>
        </w:rPr>
        <w:t>у</w:t>
      </w:r>
      <w:r w:rsidRPr="00070EE1">
        <w:rPr>
          <w:bCs/>
          <w:color w:val="000000"/>
          <w:sz w:val="28"/>
          <w:szCs w:val="28"/>
        </w:rPr>
        <w:t xml:space="preserve"> 4 Розділу XX «Перехідні положення»</w:t>
      </w:r>
      <w:r w:rsidR="00AE0BEF" w:rsidRPr="00AE0BEF">
        <w:rPr>
          <w:bCs/>
          <w:color w:val="000000"/>
          <w:sz w:val="28"/>
          <w:szCs w:val="28"/>
        </w:rPr>
        <w:t xml:space="preserve"> </w:t>
      </w:r>
      <w:r w:rsidR="00AE0BEF" w:rsidRPr="00070EE1">
        <w:rPr>
          <w:bCs/>
          <w:color w:val="000000"/>
          <w:sz w:val="28"/>
          <w:szCs w:val="28"/>
        </w:rPr>
        <w:t>виключити</w:t>
      </w:r>
      <w:r w:rsidR="00AE0BEF">
        <w:rPr>
          <w:bCs/>
          <w:color w:val="000000"/>
          <w:sz w:val="28"/>
          <w:szCs w:val="28"/>
        </w:rPr>
        <w:t>.</w:t>
      </w:r>
    </w:p>
    <w:p w14:paraId="502F75C1" w14:textId="4549F194" w:rsidR="00D91BF9" w:rsidRPr="00D91BF9" w:rsidRDefault="00D91BF9" w:rsidP="00EA52BA">
      <w:pPr>
        <w:shd w:val="clear" w:color="auto" w:fill="FFFFFF"/>
        <w:spacing w:after="120" w:line="240" w:lineRule="auto"/>
        <w:ind w:firstLine="709"/>
        <w:jc w:val="both"/>
        <w:rPr>
          <w:rFonts w:ascii="Times New Roman" w:eastAsia="Times New Roman" w:hAnsi="Times New Roman" w:cs="Times New Roman"/>
          <w:sz w:val="24"/>
          <w:szCs w:val="24"/>
        </w:rPr>
      </w:pPr>
      <w:r w:rsidRPr="00D91BF9">
        <w:rPr>
          <w:rFonts w:ascii="Times New Roman" w:eastAsia="Times New Roman" w:hAnsi="Times New Roman" w:cs="Times New Roman"/>
          <w:color w:val="000000"/>
          <w:sz w:val="28"/>
          <w:szCs w:val="28"/>
        </w:rPr>
        <w:t>ІІ. Прикінцеві положення</w:t>
      </w:r>
    </w:p>
    <w:p w14:paraId="47C555A3" w14:textId="6BD0A5C0" w:rsidR="00D91BF9" w:rsidRPr="00AE0BEF" w:rsidRDefault="001D14BC" w:rsidP="00AE0BEF">
      <w:pPr>
        <w:pStyle w:val="Rvps2"/>
        <w:shd w:val="clear" w:color="auto" w:fill="FFFFFF"/>
        <w:spacing w:before="0" w:after="120"/>
        <w:ind w:firstLine="567"/>
        <w:jc w:val="both"/>
        <w:rPr>
          <w:bCs/>
          <w:color w:val="000000"/>
          <w:sz w:val="28"/>
          <w:szCs w:val="28"/>
        </w:rPr>
      </w:pPr>
      <w:r w:rsidRPr="00AE0BEF">
        <w:rPr>
          <w:bCs/>
          <w:color w:val="000000"/>
          <w:sz w:val="28"/>
          <w:szCs w:val="28"/>
        </w:rPr>
        <w:t xml:space="preserve"> </w:t>
      </w:r>
      <w:r w:rsidR="00AE0BEF">
        <w:rPr>
          <w:bCs/>
          <w:color w:val="000000"/>
          <w:sz w:val="28"/>
          <w:szCs w:val="28"/>
        </w:rPr>
        <w:t xml:space="preserve">1. </w:t>
      </w:r>
      <w:r w:rsidR="00D91BF9" w:rsidRPr="00AE0BEF">
        <w:rPr>
          <w:bCs/>
          <w:color w:val="000000"/>
          <w:sz w:val="28"/>
          <w:szCs w:val="28"/>
        </w:rPr>
        <w:t>Цей Закон набирає чинності з дня, наступного за днем його опублікування.</w:t>
      </w:r>
    </w:p>
    <w:p w14:paraId="2300C383" w14:textId="3C089660" w:rsidR="00AE0BEF" w:rsidRDefault="00AE0BEF" w:rsidP="00AE0BEF">
      <w:pPr>
        <w:pStyle w:val="Rvps2"/>
        <w:shd w:val="clear" w:color="auto" w:fill="FFFFFF"/>
        <w:spacing w:before="0" w:after="120"/>
        <w:ind w:firstLine="567"/>
        <w:jc w:val="both"/>
        <w:rPr>
          <w:bCs/>
          <w:color w:val="000000"/>
          <w:sz w:val="28"/>
          <w:szCs w:val="28"/>
        </w:rPr>
      </w:pPr>
      <w:r>
        <w:rPr>
          <w:bCs/>
          <w:color w:val="000000"/>
          <w:sz w:val="28"/>
          <w:szCs w:val="28"/>
        </w:rPr>
        <w:t xml:space="preserve">2. </w:t>
      </w:r>
      <w:r w:rsidRPr="00AE0BEF">
        <w:rPr>
          <w:bCs/>
          <w:color w:val="000000"/>
          <w:sz w:val="28"/>
          <w:szCs w:val="28"/>
        </w:rPr>
        <w:t>Внести</w:t>
      </w:r>
      <w:r>
        <w:rPr>
          <w:bCs/>
          <w:color w:val="000000"/>
          <w:sz w:val="28"/>
          <w:szCs w:val="28"/>
        </w:rPr>
        <w:t xml:space="preserve"> до Закону України «</w:t>
      </w:r>
      <w:r w:rsidRPr="00AE0BEF">
        <w:rPr>
          <w:bCs/>
          <w:color w:val="000000"/>
          <w:sz w:val="28"/>
          <w:szCs w:val="28"/>
        </w:rPr>
        <w:t>Про державне регулювання діяльності щодо організації та проведення азартних ігор</w:t>
      </w:r>
      <w:r>
        <w:rPr>
          <w:bCs/>
          <w:color w:val="000000"/>
          <w:sz w:val="28"/>
          <w:szCs w:val="28"/>
        </w:rPr>
        <w:t>»</w:t>
      </w:r>
      <w:r w:rsidRPr="00AE0BEF">
        <w:rPr>
          <w:bCs/>
          <w:color w:val="000000"/>
          <w:sz w:val="28"/>
          <w:szCs w:val="28"/>
        </w:rPr>
        <w:t xml:space="preserve"> </w:t>
      </w:r>
      <w:r w:rsidR="002A7B33" w:rsidRPr="002A7B33">
        <w:rPr>
          <w:bCs/>
          <w:color w:val="000000"/>
          <w:sz w:val="28"/>
          <w:szCs w:val="28"/>
        </w:rPr>
        <w:t>(Голос України від 12.08.2020 -№№ 141-142)</w:t>
      </w:r>
      <w:r w:rsidR="002A7B33">
        <w:rPr>
          <w:bCs/>
          <w:color w:val="000000"/>
          <w:sz w:val="28"/>
          <w:szCs w:val="28"/>
        </w:rPr>
        <w:t xml:space="preserve"> такі </w:t>
      </w:r>
      <w:r w:rsidRPr="00AE0BEF">
        <w:rPr>
          <w:bCs/>
          <w:color w:val="000000"/>
          <w:sz w:val="28"/>
          <w:szCs w:val="28"/>
        </w:rPr>
        <w:t>зміни:</w:t>
      </w:r>
    </w:p>
    <w:p w14:paraId="25D2443D" w14:textId="5A9F7AED" w:rsidR="002A7B33" w:rsidRDefault="002A7B33" w:rsidP="002A7B33">
      <w:pPr>
        <w:pStyle w:val="Rvps2"/>
        <w:shd w:val="clear" w:color="auto" w:fill="FFFFFF"/>
        <w:spacing w:before="0" w:after="120"/>
        <w:ind w:firstLine="567"/>
        <w:jc w:val="both"/>
        <w:rPr>
          <w:sz w:val="28"/>
          <w:szCs w:val="28"/>
        </w:rPr>
      </w:pPr>
      <w:r>
        <w:rPr>
          <w:sz w:val="28"/>
          <w:szCs w:val="28"/>
        </w:rPr>
        <w:t>1) частину третю статті 7 виключити;</w:t>
      </w:r>
    </w:p>
    <w:p w14:paraId="0E90A976" w14:textId="2F90D6E1" w:rsidR="002A7B33" w:rsidRPr="002A7B33" w:rsidRDefault="002A7B33" w:rsidP="002A7B33">
      <w:pPr>
        <w:pStyle w:val="Rvps2"/>
        <w:shd w:val="clear" w:color="auto" w:fill="FFFFFF"/>
        <w:spacing w:before="0" w:after="120"/>
        <w:ind w:firstLine="567"/>
        <w:jc w:val="both"/>
        <w:rPr>
          <w:sz w:val="28"/>
          <w:szCs w:val="28"/>
        </w:rPr>
      </w:pPr>
      <w:r w:rsidRPr="002A7B33">
        <w:rPr>
          <w:sz w:val="28"/>
          <w:szCs w:val="28"/>
        </w:rPr>
        <w:t>2) абзац другий пункту 1 розділу ХІ «Прикінцеві та перехідні положення» доповнити словами «</w:t>
      </w:r>
      <w:r w:rsidRPr="002A7B33">
        <w:rPr>
          <w:color w:val="333333"/>
          <w:sz w:val="28"/>
          <w:szCs w:val="28"/>
          <w:lang w:eastAsia="en-US"/>
        </w:rPr>
        <w:t>та застосовуються з 1 січня 2022 року</w:t>
      </w:r>
      <w:r w:rsidRPr="002A7B33">
        <w:rPr>
          <w:sz w:val="28"/>
          <w:szCs w:val="28"/>
        </w:rPr>
        <w:t>».</w:t>
      </w:r>
    </w:p>
    <w:p w14:paraId="787336F6" w14:textId="4404F2D9" w:rsidR="00D91BF9" w:rsidRPr="002A7B33" w:rsidRDefault="002A7B33" w:rsidP="002A7B33">
      <w:pPr>
        <w:pStyle w:val="Rvps2"/>
        <w:shd w:val="clear" w:color="auto" w:fill="FFFFFF"/>
        <w:spacing w:before="0" w:after="120"/>
        <w:ind w:firstLine="567"/>
        <w:jc w:val="both"/>
        <w:rPr>
          <w:bCs/>
          <w:color w:val="000000"/>
          <w:sz w:val="28"/>
          <w:szCs w:val="28"/>
        </w:rPr>
      </w:pPr>
      <w:r w:rsidRPr="002A7B33">
        <w:rPr>
          <w:bCs/>
          <w:color w:val="000000"/>
          <w:sz w:val="28"/>
          <w:szCs w:val="28"/>
        </w:rPr>
        <w:t xml:space="preserve">3. </w:t>
      </w:r>
      <w:r w:rsidR="00D91BF9" w:rsidRPr="002A7B33">
        <w:rPr>
          <w:bCs/>
          <w:color w:val="000000"/>
          <w:sz w:val="28"/>
          <w:szCs w:val="28"/>
        </w:rPr>
        <w:t>Кабінету Міністрів України у тримісячний строк привести свої нормативно-правові акти у відповідність з цим Законом.</w:t>
      </w:r>
    </w:p>
    <w:p w14:paraId="4DFFA62F" w14:textId="1C43E1A2" w:rsidR="00D91BF9" w:rsidRPr="00D91BF9" w:rsidRDefault="00D91BF9" w:rsidP="00EA52BA">
      <w:pPr>
        <w:shd w:val="clear" w:color="auto" w:fill="FFFFFF"/>
        <w:spacing w:after="120" w:line="240" w:lineRule="auto"/>
        <w:ind w:firstLine="709"/>
        <w:jc w:val="both"/>
        <w:rPr>
          <w:rFonts w:ascii="Times New Roman" w:eastAsia="Times New Roman" w:hAnsi="Times New Roman" w:cs="Times New Roman"/>
          <w:sz w:val="24"/>
          <w:szCs w:val="24"/>
        </w:rPr>
      </w:pPr>
      <w:r w:rsidRPr="00D91BF9">
        <w:rPr>
          <w:rFonts w:ascii="Times New Roman" w:eastAsia="Times New Roman" w:hAnsi="Times New Roman" w:cs="Times New Roman"/>
          <w:sz w:val="24"/>
          <w:szCs w:val="24"/>
        </w:rPr>
        <w:t> </w:t>
      </w:r>
    </w:p>
    <w:p w14:paraId="63972C2B" w14:textId="77777777" w:rsidR="00D91BF9" w:rsidRPr="00D91BF9" w:rsidRDefault="00D91BF9" w:rsidP="00EA52BA">
      <w:pPr>
        <w:shd w:val="clear" w:color="auto" w:fill="FFFFFF"/>
        <w:spacing w:after="120" w:line="240" w:lineRule="auto"/>
        <w:ind w:firstLine="709"/>
        <w:jc w:val="both"/>
        <w:rPr>
          <w:rFonts w:ascii="Times New Roman" w:eastAsia="Times New Roman" w:hAnsi="Times New Roman" w:cs="Times New Roman"/>
          <w:sz w:val="24"/>
          <w:szCs w:val="24"/>
        </w:rPr>
      </w:pPr>
      <w:r w:rsidRPr="00D91BF9">
        <w:rPr>
          <w:rFonts w:ascii="Times New Roman" w:eastAsia="Times New Roman" w:hAnsi="Times New Roman" w:cs="Times New Roman"/>
          <w:b/>
          <w:bCs/>
          <w:color w:val="000000"/>
          <w:sz w:val="28"/>
          <w:szCs w:val="28"/>
        </w:rPr>
        <w:t>Голова Верховної Ради </w:t>
      </w:r>
    </w:p>
    <w:p w14:paraId="71F70E70" w14:textId="1570AD5F" w:rsidR="00F0321D" w:rsidRPr="00EA52BA" w:rsidRDefault="00D91BF9" w:rsidP="00EA52BA">
      <w:pPr>
        <w:shd w:val="clear" w:color="auto" w:fill="FFFFFF"/>
        <w:spacing w:after="120" w:line="360" w:lineRule="auto"/>
        <w:ind w:firstLine="709"/>
        <w:jc w:val="both"/>
        <w:rPr>
          <w:rFonts w:ascii="Times New Roman" w:eastAsia="Times New Roman" w:hAnsi="Times New Roman" w:cs="Times New Roman"/>
          <w:sz w:val="24"/>
          <w:szCs w:val="24"/>
        </w:rPr>
      </w:pPr>
      <w:r w:rsidRPr="00D91BF9">
        <w:rPr>
          <w:rFonts w:ascii="Times New Roman" w:eastAsia="Times New Roman" w:hAnsi="Times New Roman" w:cs="Times New Roman"/>
          <w:b/>
          <w:bCs/>
          <w:color w:val="000000"/>
          <w:sz w:val="28"/>
          <w:szCs w:val="28"/>
        </w:rPr>
        <w:t>України</w:t>
      </w:r>
    </w:p>
    <w:sectPr w:rsidR="00F0321D" w:rsidRPr="00EA52BA">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043D2A" w14:textId="77777777" w:rsidR="006335B7" w:rsidRDefault="006335B7" w:rsidP="000621ED">
      <w:pPr>
        <w:spacing w:after="0" w:line="240" w:lineRule="auto"/>
      </w:pPr>
      <w:r>
        <w:separator/>
      </w:r>
    </w:p>
  </w:endnote>
  <w:endnote w:type="continuationSeparator" w:id="0">
    <w:p w14:paraId="0A3BCE1D" w14:textId="77777777" w:rsidR="006335B7" w:rsidRDefault="006335B7" w:rsidP="00062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6572296"/>
      <w:docPartObj>
        <w:docPartGallery w:val="Page Numbers (Bottom of Page)"/>
        <w:docPartUnique/>
      </w:docPartObj>
    </w:sdtPr>
    <w:sdtEndPr/>
    <w:sdtContent>
      <w:p w14:paraId="280CC8E2" w14:textId="0EDDDBDA" w:rsidR="000621ED" w:rsidRDefault="000621ED">
        <w:pPr>
          <w:pStyle w:val="a7"/>
          <w:jc w:val="right"/>
        </w:pPr>
        <w:r>
          <w:fldChar w:fldCharType="begin"/>
        </w:r>
        <w:r>
          <w:instrText>PAGE   \* MERGEFORMAT</w:instrText>
        </w:r>
        <w:r>
          <w:fldChar w:fldCharType="separate"/>
        </w:r>
        <w:r w:rsidR="00852AEC" w:rsidRPr="00852AEC">
          <w:rPr>
            <w:noProof/>
            <w:lang w:val="ru-RU"/>
          </w:rPr>
          <w:t>1</w:t>
        </w:r>
        <w:r>
          <w:fldChar w:fldCharType="end"/>
        </w:r>
      </w:p>
    </w:sdtContent>
  </w:sdt>
  <w:p w14:paraId="30D261D2" w14:textId="77777777" w:rsidR="000621ED" w:rsidRDefault="000621E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20474C" w14:textId="77777777" w:rsidR="006335B7" w:rsidRDefault="006335B7" w:rsidP="000621ED">
      <w:pPr>
        <w:spacing w:after="0" w:line="240" w:lineRule="auto"/>
      </w:pPr>
      <w:r>
        <w:separator/>
      </w:r>
    </w:p>
  </w:footnote>
  <w:footnote w:type="continuationSeparator" w:id="0">
    <w:p w14:paraId="68E70E72" w14:textId="77777777" w:rsidR="006335B7" w:rsidRDefault="006335B7" w:rsidP="000621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2F60"/>
    <w:multiLevelType w:val="multilevel"/>
    <w:tmpl w:val="55F073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BD1157"/>
    <w:multiLevelType w:val="multilevel"/>
    <w:tmpl w:val="EFDC85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AC56C5"/>
    <w:multiLevelType w:val="multilevel"/>
    <w:tmpl w:val="F160B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F508F4"/>
    <w:multiLevelType w:val="multilevel"/>
    <w:tmpl w:val="C5946ACC"/>
    <w:lvl w:ilvl="0">
      <w:start w:val="3"/>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437A0C"/>
    <w:multiLevelType w:val="hybridMultilevel"/>
    <w:tmpl w:val="74FA1754"/>
    <w:lvl w:ilvl="0" w:tplc="0A8E2AF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293B704B"/>
    <w:multiLevelType w:val="multilevel"/>
    <w:tmpl w:val="9D52D7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DA39BC"/>
    <w:multiLevelType w:val="multilevel"/>
    <w:tmpl w:val="4FC2139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CB64F3"/>
    <w:multiLevelType w:val="multilevel"/>
    <w:tmpl w:val="F132C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1F0856"/>
    <w:multiLevelType w:val="multilevel"/>
    <w:tmpl w:val="DDEEA2F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352E09"/>
    <w:multiLevelType w:val="multilevel"/>
    <w:tmpl w:val="8B280A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1C7F5B"/>
    <w:multiLevelType w:val="multilevel"/>
    <w:tmpl w:val="4378D1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602FE8"/>
    <w:multiLevelType w:val="multilevel"/>
    <w:tmpl w:val="34B2E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9A7AC5"/>
    <w:multiLevelType w:val="multilevel"/>
    <w:tmpl w:val="45F431D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04A13AD"/>
    <w:multiLevelType w:val="multilevel"/>
    <w:tmpl w:val="129C3B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745D03"/>
    <w:multiLevelType w:val="multilevel"/>
    <w:tmpl w:val="098CA0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2C3CEA"/>
    <w:multiLevelType w:val="hybridMultilevel"/>
    <w:tmpl w:val="25A214C6"/>
    <w:lvl w:ilvl="0" w:tplc="7A8857C2">
      <w:start w:val="4"/>
      <w:numFmt w:val="decimal"/>
      <w:lvlText w:val="%1."/>
      <w:lvlJc w:val="left"/>
      <w:pPr>
        <w:ind w:left="644" w:hanging="360"/>
      </w:pPr>
      <w:rPr>
        <w:rFonts w:hint="default"/>
      </w:rPr>
    </w:lvl>
    <w:lvl w:ilvl="1" w:tplc="20000019" w:tentative="1">
      <w:start w:val="1"/>
      <w:numFmt w:val="lowerLetter"/>
      <w:lvlText w:val="%2."/>
      <w:lvlJc w:val="left"/>
      <w:pPr>
        <w:ind w:left="1704" w:hanging="360"/>
      </w:pPr>
    </w:lvl>
    <w:lvl w:ilvl="2" w:tplc="2000001B" w:tentative="1">
      <w:start w:val="1"/>
      <w:numFmt w:val="lowerRoman"/>
      <w:lvlText w:val="%3."/>
      <w:lvlJc w:val="right"/>
      <w:pPr>
        <w:ind w:left="2424" w:hanging="180"/>
      </w:pPr>
    </w:lvl>
    <w:lvl w:ilvl="3" w:tplc="2000000F" w:tentative="1">
      <w:start w:val="1"/>
      <w:numFmt w:val="decimal"/>
      <w:lvlText w:val="%4."/>
      <w:lvlJc w:val="left"/>
      <w:pPr>
        <w:ind w:left="3144" w:hanging="360"/>
      </w:pPr>
    </w:lvl>
    <w:lvl w:ilvl="4" w:tplc="20000019" w:tentative="1">
      <w:start w:val="1"/>
      <w:numFmt w:val="lowerLetter"/>
      <w:lvlText w:val="%5."/>
      <w:lvlJc w:val="left"/>
      <w:pPr>
        <w:ind w:left="3864" w:hanging="360"/>
      </w:pPr>
    </w:lvl>
    <w:lvl w:ilvl="5" w:tplc="2000001B" w:tentative="1">
      <w:start w:val="1"/>
      <w:numFmt w:val="lowerRoman"/>
      <w:lvlText w:val="%6."/>
      <w:lvlJc w:val="right"/>
      <w:pPr>
        <w:ind w:left="4584" w:hanging="180"/>
      </w:pPr>
    </w:lvl>
    <w:lvl w:ilvl="6" w:tplc="2000000F" w:tentative="1">
      <w:start w:val="1"/>
      <w:numFmt w:val="decimal"/>
      <w:lvlText w:val="%7."/>
      <w:lvlJc w:val="left"/>
      <w:pPr>
        <w:ind w:left="5304" w:hanging="360"/>
      </w:pPr>
    </w:lvl>
    <w:lvl w:ilvl="7" w:tplc="20000019" w:tentative="1">
      <w:start w:val="1"/>
      <w:numFmt w:val="lowerLetter"/>
      <w:lvlText w:val="%8."/>
      <w:lvlJc w:val="left"/>
      <w:pPr>
        <w:ind w:left="6024" w:hanging="360"/>
      </w:pPr>
    </w:lvl>
    <w:lvl w:ilvl="8" w:tplc="2000001B" w:tentative="1">
      <w:start w:val="1"/>
      <w:numFmt w:val="lowerRoman"/>
      <w:lvlText w:val="%9."/>
      <w:lvlJc w:val="right"/>
      <w:pPr>
        <w:ind w:left="6744" w:hanging="180"/>
      </w:pPr>
    </w:lvl>
  </w:abstractNum>
  <w:abstractNum w:abstractNumId="16" w15:restartNumberingAfterBreak="0">
    <w:nsid w:val="7D574EDC"/>
    <w:multiLevelType w:val="multilevel"/>
    <w:tmpl w:val="46A475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
  </w:num>
  <w:num w:numId="3">
    <w:abstractNumId w:val="5"/>
    <w:lvlOverride w:ilvl="0">
      <w:lvl w:ilvl="0">
        <w:numFmt w:val="decimal"/>
        <w:lvlText w:val="%1."/>
        <w:lvlJc w:val="left"/>
      </w:lvl>
    </w:lvlOverride>
  </w:num>
  <w:num w:numId="4">
    <w:abstractNumId w:val="1"/>
    <w:lvlOverride w:ilvl="0">
      <w:lvl w:ilvl="0">
        <w:numFmt w:val="decimal"/>
        <w:lvlText w:val="%1."/>
        <w:lvlJc w:val="left"/>
      </w:lvl>
    </w:lvlOverride>
  </w:num>
  <w:num w:numId="5">
    <w:abstractNumId w:val="3"/>
    <w:lvlOverride w:ilvl="0">
      <w:lvl w:ilvl="0">
        <w:numFmt w:val="decimal"/>
        <w:lvlText w:val="%1."/>
        <w:lvlJc w:val="left"/>
      </w:lvl>
    </w:lvlOverride>
  </w:num>
  <w:num w:numId="6">
    <w:abstractNumId w:val="10"/>
    <w:lvlOverride w:ilvl="0">
      <w:lvl w:ilvl="0">
        <w:numFmt w:val="decimal"/>
        <w:lvlText w:val="%1."/>
        <w:lvlJc w:val="left"/>
      </w:lvl>
    </w:lvlOverride>
  </w:num>
  <w:num w:numId="7">
    <w:abstractNumId w:val="9"/>
    <w:lvlOverride w:ilvl="0">
      <w:lvl w:ilvl="0">
        <w:numFmt w:val="decimal"/>
        <w:lvlText w:val="%1."/>
        <w:lvlJc w:val="left"/>
      </w:lvl>
    </w:lvlOverride>
  </w:num>
  <w:num w:numId="8">
    <w:abstractNumId w:val="9"/>
    <w:lvlOverride w:ilvl="0">
      <w:lvl w:ilvl="0">
        <w:numFmt w:val="decimal"/>
        <w:lvlText w:val="%1."/>
        <w:lvlJc w:val="left"/>
      </w:lvl>
    </w:lvlOverride>
  </w:num>
  <w:num w:numId="9">
    <w:abstractNumId w:val="13"/>
    <w:lvlOverride w:ilvl="0">
      <w:lvl w:ilvl="0">
        <w:numFmt w:val="decimal"/>
        <w:lvlText w:val="%1."/>
        <w:lvlJc w:val="left"/>
      </w:lvl>
    </w:lvlOverride>
  </w:num>
  <w:num w:numId="10">
    <w:abstractNumId w:val="14"/>
    <w:lvlOverride w:ilvl="0">
      <w:lvl w:ilvl="0">
        <w:numFmt w:val="decimal"/>
        <w:lvlText w:val="%1."/>
        <w:lvlJc w:val="left"/>
      </w:lvl>
    </w:lvlOverride>
  </w:num>
  <w:num w:numId="11">
    <w:abstractNumId w:val="8"/>
    <w:lvlOverride w:ilvl="0">
      <w:lvl w:ilvl="0">
        <w:numFmt w:val="decimal"/>
        <w:lvlText w:val="%1."/>
        <w:lvlJc w:val="left"/>
      </w:lvl>
    </w:lvlOverride>
  </w:num>
  <w:num w:numId="12">
    <w:abstractNumId w:val="16"/>
    <w:lvlOverride w:ilvl="0">
      <w:lvl w:ilvl="0">
        <w:numFmt w:val="decimal"/>
        <w:lvlText w:val="%1."/>
        <w:lvlJc w:val="left"/>
      </w:lvl>
    </w:lvlOverride>
  </w:num>
  <w:num w:numId="13">
    <w:abstractNumId w:val="6"/>
    <w:lvlOverride w:ilvl="0">
      <w:lvl w:ilvl="0">
        <w:numFmt w:val="decimal"/>
        <w:lvlText w:val="%1."/>
        <w:lvlJc w:val="left"/>
      </w:lvl>
    </w:lvlOverride>
  </w:num>
  <w:num w:numId="14">
    <w:abstractNumId w:val="0"/>
    <w:lvlOverride w:ilvl="0">
      <w:lvl w:ilvl="0">
        <w:numFmt w:val="decimal"/>
        <w:lvlText w:val="%1."/>
        <w:lvlJc w:val="left"/>
      </w:lvl>
    </w:lvlOverride>
  </w:num>
  <w:num w:numId="15">
    <w:abstractNumId w:val="12"/>
    <w:lvlOverride w:ilvl="0">
      <w:lvl w:ilvl="0">
        <w:numFmt w:val="decimal"/>
        <w:lvlText w:val="%1."/>
        <w:lvlJc w:val="left"/>
      </w:lvl>
    </w:lvlOverride>
  </w:num>
  <w:num w:numId="16">
    <w:abstractNumId w:val="7"/>
  </w:num>
  <w:num w:numId="17">
    <w:abstractNumId w:val="1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BF9"/>
    <w:rsid w:val="000147E7"/>
    <w:rsid w:val="000621ED"/>
    <w:rsid w:val="00070EE1"/>
    <w:rsid w:val="0007367E"/>
    <w:rsid w:val="000929F7"/>
    <w:rsid w:val="000A455A"/>
    <w:rsid w:val="000C253F"/>
    <w:rsid w:val="00167B3F"/>
    <w:rsid w:val="00175699"/>
    <w:rsid w:val="00182E5C"/>
    <w:rsid w:val="001A1039"/>
    <w:rsid w:val="001D14BC"/>
    <w:rsid w:val="00262C3A"/>
    <w:rsid w:val="002A7B33"/>
    <w:rsid w:val="00311F6A"/>
    <w:rsid w:val="0034585A"/>
    <w:rsid w:val="00394E80"/>
    <w:rsid w:val="00486BB2"/>
    <w:rsid w:val="004C7A2F"/>
    <w:rsid w:val="004F5DE1"/>
    <w:rsid w:val="00525F7E"/>
    <w:rsid w:val="00627534"/>
    <w:rsid w:val="006335B7"/>
    <w:rsid w:val="006765FB"/>
    <w:rsid w:val="00694C64"/>
    <w:rsid w:val="00775DF0"/>
    <w:rsid w:val="00793986"/>
    <w:rsid w:val="007F2FCF"/>
    <w:rsid w:val="00827B45"/>
    <w:rsid w:val="00852AEC"/>
    <w:rsid w:val="008637E6"/>
    <w:rsid w:val="00884B18"/>
    <w:rsid w:val="008A2778"/>
    <w:rsid w:val="008C1DE6"/>
    <w:rsid w:val="008D1A81"/>
    <w:rsid w:val="00927ACA"/>
    <w:rsid w:val="009C54D8"/>
    <w:rsid w:val="009C6BCA"/>
    <w:rsid w:val="00AA27BE"/>
    <w:rsid w:val="00AC43EB"/>
    <w:rsid w:val="00AE0BEF"/>
    <w:rsid w:val="00AE7424"/>
    <w:rsid w:val="00B17A9B"/>
    <w:rsid w:val="00B728C6"/>
    <w:rsid w:val="00B91718"/>
    <w:rsid w:val="00BB3791"/>
    <w:rsid w:val="00BB642F"/>
    <w:rsid w:val="00C9272A"/>
    <w:rsid w:val="00CE2BDA"/>
    <w:rsid w:val="00CF4E05"/>
    <w:rsid w:val="00D15F44"/>
    <w:rsid w:val="00D20289"/>
    <w:rsid w:val="00D361B4"/>
    <w:rsid w:val="00D37794"/>
    <w:rsid w:val="00D91BF9"/>
    <w:rsid w:val="00DD2854"/>
    <w:rsid w:val="00DE2BE8"/>
    <w:rsid w:val="00E23B1A"/>
    <w:rsid w:val="00E6474B"/>
    <w:rsid w:val="00EA52BA"/>
    <w:rsid w:val="00EF39AE"/>
    <w:rsid w:val="00F0321D"/>
    <w:rsid w:val="00F16219"/>
    <w:rsid w:val="00FA5E3A"/>
    <w:rsid w:val="00FB43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54EAE"/>
  <w15:chartTrackingRefBased/>
  <w15:docId w15:val="{7F8F220F-4C1D-470A-8FD3-72E773658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94E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ms">
    <w:name w:val="ams"/>
    <w:basedOn w:val="a0"/>
    <w:rsid w:val="00394E80"/>
  </w:style>
  <w:style w:type="paragraph" w:styleId="a4">
    <w:name w:val="List Paragraph"/>
    <w:basedOn w:val="a"/>
    <w:uiPriority w:val="34"/>
    <w:qFormat/>
    <w:rsid w:val="00CF4E05"/>
    <w:pPr>
      <w:ind w:left="720"/>
      <w:contextualSpacing/>
    </w:pPr>
  </w:style>
  <w:style w:type="paragraph" w:styleId="a5">
    <w:name w:val="header"/>
    <w:basedOn w:val="a"/>
    <w:link w:val="a6"/>
    <w:uiPriority w:val="99"/>
    <w:unhideWhenUsed/>
    <w:rsid w:val="000621ED"/>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0621ED"/>
  </w:style>
  <w:style w:type="paragraph" w:styleId="a7">
    <w:name w:val="footer"/>
    <w:basedOn w:val="a"/>
    <w:link w:val="a8"/>
    <w:uiPriority w:val="99"/>
    <w:unhideWhenUsed/>
    <w:rsid w:val="000621ED"/>
    <w:pPr>
      <w:tabs>
        <w:tab w:val="center" w:pos="4677"/>
        <w:tab w:val="right" w:pos="9355"/>
      </w:tabs>
      <w:spacing w:after="0" w:line="240" w:lineRule="auto"/>
    </w:pPr>
  </w:style>
  <w:style w:type="character" w:customStyle="1" w:styleId="a8">
    <w:name w:val="Нижній колонтитул Знак"/>
    <w:basedOn w:val="a0"/>
    <w:link w:val="a7"/>
    <w:uiPriority w:val="99"/>
    <w:rsid w:val="000621ED"/>
  </w:style>
  <w:style w:type="paragraph" w:styleId="a9">
    <w:name w:val="Balloon Text"/>
    <w:basedOn w:val="a"/>
    <w:link w:val="aa"/>
    <w:uiPriority w:val="99"/>
    <w:semiHidden/>
    <w:unhideWhenUsed/>
    <w:rsid w:val="00827B45"/>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827B45"/>
    <w:rPr>
      <w:rFonts w:ascii="Segoe UI" w:hAnsi="Segoe UI" w:cs="Segoe UI"/>
      <w:sz w:val="18"/>
      <w:szCs w:val="18"/>
    </w:rPr>
  </w:style>
  <w:style w:type="paragraph" w:customStyle="1" w:styleId="Rvps2">
    <w:name w:val="Rvps2"/>
    <w:basedOn w:val="a"/>
    <w:uiPriority w:val="99"/>
    <w:rsid w:val="00D37794"/>
    <w:pPr>
      <w:spacing w:before="100" w:after="100" w:line="240" w:lineRule="auto"/>
    </w:pPr>
    <w:rPr>
      <w:rFonts w:ascii="Times New Roman" w:eastAsia="Times New Roman" w:hAnsi="Times New Roman" w:cs="Times New Roman"/>
      <w:sz w:val="24"/>
      <w:szCs w:val="24"/>
      <w:lang w:eastAsia="uk-UA"/>
    </w:rPr>
  </w:style>
  <w:style w:type="table" w:styleId="ab">
    <w:name w:val="Table Grid"/>
    <w:basedOn w:val="a1"/>
    <w:uiPriority w:val="99"/>
    <w:rsid w:val="009C54D8"/>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344365">
      <w:bodyDiv w:val="1"/>
      <w:marLeft w:val="0"/>
      <w:marRight w:val="0"/>
      <w:marTop w:val="0"/>
      <w:marBottom w:val="0"/>
      <w:divBdr>
        <w:top w:val="none" w:sz="0" w:space="0" w:color="auto"/>
        <w:left w:val="none" w:sz="0" w:space="0" w:color="auto"/>
        <w:bottom w:val="none" w:sz="0" w:space="0" w:color="auto"/>
        <w:right w:val="none" w:sz="0" w:space="0" w:color="auto"/>
      </w:divBdr>
    </w:div>
    <w:div w:id="959995225">
      <w:bodyDiv w:val="1"/>
      <w:marLeft w:val="0"/>
      <w:marRight w:val="0"/>
      <w:marTop w:val="0"/>
      <w:marBottom w:val="0"/>
      <w:divBdr>
        <w:top w:val="none" w:sz="0" w:space="0" w:color="auto"/>
        <w:left w:val="none" w:sz="0" w:space="0" w:color="auto"/>
        <w:bottom w:val="none" w:sz="0" w:space="0" w:color="auto"/>
        <w:right w:val="none" w:sz="0" w:space="0" w:color="auto"/>
      </w:divBdr>
      <w:divsChild>
        <w:div w:id="912739912">
          <w:marLeft w:val="0"/>
          <w:marRight w:val="0"/>
          <w:marTop w:val="0"/>
          <w:marBottom w:val="0"/>
          <w:divBdr>
            <w:top w:val="none" w:sz="0" w:space="0" w:color="auto"/>
            <w:left w:val="none" w:sz="0" w:space="0" w:color="auto"/>
            <w:bottom w:val="none" w:sz="0" w:space="0" w:color="auto"/>
            <w:right w:val="none" w:sz="0" w:space="0" w:color="auto"/>
          </w:divBdr>
        </w:div>
      </w:divsChild>
    </w:div>
    <w:div w:id="1211724739">
      <w:bodyDiv w:val="1"/>
      <w:marLeft w:val="0"/>
      <w:marRight w:val="0"/>
      <w:marTop w:val="0"/>
      <w:marBottom w:val="0"/>
      <w:divBdr>
        <w:top w:val="none" w:sz="0" w:space="0" w:color="auto"/>
        <w:left w:val="none" w:sz="0" w:space="0" w:color="auto"/>
        <w:bottom w:val="none" w:sz="0" w:space="0" w:color="auto"/>
        <w:right w:val="none" w:sz="0" w:space="0" w:color="auto"/>
      </w:divBdr>
    </w:div>
    <w:div w:id="1243416018">
      <w:bodyDiv w:val="1"/>
      <w:marLeft w:val="0"/>
      <w:marRight w:val="0"/>
      <w:marTop w:val="0"/>
      <w:marBottom w:val="0"/>
      <w:divBdr>
        <w:top w:val="none" w:sz="0" w:space="0" w:color="auto"/>
        <w:left w:val="none" w:sz="0" w:space="0" w:color="auto"/>
        <w:bottom w:val="none" w:sz="0" w:space="0" w:color="auto"/>
        <w:right w:val="none" w:sz="0" w:space="0" w:color="auto"/>
      </w:divBdr>
      <w:divsChild>
        <w:div w:id="458232505">
          <w:marLeft w:val="0"/>
          <w:marRight w:val="0"/>
          <w:marTop w:val="0"/>
          <w:marBottom w:val="0"/>
          <w:divBdr>
            <w:top w:val="none" w:sz="0" w:space="0" w:color="auto"/>
            <w:left w:val="none" w:sz="0" w:space="0" w:color="auto"/>
            <w:bottom w:val="none" w:sz="0" w:space="0" w:color="auto"/>
            <w:right w:val="none" w:sz="0" w:space="0" w:color="auto"/>
          </w:divBdr>
        </w:div>
      </w:divsChild>
    </w:div>
    <w:div w:id="1296716180">
      <w:bodyDiv w:val="1"/>
      <w:marLeft w:val="0"/>
      <w:marRight w:val="0"/>
      <w:marTop w:val="0"/>
      <w:marBottom w:val="0"/>
      <w:divBdr>
        <w:top w:val="none" w:sz="0" w:space="0" w:color="auto"/>
        <w:left w:val="none" w:sz="0" w:space="0" w:color="auto"/>
        <w:bottom w:val="none" w:sz="0" w:space="0" w:color="auto"/>
        <w:right w:val="none" w:sz="0" w:space="0" w:color="auto"/>
      </w:divBdr>
    </w:div>
    <w:div w:id="1409034845">
      <w:bodyDiv w:val="1"/>
      <w:marLeft w:val="0"/>
      <w:marRight w:val="0"/>
      <w:marTop w:val="0"/>
      <w:marBottom w:val="0"/>
      <w:divBdr>
        <w:top w:val="none" w:sz="0" w:space="0" w:color="auto"/>
        <w:left w:val="none" w:sz="0" w:space="0" w:color="auto"/>
        <w:bottom w:val="none" w:sz="0" w:space="0" w:color="auto"/>
        <w:right w:val="none" w:sz="0" w:space="0" w:color="auto"/>
      </w:divBdr>
      <w:divsChild>
        <w:div w:id="1920360595">
          <w:marLeft w:val="0"/>
          <w:marRight w:val="0"/>
          <w:marTop w:val="0"/>
          <w:marBottom w:val="0"/>
          <w:divBdr>
            <w:top w:val="none" w:sz="0" w:space="0" w:color="auto"/>
            <w:left w:val="none" w:sz="0" w:space="0" w:color="auto"/>
            <w:bottom w:val="none" w:sz="0" w:space="0" w:color="auto"/>
            <w:right w:val="none" w:sz="0" w:space="0" w:color="auto"/>
          </w:divBdr>
          <w:divsChild>
            <w:div w:id="2016959027">
              <w:marLeft w:val="0"/>
              <w:marRight w:val="0"/>
              <w:marTop w:val="0"/>
              <w:marBottom w:val="0"/>
              <w:divBdr>
                <w:top w:val="none" w:sz="0" w:space="0" w:color="auto"/>
                <w:left w:val="none" w:sz="0" w:space="0" w:color="auto"/>
                <w:bottom w:val="none" w:sz="0" w:space="0" w:color="auto"/>
                <w:right w:val="none" w:sz="0" w:space="0" w:color="auto"/>
              </w:divBdr>
              <w:divsChild>
                <w:div w:id="25300722">
                  <w:marLeft w:val="0"/>
                  <w:marRight w:val="0"/>
                  <w:marTop w:val="0"/>
                  <w:marBottom w:val="0"/>
                  <w:divBdr>
                    <w:top w:val="none" w:sz="0" w:space="0" w:color="auto"/>
                    <w:left w:val="none" w:sz="0" w:space="0" w:color="auto"/>
                    <w:bottom w:val="none" w:sz="0" w:space="0" w:color="auto"/>
                    <w:right w:val="none" w:sz="0" w:space="0" w:color="auto"/>
                  </w:divBdr>
                  <w:divsChild>
                    <w:div w:id="814102011">
                      <w:marLeft w:val="0"/>
                      <w:marRight w:val="0"/>
                      <w:marTop w:val="120"/>
                      <w:marBottom w:val="0"/>
                      <w:divBdr>
                        <w:top w:val="none" w:sz="0" w:space="0" w:color="auto"/>
                        <w:left w:val="none" w:sz="0" w:space="0" w:color="auto"/>
                        <w:bottom w:val="none" w:sz="0" w:space="0" w:color="auto"/>
                        <w:right w:val="none" w:sz="0" w:space="0" w:color="auto"/>
                      </w:divBdr>
                      <w:divsChild>
                        <w:div w:id="963803863">
                          <w:marLeft w:val="0"/>
                          <w:marRight w:val="0"/>
                          <w:marTop w:val="0"/>
                          <w:marBottom w:val="0"/>
                          <w:divBdr>
                            <w:top w:val="none" w:sz="0" w:space="0" w:color="auto"/>
                            <w:left w:val="none" w:sz="0" w:space="0" w:color="auto"/>
                            <w:bottom w:val="none" w:sz="0" w:space="0" w:color="auto"/>
                            <w:right w:val="none" w:sz="0" w:space="0" w:color="auto"/>
                          </w:divBdr>
                          <w:divsChild>
                            <w:div w:id="76395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335">
          <w:marLeft w:val="0"/>
          <w:marRight w:val="0"/>
          <w:marTop w:val="0"/>
          <w:marBottom w:val="0"/>
          <w:divBdr>
            <w:top w:val="none" w:sz="0" w:space="0" w:color="auto"/>
            <w:left w:val="none" w:sz="0" w:space="0" w:color="auto"/>
            <w:bottom w:val="none" w:sz="0" w:space="0" w:color="auto"/>
            <w:right w:val="none" w:sz="0" w:space="0" w:color="auto"/>
          </w:divBdr>
          <w:divsChild>
            <w:div w:id="1478496479">
              <w:marLeft w:val="0"/>
              <w:marRight w:val="0"/>
              <w:marTop w:val="0"/>
              <w:marBottom w:val="0"/>
              <w:divBdr>
                <w:top w:val="none" w:sz="0" w:space="0" w:color="auto"/>
                <w:left w:val="none" w:sz="0" w:space="0" w:color="auto"/>
                <w:bottom w:val="none" w:sz="0" w:space="0" w:color="auto"/>
                <w:right w:val="none" w:sz="0" w:space="0" w:color="auto"/>
              </w:divBdr>
              <w:divsChild>
                <w:div w:id="1352612480">
                  <w:marLeft w:val="0"/>
                  <w:marRight w:val="0"/>
                  <w:marTop w:val="0"/>
                  <w:marBottom w:val="0"/>
                  <w:divBdr>
                    <w:top w:val="none" w:sz="0" w:space="0" w:color="auto"/>
                    <w:left w:val="none" w:sz="0" w:space="0" w:color="auto"/>
                    <w:bottom w:val="none" w:sz="0" w:space="0" w:color="auto"/>
                    <w:right w:val="none" w:sz="0" w:space="0" w:color="auto"/>
                  </w:divBdr>
                  <w:divsChild>
                    <w:div w:id="432021848">
                      <w:marLeft w:val="0"/>
                      <w:marRight w:val="0"/>
                      <w:marTop w:val="0"/>
                      <w:marBottom w:val="0"/>
                      <w:divBdr>
                        <w:top w:val="none" w:sz="0" w:space="0" w:color="auto"/>
                        <w:left w:val="none" w:sz="0" w:space="0" w:color="auto"/>
                        <w:bottom w:val="none" w:sz="0" w:space="0" w:color="auto"/>
                        <w:right w:val="none" w:sz="0" w:space="0" w:color="auto"/>
                      </w:divBdr>
                      <w:divsChild>
                        <w:div w:id="671877364">
                          <w:marLeft w:val="0"/>
                          <w:marRight w:val="0"/>
                          <w:marTop w:val="0"/>
                          <w:marBottom w:val="0"/>
                          <w:divBdr>
                            <w:top w:val="none" w:sz="0" w:space="0" w:color="auto"/>
                            <w:left w:val="none" w:sz="0" w:space="0" w:color="auto"/>
                            <w:bottom w:val="none" w:sz="0" w:space="0" w:color="auto"/>
                            <w:right w:val="none" w:sz="0" w:space="0" w:color="auto"/>
                          </w:divBdr>
                          <w:divsChild>
                            <w:div w:id="204624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446105">
      <w:bodyDiv w:val="1"/>
      <w:marLeft w:val="0"/>
      <w:marRight w:val="0"/>
      <w:marTop w:val="0"/>
      <w:marBottom w:val="0"/>
      <w:divBdr>
        <w:top w:val="none" w:sz="0" w:space="0" w:color="auto"/>
        <w:left w:val="none" w:sz="0" w:space="0" w:color="auto"/>
        <w:bottom w:val="none" w:sz="0" w:space="0" w:color="auto"/>
        <w:right w:val="none" w:sz="0" w:space="0" w:color="auto"/>
      </w:divBdr>
    </w:div>
    <w:div w:id="1618831886">
      <w:bodyDiv w:val="1"/>
      <w:marLeft w:val="0"/>
      <w:marRight w:val="0"/>
      <w:marTop w:val="0"/>
      <w:marBottom w:val="0"/>
      <w:divBdr>
        <w:top w:val="none" w:sz="0" w:space="0" w:color="auto"/>
        <w:left w:val="none" w:sz="0" w:space="0" w:color="auto"/>
        <w:bottom w:val="none" w:sz="0" w:space="0" w:color="auto"/>
        <w:right w:val="none" w:sz="0" w:space="0" w:color="auto"/>
      </w:divBdr>
    </w:div>
    <w:div w:id="1633436407">
      <w:bodyDiv w:val="1"/>
      <w:marLeft w:val="0"/>
      <w:marRight w:val="0"/>
      <w:marTop w:val="0"/>
      <w:marBottom w:val="0"/>
      <w:divBdr>
        <w:top w:val="none" w:sz="0" w:space="0" w:color="auto"/>
        <w:left w:val="none" w:sz="0" w:space="0" w:color="auto"/>
        <w:bottom w:val="none" w:sz="0" w:space="0" w:color="auto"/>
        <w:right w:val="none" w:sz="0" w:space="0" w:color="auto"/>
      </w:divBdr>
      <w:divsChild>
        <w:div w:id="405541109">
          <w:marLeft w:val="0"/>
          <w:marRight w:val="0"/>
          <w:marTop w:val="0"/>
          <w:marBottom w:val="0"/>
          <w:divBdr>
            <w:top w:val="none" w:sz="0" w:space="0" w:color="auto"/>
            <w:left w:val="none" w:sz="0" w:space="0" w:color="auto"/>
            <w:bottom w:val="none" w:sz="0" w:space="0" w:color="auto"/>
            <w:right w:val="none" w:sz="0" w:space="0" w:color="auto"/>
          </w:divBdr>
          <w:divsChild>
            <w:div w:id="1554659893">
              <w:marLeft w:val="0"/>
              <w:marRight w:val="0"/>
              <w:marTop w:val="0"/>
              <w:marBottom w:val="0"/>
              <w:divBdr>
                <w:top w:val="none" w:sz="0" w:space="0" w:color="auto"/>
                <w:left w:val="none" w:sz="0" w:space="0" w:color="auto"/>
                <w:bottom w:val="none" w:sz="0" w:space="0" w:color="auto"/>
                <w:right w:val="none" w:sz="0" w:space="0" w:color="auto"/>
              </w:divBdr>
              <w:divsChild>
                <w:div w:id="589319819">
                  <w:marLeft w:val="0"/>
                  <w:marRight w:val="0"/>
                  <w:marTop w:val="0"/>
                  <w:marBottom w:val="0"/>
                  <w:divBdr>
                    <w:top w:val="none" w:sz="0" w:space="0" w:color="auto"/>
                    <w:left w:val="none" w:sz="0" w:space="0" w:color="auto"/>
                    <w:bottom w:val="none" w:sz="0" w:space="0" w:color="auto"/>
                    <w:right w:val="none" w:sz="0" w:space="0" w:color="auto"/>
                  </w:divBdr>
                  <w:divsChild>
                    <w:div w:id="201330977">
                      <w:marLeft w:val="0"/>
                      <w:marRight w:val="0"/>
                      <w:marTop w:val="120"/>
                      <w:marBottom w:val="0"/>
                      <w:divBdr>
                        <w:top w:val="none" w:sz="0" w:space="0" w:color="auto"/>
                        <w:left w:val="none" w:sz="0" w:space="0" w:color="auto"/>
                        <w:bottom w:val="none" w:sz="0" w:space="0" w:color="auto"/>
                        <w:right w:val="none" w:sz="0" w:space="0" w:color="auto"/>
                      </w:divBdr>
                      <w:divsChild>
                        <w:div w:id="480926019">
                          <w:marLeft w:val="0"/>
                          <w:marRight w:val="0"/>
                          <w:marTop w:val="0"/>
                          <w:marBottom w:val="0"/>
                          <w:divBdr>
                            <w:top w:val="none" w:sz="0" w:space="0" w:color="auto"/>
                            <w:left w:val="none" w:sz="0" w:space="0" w:color="auto"/>
                            <w:bottom w:val="none" w:sz="0" w:space="0" w:color="auto"/>
                            <w:right w:val="none" w:sz="0" w:space="0" w:color="auto"/>
                          </w:divBdr>
                          <w:divsChild>
                            <w:div w:id="97556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4925578">
          <w:marLeft w:val="0"/>
          <w:marRight w:val="0"/>
          <w:marTop w:val="0"/>
          <w:marBottom w:val="0"/>
          <w:divBdr>
            <w:top w:val="none" w:sz="0" w:space="0" w:color="auto"/>
            <w:left w:val="none" w:sz="0" w:space="0" w:color="auto"/>
            <w:bottom w:val="none" w:sz="0" w:space="0" w:color="auto"/>
            <w:right w:val="none" w:sz="0" w:space="0" w:color="auto"/>
          </w:divBdr>
          <w:divsChild>
            <w:div w:id="853418344">
              <w:marLeft w:val="0"/>
              <w:marRight w:val="0"/>
              <w:marTop w:val="0"/>
              <w:marBottom w:val="0"/>
              <w:divBdr>
                <w:top w:val="none" w:sz="0" w:space="0" w:color="auto"/>
                <w:left w:val="none" w:sz="0" w:space="0" w:color="auto"/>
                <w:bottom w:val="none" w:sz="0" w:space="0" w:color="auto"/>
                <w:right w:val="none" w:sz="0" w:space="0" w:color="auto"/>
              </w:divBdr>
              <w:divsChild>
                <w:div w:id="1961111974">
                  <w:marLeft w:val="0"/>
                  <w:marRight w:val="0"/>
                  <w:marTop w:val="0"/>
                  <w:marBottom w:val="0"/>
                  <w:divBdr>
                    <w:top w:val="none" w:sz="0" w:space="0" w:color="auto"/>
                    <w:left w:val="none" w:sz="0" w:space="0" w:color="auto"/>
                    <w:bottom w:val="none" w:sz="0" w:space="0" w:color="auto"/>
                    <w:right w:val="none" w:sz="0" w:space="0" w:color="auto"/>
                  </w:divBdr>
                  <w:divsChild>
                    <w:div w:id="249781551">
                      <w:marLeft w:val="0"/>
                      <w:marRight w:val="0"/>
                      <w:marTop w:val="0"/>
                      <w:marBottom w:val="0"/>
                      <w:divBdr>
                        <w:top w:val="none" w:sz="0" w:space="0" w:color="auto"/>
                        <w:left w:val="none" w:sz="0" w:space="0" w:color="auto"/>
                        <w:bottom w:val="none" w:sz="0" w:space="0" w:color="auto"/>
                        <w:right w:val="none" w:sz="0" w:space="0" w:color="auto"/>
                      </w:divBdr>
                      <w:divsChild>
                        <w:div w:id="837504807">
                          <w:marLeft w:val="0"/>
                          <w:marRight w:val="0"/>
                          <w:marTop w:val="0"/>
                          <w:marBottom w:val="0"/>
                          <w:divBdr>
                            <w:top w:val="none" w:sz="0" w:space="0" w:color="auto"/>
                            <w:left w:val="none" w:sz="0" w:space="0" w:color="auto"/>
                            <w:bottom w:val="none" w:sz="0" w:space="0" w:color="auto"/>
                            <w:right w:val="none" w:sz="0" w:space="0" w:color="auto"/>
                          </w:divBdr>
                          <w:divsChild>
                            <w:div w:id="39073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952629">
      <w:bodyDiv w:val="1"/>
      <w:marLeft w:val="0"/>
      <w:marRight w:val="0"/>
      <w:marTop w:val="0"/>
      <w:marBottom w:val="0"/>
      <w:divBdr>
        <w:top w:val="none" w:sz="0" w:space="0" w:color="auto"/>
        <w:left w:val="none" w:sz="0" w:space="0" w:color="auto"/>
        <w:bottom w:val="none" w:sz="0" w:space="0" w:color="auto"/>
        <w:right w:val="none" w:sz="0" w:space="0" w:color="auto"/>
      </w:divBdr>
      <w:divsChild>
        <w:div w:id="1769235579">
          <w:marLeft w:val="0"/>
          <w:marRight w:val="0"/>
          <w:marTop w:val="0"/>
          <w:marBottom w:val="0"/>
          <w:divBdr>
            <w:top w:val="none" w:sz="0" w:space="0" w:color="auto"/>
            <w:left w:val="none" w:sz="0" w:space="0" w:color="auto"/>
            <w:bottom w:val="none" w:sz="0" w:space="0" w:color="auto"/>
            <w:right w:val="none" w:sz="0" w:space="0" w:color="auto"/>
          </w:divBdr>
        </w:div>
      </w:divsChild>
    </w:div>
    <w:div w:id="2029287894">
      <w:bodyDiv w:val="1"/>
      <w:marLeft w:val="0"/>
      <w:marRight w:val="0"/>
      <w:marTop w:val="0"/>
      <w:marBottom w:val="0"/>
      <w:divBdr>
        <w:top w:val="none" w:sz="0" w:space="0" w:color="auto"/>
        <w:left w:val="none" w:sz="0" w:space="0" w:color="auto"/>
        <w:bottom w:val="none" w:sz="0" w:space="0" w:color="auto"/>
        <w:right w:val="none" w:sz="0" w:space="0" w:color="auto"/>
      </w:divBdr>
      <w:divsChild>
        <w:div w:id="666909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B3271F-ACF2-43D5-9389-DE20768847C2}">
  <ds:schemaRefs>
    <ds:schemaRef ds:uri="http://schemas.microsoft.com/sharepoint/v3/contenttype/forms"/>
  </ds:schemaRefs>
</ds:datastoreItem>
</file>

<file path=customXml/itemProps2.xml><?xml version="1.0" encoding="utf-8"?>
<ds:datastoreItem xmlns:ds="http://schemas.openxmlformats.org/officeDocument/2006/customXml" ds:itemID="{D2DBCEB8-D889-4897-953C-697D961B9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4928DB-97FB-41D5-90E1-E252DC1DE15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6638</Words>
  <Characters>3784</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2021-02-09T08:42:00Z</dcterms:created>
  <dcterms:modified xsi:type="dcterms:W3CDTF">2021-02-09T08:42:00Z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