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0FD89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sz w:val="28"/>
          <w:szCs w:val="28"/>
        </w:rPr>
        <w:t>ПОЯСНЮВАЛЬНА ЗАПИСКА</w:t>
      </w:r>
    </w:p>
    <w:p w14:paraId="013B6260" w14:textId="32B72A53" w:rsidR="002F257A" w:rsidRDefault="002F257A" w:rsidP="003D050D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center"/>
        <w:rPr>
          <w:rFonts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до проекту Закону України про внесення змін </w:t>
      </w:r>
      <w:r w:rsidR="00035F66" w:rsidRPr="00035F66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до </w:t>
      </w:r>
      <w:r w:rsidR="003D050D" w:rsidRPr="003D050D">
        <w:rPr>
          <w:rFonts w:ascii="TimesNewRomanPS-BoldMT" w:hAnsi="TimesNewRomanPS-BoldMT" w:cs="TimesNewRomanPS-BoldMT"/>
          <w:b/>
          <w:bCs/>
          <w:sz w:val="28"/>
          <w:szCs w:val="28"/>
        </w:rPr>
        <w:t>Податкового кодексу України</w:t>
      </w:r>
      <w:r w:rsidR="003D050D">
        <w:rPr>
          <w:rFonts w:cs="TimesNewRomanPS-BoldMT"/>
          <w:b/>
          <w:bCs/>
          <w:sz w:val="28"/>
          <w:szCs w:val="28"/>
        </w:rPr>
        <w:t xml:space="preserve"> </w:t>
      </w:r>
      <w:r w:rsidR="003D050D" w:rsidRPr="003D050D">
        <w:rPr>
          <w:rFonts w:ascii="TimesNewRomanPS-BoldMT" w:hAnsi="TimesNewRomanPS-BoldMT" w:cs="TimesNewRomanPS-BoldMT"/>
          <w:b/>
          <w:bCs/>
          <w:sz w:val="28"/>
          <w:szCs w:val="28"/>
        </w:rPr>
        <w:t>щодо особливостей оподаткування деяких доходів</w:t>
      </w:r>
    </w:p>
    <w:p w14:paraId="29C69B1C" w14:textId="77777777" w:rsidR="003D050D" w:rsidRPr="003D050D" w:rsidRDefault="003D050D" w:rsidP="003D050D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center"/>
        <w:rPr>
          <w:rFonts w:cs="TimesNewRomanPS-BoldMT"/>
          <w:b/>
          <w:bCs/>
          <w:sz w:val="28"/>
          <w:szCs w:val="28"/>
        </w:rPr>
      </w:pPr>
    </w:p>
    <w:p w14:paraId="5E39B5AB" w14:textId="77777777" w:rsidR="002F257A" w:rsidRDefault="002F257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6" w:firstLine="993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Обґрунтування необхідності прийняття проекту Закону</w:t>
      </w:r>
    </w:p>
    <w:p w14:paraId="1EDA7A6C" w14:textId="4775E13B" w:rsidR="0010776E" w:rsidRDefault="0010776E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</w:p>
    <w:p w14:paraId="37225216" w14:textId="77777777" w:rsidR="0010776E" w:rsidRDefault="0010776E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0776E">
        <w:rPr>
          <w:rFonts w:ascii="Times New Roman" w:hAnsi="Times New Roman"/>
          <w:spacing w:val="-6"/>
          <w:kern w:val="1"/>
          <w:sz w:val="28"/>
          <w:szCs w:val="28"/>
        </w:rPr>
        <w:t>Покер – одна із  найпопулярніших та  найбільш захоплюючих картков</w:t>
      </w:r>
      <w:r>
        <w:rPr>
          <w:rFonts w:ascii="Times New Roman" w:hAnsi="Times New Roman"/>
          <w:spacing w:val="-6"/>
          <w:kern w:val="1"/>
          <w:sz w:val="28"/>
          <w:szCs w:val="28"/>
        </w:rPr>
        <w:t>их</w:t>
      </w:r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kern w:val="1"/>
          <w:sz w:val="28"/>
          <w:szCs w:val="28"/>
        </w:rPr>
        <w:t>ігор</w:t>
      </w:r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у світі. Покер – це серйозна гра, що вимагає високого рівня самоконтролю та вміння визначати характер карт супротивника по його поведінці. </w:t>
      </w:r>
    </w:p>
    <w:p w14:paraId="3438FB22" w14:textId="616EE8CB" w:rsidR="0010776E" w:rsidRDefault="0010776E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Турнірний покер визнали видом спорту у багатьох країнах, в тому числі і в Україні. Перший турнір спортивного рівня з покеру у світі провели ще у 1970 році. За звання «короля покеру» тоді змагалися лише 6 учасників, але </w:t>
      </w:r>
      <w:r w:rsidR="00336255">
        <w:rPr>
          <w:rFonts w:ascii="Times New Roman" w:hAnsi="Times New Roman"/>
          <w:spacing w:val="-6"/>
          <w:kern w:val="1"/>
          <w:sz w:val="28"/>
          <w:szCs w:val="28"/>
        </w:rPr>
        <w:t>т</w:t>
      </w:r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урнір виявився настільки популярним, що його вирішили проводити регулярно. Так з’явилася знаменита </w:t>
      </w:r>
      <w:proofErr w:type="spellStart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>покерна</w:t>
      </w:r>
      <w:proofErr w:type="spellEnd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подія</w:t>
      </w:r>
      <w:r w:rsidR="00564E33">
        <w:rPr>
          <w:rFonts w:ascii="Times New Roman" w:hAnsi="Times New Roman"/>
          <w:spacing w:val="-6"/>
          <w:kern w:val="1"/>
          <w:sz w:val="28"/>
          <w:szCs w:val="28"/>
        </w:rPr>
        <w:t>- світова серія</w:t>
      </w:r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proofErr w:type="spellStart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>World</w:t>
      </w:r>
      <w:proofErr w:type="spellEnd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proofErr w:type="spellStart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>Series</w:t>
      </w:r>
      <w:proofErr w:type="spellEnd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proofErr w:type="spellStart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>of</w:t>
      </w:r>
      <w:proofErr w:type="spellEnd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proofErr w:type="spellStart"/>
      <w:r w:rsidRPr="0010776E">
        <w:rPr>
          <w:rFonts w:ascii="Times New Roman" w:hAnsi="Times New Roman"/>
          <w:spacing w:val="-6"/>
          <w:kern w:val="1"/>
          <w:sz w:val="28"/>
          <w:szCs w:val="28"/>
        </w:rPr>
        <w:t>Poker</w:t>
      </w:r>
      <w:proofErr w:type="spellEnd"/>
      <w:r w:rsidR="00A95D2B">
        <w:rPr>
          <w:rFonts w:ascii="Times New Roman" w:hAnsi="Times New Roman"/>
          <w:spacing w:val="-6"/>
          <w:kern w:val="1"/>
          <w:sz w:val="28"/>
          <w:szCs w:val="28"/>
        </w:rPr>
        <w:t xml:space="preserve"> (</w:t>
      </w:r>
      <w:r w:rsidR="00A95D2B" w:rsidRPr="00A95D2B">
        <w:rPr>
          <w:rFonts w:ascii="Times New Roman" w:hAnsi="Times New Roman"/>
          <w:spacing w:val="-6"/>
          <w:kern w:val="1"/>
          <w:sz w:val="28"/>
          <w:szCs w:val="28"/>
        </w:rPr>
        <w:t>WSOP</w:t>
      </w:r>
      <w:r w:rsidR="00A95D2B">
        <w:rPr>
          <w:rFonts w:ascii="Times New Roman" w:hAnsi="Times New Roman"/>
          <w:spacing w:val="-6"/>
          <w:kern w:val="1"/>
          <w:sz w:val="28"/>
          <w:szCs w:val="28"/>
        </w:rPr>
        <w:t>).</w:t>
      </w:r>
      <w:r w:rsidRPr="0010776E">
        <w:rPr>
          <w:rFonts w:ascii="Times New Roman" w:hAnsi="Times New Roman"/>
          <w:spacing w:val="-6"/>
          <w:kern w:val="1"/>
          <w:sz w:val="28"/>
          <w:szCs w:val="28"/>
        </w:rPr>
        <w:t xml:space="preserve"> Сьогодні за картковими столами збираються вже тисячі гравців.</w:t>
      </w:r>
      <w:r w:rsidR="005D1763" w:rsidRPr="005D1763">
        <w:rPr>
          <w:rFonts w:ascii="Times New Roman" w:hAnsi="Times New Roman"/>
          <w:spacing w:val="-6"/>
          <w:kern w:val="1"/>
          <w:sz w:val="28"/>
          <w:szCs w:val="28"/>
        </w:rPr>
        <w:t xml:space="preserve"> Суми призових у турнірах прямо залежать від кількості учасників; оскільки призовий фонд формується з вступних внесків учасників (за вирахуванням комісії), то чим більшим є число учасників, тим більше одержує переможець. 1990 року переможець головного турніру одержав 895 тисяч доларів, у 2006 — 12 мільйонів доларів</w:t>
      </w:r>
      <w:r w:rsidR="005D1763">
        <w:rPr>
          <w:rFonts w:ascii="Times New Roman" w:hAnsi="Times New Roman"/>
          <w:spacing w:val="-6"/>
          <w:kern w:val="1"/>
          <w:sz w:val="28"/>
          <w:szCs w:val="28"/>
        </w:rPr>
        <w:t>, у 2019 – 10  мільйонів доларів</w:t>
      </w:r>
      <w:r w:rsidR="005D1763" w:rsidRPr="005D1763">
        <w:rPr>
          <w:rFonts w:ascii="Times New Roman" w:hAnsi="Times New Roman"/>
          <w:spacing w:val="-6"/>
          <w:kern w:val="1"/>
          <w:sz w:val="28"/>
          <w:szCs w:val="28"/>
        </w:rPr>
        <w:t>.</w:t>
      </w:r>
    </w:p>
    <w:p w14:paraId="0B101FDC" w14:textId="1C0DC697" w:rsidR="00336255" w:rsidRDefault="00A95D2B" w:rsidP="00336255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Проте зазвичай значна частина виграшів сплачується у вигляді податків. Так, у 2019  році із виграшів у </w:t>
      </w:r>
      <w:proofErr w:type="spellStart"/>
      <w:r w:rsidRPr="00A95D2B">
        <w:rPr>
          <w:rFonts w:ascii="Times New Roman" w:hAnsi="Times New Roman"/>
          <w:spacing w:val="-6"/>
          <w:kern w:val="1"/>
          <w:sz w:val="28"/>
          <w:szCs w:val="28"/>
        </w:rPr>
        <w:t>Main</w:t>
      </w:r>
      <w:proofErr w:type="spellEnd"/>
      <w:r w:rsidRPr="00A95D2B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proofErr w:type="spellStart"/>
      <w:r w:rsidRPr="00A95D2B">
        <w:rPr>
          <w:rFonts w:ascii="Times New Roman" w:hAnsi="Times New Roman"/>
          <w:spacing w:val="-6"/>
          <w:kern w:val="1"/>
          <w:sz w:val="28"/>
          <w:szCs w:val="28"/>
        </w:rPr>
        <w:t>Event</w:t>
      </w:r>
      <w:proofErr w:type="spellEnd"/>
      <w:r w:rsidRPr="00A95D2B">
        <w:rPr>
          <w:rFonts w:ascii="Times New Roman" w:hAnsi="Times New Roman"/>
          <w:spacing w:val="-6"/>
          <w:kern w:val="1"/>
          <w:sz w:val="28"/>
          <w:szCs w:val="28"/>
        </w:rPr>
        <w:t xml:space="preserve"> WSOP 2019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, що склали близько 30 мільйонів доларів, майже 12 мільйонів доларів було сплачено у різних країнах у вигляді податків.  У </w:t>
      </w:r>
      <w:r w:rsidR="001445FF">
        <w:rPr>
          <w:rFonts w:ascii="Times New Roman" w:hAnsi="Times New Roman"/>
          <w:spacing w:val="-6"/>
          <w:kern w:val="1"/>
          <w:sz w:val="28"/>
          <w:szCs w:val="28"/>
        </w:rPr>
        <w:t>зв’язку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із </w:t>
      </w:r>
      <w:r w:rsidR="001445FF">
        <w:rPr>
          <w:rFonts w:ascii="Times New Roman" w:hAnsi="Times New Roman"/>
          <w:spacing w:val="-6"/>
          <w:kern w:val="1"/>
          <w:sz w:val="28"/>
          <w:szCs w:val="28"/>
        </w:rPr>
        <w:t>цим п</w:t>
      </w:r>
      <w:r w:rsidR="00336255">
        <w:rPr>
          <w:rFonts w:ascii="Times New Roman" w:hAnsi="Times New Roman"/>
          <w:spacing w:val="-6"/>
          <w:kern w:val="1"/>
          <w:sz w:val="28"/>
          <w:szCs w:val="28"/>
        </w:rPr>
        <w:t xml:space="preserve">рофесійні гравці у покер охоче переїжджають у країни з низькими ставками оподаткування доходів від виграшів у покер. </w:t>
      </w:r>
    </w:p>
    <w:p w14:paraId="40A38EF8" w14:textId="77777777" w:rsidR="001744D9" w:rsidRDefault="00564E33" w:rsidP="001744D9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>Турнірний покер в Україні не вважається азартною горою, до а</w:t>
      </w:r>
      <w:r w:rsidR="007046C1">
        <w:rPr>
          <w:rFonts w:ascii="Times New Roman" w:hAnsi="Times New Roman"/>
          <w:spacing w:val="-6"/>
          <w:kern w:val="1"/>
          <w:sz w:val="28"/>
          <w:szCs w:val="28"/>
        </w:rPr>
        <w:t>за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ртних ігор віднесений тільки покер, що проводиться онлайн. Проте </w:t>
      </w:r>
      <w:r w:rsidR="007046C1">
        <w:rPr>
          <w:rFonts w:ascii="Times New Roman" w:hAnsi="Times New Roman"/>
          <w:spacing w:val="-6"/>
          <w:kern w:val="1"/>
          <w:sz w:val="28"/>
          <w:szCs w:val="28"/>
        </w:rPr>
        <w:t>у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2020 році у зв’язку із поширенням </w:t>
      </w:r>
      <w:proofErr w:type="spellStart"/>
      <w:r w:rsidRPr="00564E33">
        <w:rPr>
          <w:rFonts w:ascii="Times New Roman" w:hAnsi="Times New Roman"/>
          <w:spacing w:val="-6"/>
          <w:kern w:val="1"/>
          <w:sz w:val="28"/>
          <w:szCs w:val="28"/>
        </w:rPr>
        <w:t>коронавірусної</w:t>
      </w:r>
      <w:proofErr w:type="spellEnd"/>
      <w:r w:rsidRPr="00564E33">
        <w:rPr>
          <w:rFonts w:ascii="Times New Roman" w:hAnsi="Times New Roman"/>
          <w:spacing w:val="-6"/>
          <w:kern w:val="1"/>
          <w:sz w:val="28"/>
          <w:szCs w:val="28"/>
        </w:rPr>
        <w:t xml:space="preserve"> хвороби (covid-19)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Pr="00564E33">
        <w:rPr>
          <w:rFonts w:ascii="Times New Roman" w:hAnsi="Times New Roman"/>
          <w:spacing w:val="-6"/>
          <w:kern w:val="1"/>
          <w:sz w:val="28"/>
          <w:szCs w:val="28"/>
        </w:rPr>
        <w:t xml:space="preserve">світова серія покеру відбулась повністю в </w:t>
      </w:r>
      <w:proofErr w:type="spellStart"/>
      <w:r w:rsidRPr="00564E33">
        <w:rPr>
          <w:rFonts w:ascii="Times New Roman" w:hAnsi="Times New Roman"/>
          <w:spacing w:val="-6"/>
          <w:kern w:val="1"/>
          <w:sz w:val="28"/>
          <w:szCs w:val="28"/>
        </w:rPr>
        <w:t>онлайні</w:t>
      </w:r>
      <w:proofErr w:type="spellEnd"/>
      <w:r w:rsidRPr="00564E33">
        <w:rPr>
          <w:rFonts w:ascii="Times New Roman" w:hAnsi="Times New Roman"/>
          <w:spacing w:val="-6"/>
          <w:kern w:val="1"/>
          <w:sz w:val="28"/>
          <w:szCs w:val="28"/>
        </w:rPr>
        <w:t xml:space="preserve">. </w:t>
      </w:r>
    </w:p>
    <w:p w14:paraId="15F61A70" w14:textId="2CC29A3B" w:rsidR="001744D9" w:rsidRPr="001445FF" w:rsidRDefault="001744D9" w:rsidP="001744D9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У зв’язку з цим виникає необхідність створення однакових правил оподаткування доходів у вигляді виграшів у покер як для звичайних турнірів, так і для турнірів онлайн.  </w:t>
      </w:r>
    </w:p>
    <w:p w14:paraId="5A7D577A" w14:textId="028CC42E" w:rsidR="001744D9" w:rsidRDefault="00365BFE" w:rsidP="001744D9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На розгляді Верховної Ради України знаходяться законопроекти, що передбачають повне звільнення виграшів 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>в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азартних 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 xml:space="preserve">іграх від оподаткування податком на доходи фізичних осіб та </w:t>
      </w:r>
      <w:r w:rsidR="00AF0693">
        <w:rPr>
          <w:rFonts w:ascii="Times New Roman" w:hAnsi="Times New Roman"/>
          <w:spacing w:val="-6"/>
          <w:kern w:val="1"/>
          <w:sz w:val="28"/>
          <w:szCs w:val="28"/>
        </w:rPr>
        <w:t>військовим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 xml:space="preserve"> збором.</w:t>
      </w:r>
      <w:r w:rsidR="001744D9" w:rsidRPr="001744D9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 xml:space="preserve">Проте </w:t>
      </w:r>
      <w:r w:rsidR="001744D9" w:rsidRPr="001F37D6">
        <w:rPr>
          <w:rFonts w:ascii="Times New Roman" w:hAnsi="Times New Roman"/>
          <w:spacing w:val="-6"/>
          <w:kern w:val="1"/>
          <w:sz w:val="28"/>
          <w:szCs w:val="28"/>
        </w:rPr>
        <w:t>повне звільнення виграшів від азартних ігор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 xml:space="preserve"> від оподаткування податком на доходи фізичних осіб  та </w:t>
      </w:r>
      <w:r w:rsidR="00AF0693">
        <w:rPr>
          <w:rFonts w:ascii="Times New Roman" w:hAnsi="Times New Roman"/>
          <w:spacing w:val="-6"/>
          <w:kern w:val="1"/>
          <w:sz w:val="28"/>
          <w:szCs w:val="28"/>
        </w:rPr>
        <w:t>військовим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 xml:space="preserve"> збором</w:t>
      </w:r>
      <w:r w:rsidR="001744D9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матиме негативний соціальний ефект, а також потребує встановлення додаткових процедур для 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 xml:space="preserve">забезпечення </w:t>
      </w:r>
      <w:r w:rsidR="001744D9" w:rsidRPr="001F37D6">
        <w:rPr>
          <w:rFonts w:ascii="Times New Roman" w:hAnsi="Times New Roman"/>
          <w:spacing w:val="-6"/>
          <w:kern w:val="1"/>
          <w:sz w:val="28"/>
          <w:szCs w:val="28"/>
        </w:rPr>
        <w:t>неможливості використання звільнення виграшів від оподаткування для відмивання коштів, отриманих злочинним, в тому числі корупційним, шляхом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 xml:space="preserve">. У світовій практиці застосовуються різні схеми оподаткування виграшів від азартних ігор та лотерей – від повного звільнення виграшів до збільшеної ставки оподаткування таких 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lastRenderedPageBreak/>
        <w:t>доходів</w:t>
      </w:r>
      <w:r w:rsidR="001744D9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. </w:t>
      </w:r>
      <w:r w:rsidR="001744D9">
        <w:rPr>
          <w:rFonts w:ascii="Times New Roman" w:hAnsi="Times New Roman"/>
          <w:spacing w:val="-6"/>
          <w:kern w:val="1"/>
          <w:sz w:val="28"/>
          <w:szCs w:val="28"/>
        </w:rPr>
        <w:t>Одним із варіантів, що використовується, є не оподаткування виграшів, розмір яких не перевищує певного встановленого розміру.</w:t>
      </w:r>
    </w:p>
    <w:p w14:paraId="3A6ACDB5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2E626375" w14:textId="77777777" w:rsidR="002F257A" w:rsidRDefault="00E85267" w:rsidP="00E85267">
      <w:pPr>
        <w:widowControl w:val="0"/>
        <w:autoSpaceDE w:val="0"/>
        <w:autoSpaceDN w:val="0"/>
        <w:adjustRightInd w:val="0"/>
        <w:spacing w:after="0" w:line="240" w:lineRule="auto"/>
        <w:ind w:left="1135" w:right="-6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 w:rsidRPr="004D3D7B"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 xml:space="preserve">2. </w:t>
      </w:r>
      <w:r w:rsidR="002F257A"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Цілі та завдання прийняття проекту Закону</w:t>
      </w:r>
    </w:p>
    <w:p w14:paraId="0F8E5D05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left="993" w:right="-6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5939C11D" w14:textId="77777777" w:rsidR="00564E33" w:rsidRDefault="002F257A" w:rsidP="001445F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445FF">
        <w:rPr>
          <w:rFonts w:ascii="Times New Roman" w:hAnsi="Times New Roman"/>
          <w:spacing w:val="-6"/>
          <w:kern w:val="1"/>
          <w:sz w:val="28"/>
          <w:szCs w:val="28"/>
        </w:rPr>
        <w:t>Метою прийняття даного законопроекту</w:t>
      </w:r>
      <w:r w:rsidR="00564E33">
        <w:rPr>
          <w:rFonts w:ascii="Times New Roman" w:hAnsi="Times New Roman"/>
          <w:spacing w:val="-6"/>
          <w:kern w:val="1"/>
          <w:sz w:val="28"/>
          <w:szCs w:val="28"/>
        </w:rPr>
        <w:t xml:space="preserve"> є:</w:t>
      </w:r>
    </w:p>
    <w:p w14:paraId="30735257" w14:textId="24FCFC9E" w:rsidR="00564E33" w:rsidRDefault="002F257A" w:rsidP="001445F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445FF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="001445FF">
        <w:rPr>
          <w:rFonts w:ascii="Times New Roman" w:hAnsi="Times New Roman"/>
          <w:spacing w:val="-6"/>
          <w:kern w:val="1"/>
          <w:sz w:val="28"/>
          <w:szCs w:val="28"/>
        </w:rPr>
        <w:t xml:space="preserve">посилення привабливості  </w:t>
      </w:r>
      <w:r w:rsidR="00564E33">
        <w:rPr>
          <w:rFonts w:ascii="Times New Roman" w:hAnsi="Times New Roman"/>
          <w:spacing w:val="-6"/>
          <w:kern w:val="1"/>
          <w:sz w:val="28"/>
          <w:szCs w:val="28"/>
        </w:rPr>
        <w:t xml:space="preserve">України </w:t>
      </w:r>
      <w:r w:rsidR="001445FF">
        <w:rPr>
          <w:rFonts w:ascii="Times New Roman" w:hAnsi="Times New Roman"/>
          <w:spacing w:val="-6"/>
          <w:kern w:val="1"/>
          <w:sz w:val="28"/>
          <w:szCs w:val="28"/>
        </w:rPr>
        <w:t>як місця постійного проживання</w:t>
      </w:r>
      <w:r w:rsidR="001445FF" w:rsidRPr="001445FF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="00564E33">
        <w:rPr>
          <w:rFonts w:ascii="Times New Roman" w:hAnsi="Times New Roman"/>
          <w:spacing w:val="-6"/>
          <w:kern w:val="1"/>
          <w:sz w:val="28"/>
          <w:szCs w:val="28"/>
        </w:rPr>
        <w:t xml:space="preserve">для професійних гравців у покер шляхом </w:t>
      </w:r>
      <w:r w:rsidR="001451D2" w:rsidRPr="001445FF">
        <w:rPr>
          <w:rFonts w:ascii="Times New Roman" w:hAnsi="Times New Roman"/>
          <w:spacing w:val="-6"/>
          <w:kern w:val="1"/>
          <w:sz w:val="28"/>
          <w:szCs w:val="28"/>
        </w:rPr>
        <w:t xml:space="preserve"> встановлення </w:t>
      </w:r>
      <w:r w:rsidR="001445FF" w:rsidRPr="001445FF">
        <w:rPr>
          <w:rFonts w:ascii="Times New Roman" w:hAnsi="Times New Roman"/>
          <w:spacing w:val="-6"/>
          <w:kern w:val="1"/>
          <w:sz w:val="28"/>
          <w:szCs w:val="28"/>
        </w:rPr>
        <w:t>особливостей оподаткування виграшів у покер</w:t>
      </w:r>
      <w:r w:rsidR="00BD7742">
        <w:rPr>
          <w:rFonts w:ascii="Times New Roman" w:hAnsi="Times New Roman"/>
          <w:spacing w:val="-6"/>
          <w:kern w:val="1"/>
          <w:sz w:val="28"/>
          <w:szCs w:val="28"/>
        </w:rPr>
        <w:t>;</w:t>
      </w:r>
    </w:p>
    <w:p w14:paraId="6393304D" w14:textId="18740EBF" w:rsidR="002F257A" w:rsidRPr="001445FF" w:rsidRDefault="001445FF" w:rsidP="001445F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445FF">
        <w:rPr>
          <w:rFonts w:ascii="Times New Roman" w:hAnsi="Times New Roman"/>
          <w:spacing w:val="-6"/>
          <w:kern w:val="1"/>
          <w:sz w:val="28"/>
          <w:szCs w:val="28"/>
        </w:rPr>
        <w:t>створення умов для детінізації ігорного бізнесу в Україні</w:t>
      </w:r>
      <w:r w:rsidR="00BD7742">
        <w:rPr>
          <w:rFonts w:ascii="Times New Roman" w:hAnsi="Times New Roman"/>
          <w:spacing w:val="-6"/>
          <w:kern w:val="1"/>
          <w:sz w:val="28"/>
          <w:szCs w:val="28"/>
        </w:rPr>
        <w:t>.</w:t>
      </w:r>
    </w:p>
    <w:p w14:paraId="20B0EF9D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3EE51441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3.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  <w:t>Загальна характеристика і основні положення проекту Закону</w:t>
      </w:r>
    </w:p>
    <w:p w14:paraId="7546E09F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249B04ED" w14:textId="77777777" w:rsidR="008652DF" w:rsidRPr="008652DF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1. Для професійних гравців у покер передбачені окремі правила оподаткування виграшів в іграх у покер:</w:t>
      </w:r>
    </w:p>
    <w:p w14:paraId="6A18BB9B" w14:textId="77777777" w:rsidR="008652DF" w:rsidRPr="008652DF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оподаткуванню підлягає різниця між доходами від виграшів та витратами на такі ігри;</w:t>
      </w:r>
    </w:p>
    <w:p w14:paraId="51E21C66" w14:textId="77777777" w:rsidR="008652DF" w:rsidRPr="008652DF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виграші оподатковуються податковим агентом під час виплати;</w:t>
      </w:r>
    </w:p>
    <w:p w14:paraId="6A684EE4" w14:textId="38269FF7" w:rsidR="008652DF" w:rsidRPr="008652DF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за результатами року професійний гравець у покер може подати декларацію та отримати перерахунок </w:t>
      </w:r>
      <w:r w:rsidR="0014340D">
        <w:rPr>
          <w:rFonts w:ascii="Times New Roman" w:hAnsi="Times New Roman"/>
          <w:spacing w:val="-6"/>
          <w:kern w:val="1"/>
          <w:sz w:val="28"/>
          <w:szCs w:val="28"/>
        </w:rPr>
        <w:t>податку на доходи фізичних осіб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 з урахуванням усіх виграшів у покер та усіх витрат на ігри у покер за рік</w:t>
      </w:r>
      <w:r w:rsidR="0014340D">
        <w:rPr>
          <w:rFonts w:ascii="Times New Roman" w:hAnsi="Times New Roman"/>
          <w:spacing w:val="-6"/>
          <w:kern w:val="1"/>
          <w:sz w:val="28"/>
          <w:szCs w:val="28"/>
        </w:rPr>
        <w:t>;</w:t>
      </w:r>
    </w:p>
    <w:p w14:paraId="3EA778DD" w14:textId="685C21FA" w:rsidR="008652DF" w:rsidRPr="008652DF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Критерії віднесення гравців до професійних затверджує</w:t>
      </w:r>
      <w:r w:rsidR="00F029C5">
        <w:rPr>
          <w:rFonts w:ascii="Times New Roman" w:hAnsi="Times New Roman"/>
          <w:spacing w:val="-6"/>
          <w:kern w:val="1"/>
          <w:sz w:val="28"/>
          <w:szCs w:val="28"/>
        </w:rPr>
        <w:t>ться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 Мін</w:t>
      </w:r>
      <w:r w:rsidR="00F029C5">
        <w:rPr>
          <w:rFonts w:ascii="Times New Roman" w:hAnsi="Times New Roman"/>
          <w:spacing w:val="-6"/>
          <w:kern w:val="1"/>
          <w:sz w:val="28"/>
          <w:szCs w:val="28"/>
        </w:rPr>
        <w:t>істерством молоді та спорту України,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="00F029C5" w:rsidRPr="008652DF">
        <w:rPr>
          <w:rFonts w:ascii="Times New Roman" w:hAnsi="Times New Roman"/>
          <w:spacing w:val="-6"/>
          <w:kern w:val="1"/>
          <w:sz w:val="28"/>
          <w:szCs w:val="28"/>
        </w:rPr>
        <w:t>Мін</w:t>
      </w:r>
      <w:r w:rsidR="00F029C5">
        <w:rPr>
          <w:rFonts w:ascii="Times New Roman" w:hAnsi="Times New Roman"/>
          <w:spacing w:val="-6"/>
          <w:kern w:val="1"/>
          <w:sz w:val="28"/>
          <w:szCs w:val="28"/>
        </w:rPr>
        <w:t>істерство молоді та спорту України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 веде Реєстр професійних гравців у покер. Вносити гравців у цей реєстр може </w:t>
      </w:r>
      <w:r w:rsidR="00F029C5" w:rsidRPr="008652DF">
        <w:rPr>
          <w:rFonts w:ascii="Times New Roman" w:hAnsi="Times New Roman"/>
          <w:spacing w:val="-6"/>
          <w:kern w:val="1"/>
          <w:sz w:val="28"/>
          <w:szCs w:val="28"/>
        </w:rPr>
        <w:t>Мін</w:t>
      </w:r>
      <w:r w:rsidR="00F029C5">
        <w:rPr>
          <w:rFonts w:ascii="Times New Roman" w:hAnsi="Times New Roman"/>
          <w:spacing w:val="-6"/>
          <w:kern w:val="1"/>
          <w:sz w:val="28"/>
          <w:szCs w:val="28"/>
        </w:rPr>
        <w:t>істерство молоді та спорту України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 або національна спортивна федерація, яка відповідає за розвиток спортивного покеру в Україні. </w:t>
      </w:r>
    </w:p>
    <w:p w14:paraId="4776D67E" w14:textId="77777777" w:rsidR="00D43BCA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>2. Визначається, що о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податкуванн</w:t>
      </w:r>
      <w:r>
        <w:rPr>
          <w:rFonts w:ascii="Times New Roman" w:hAnsi="Times New Roman"/>
          <w:spacing w:val="-6"/>
          <w:kern w:val="1"/>
          <w:sz w:val="28"/>
          <w:szCs w:val="28"/>
        </w:rPr>
        <w:t>ям податк</w:t>
      </w:r>
      <w:r w:rsidR="00D43BCA">
        <w:rPr>
          <w:rFonts w:ascii="Times New Roman" w:hAnsi="Times New Roman"/>
          <w:spacing w:val="-6"/>
          <w:kern w:val="1"/>
          <w:sz w:val="28"/>
          <w:szCs w:val="28"/>
        </w:rPr>
        <w:t>ом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на </w:t>
      </w:r>
      <w:r w:rsidR="00F029C5">
        <w:rPr>
          <w:rFonts w:ascii="Times New Roman" w:hAnsi="Times New Roman"/>
          <w:spacing w:val="-6"/>
          <w:kern w:val="1"/>
          <w:sz w:val="28"/>
          <w:szCs w:val="28"/>
        </w:rPr>
        <w:t xml:space="preserve">доходи фізичних осіб 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 підлягають виграші від азартних ігор, розмір яких перевищує 50 тис. гривень.</w:t>
      </w:r>
    </w:p>
    <w:p w14:paraId="330A4C3A" w14:textId="138C5268" w:rsidR="00D43BCA" w:rsidRPr="008652DF" w:rsidRDefault="00D43BCA" w:rsidP="00D43BCA">
      <w:pPr>
        <w:widowControl w:val="0"/>
        <w:autoSpaceDE w:val="0"/>
        <w:autoSpaceDN w:val="0"/>
        <w:adjustRightInd w:val="0"/>
        <w:spacing w:after="120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3. </w:t>
      </w:r>
      <w:r w:rsidR="008652DF" w:rsidRPr="008652DF">
        <w:rPr>
          <w:rFonts w:ascii="Times New Roman" w:hAnsi="Times New Roman"/>
          <w:spacing w:val="-6"/>
          <w:kern w:val="1"/>
          <w:sz w:val="28"/>
          <w:szCs w:val="28"/>
        </w:rPr>
        <w:t>Законопроектом передбачен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і </w:t>
      </w:r>
      <w:r w:rsidR="008652DF"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зміни оподаткування доходів </w:t>
      </w:r>
      <w:r w:rsidR="008652DF">
        <w:rPr>
          <w:rFonts w:ascii="Times New Roman" w:hAnsi="Times New Roman"/>
          <w:spacing w:val="-6"/>
          <w:kern w:val="1"/>
          <w:sz w:val="28"/>
          <w:szCs w:val="28"/>
        </w:rPr>
        <w:t xml:space="preserve">від діяльності з </w:t>
      </w:r>
      <w:r w:rsidR="008652DF" w:rsidRPr="008652DF">
        <w:rPr>
          <w:rFonts w:ascii="Times New Roman" w:hAnsi="Times New Roman"/>
          <w:spacing w:val="-6"/>
          <w:kern w:val="1"/>
          <w:sz w:val="28"/>
          <w:szCs w:val="28"/>
        </w:rPr>
        <w:t>організа</w:t>
      </w:r>
      <w:r w:rsidR="008652DF">
        <w:rPr>
          <w:rFonts w:ascii="Times New Roman" w:hAnsi="Times New Roman"/>
          <w:spacing w:val="-6"/>
          <w:kern w:val="1"/>
          <w:sz w:val="28"/>
          <w:szCs w:val="28"/>
        </w:rPr>
        <w:t xml:space="preserve">ції азартних ігор в залах гральних автоматів, а саме встановлення 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ставки 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18 відсотків від доходу, зменшеного на суму виплачених виплат гравцю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, та діяльності із випуску та проведення лотерей -  </w:t>
      </w: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30 відсотків від доходу</w:t>
      </w:r>
      <w:r>
        <w:rPr>
          <w:rFonts w:ascii="Times New Roman" w:hAnsi="Times New Roman"/>
          <w:spacing w:val="-6"/>
          <w:kern w:val="1"/>
          <w:sz w:val="28"/>
          <w:szCs w:val="28"/>
        </w:rPr>
        <w:t>.</w:t>
      </w:r>
    </w:p>
    <w:p w14:paraId="1C794AF6" w14:textId="779A5CD9" w:rsidR="008652DF" w:rsidRPr="008652DF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8652DF">
        <w:rPr>
          <w:rFonts w:ascii="Times New Roman" w:hAnsi="Times New Roman"/>
          <w:spacing w:val="-6"/>
          <w:kern w:val="1"/>
          <w:sz w:val="28"/>
          <w:szCs w:val="28"/>
        </w:rPr>
        <w:t>4. Прибирається колізія щодо призначення членів Комісії з регулювання азартних ігор та лотерей (залишається призначення за конкурсом для вищого корпусу державної служби).</w:t>
      </w:r>
    </w:p>
    <w:p w14:paraId="35162C62" w14:textId="15DB3E36" w:rsidR="002F257A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5. </w:t>
      </w:r>
      <w:proofErr w:type="spellStart"/>
      <w:r w:rsidRPr="008652DF">
        <w:rPr>
          <w:rFonts w:ascii="Times New Roman" w:hAnsi="Times New Roman"/>
          <w:spacing w:val="-6"/>
          <w:kern w:val="1"/>
          <w:sz w:val="28"/>
          <w:szCs w:val="28"/>
        </w:rPr>
        <w:t>Відтерміновується</w:t>
      </w:r>
      <w:proofErr w:type="spellEnd"/>
      <w:r w:rsidRPr="008652DF">
        <w:rPr>
          <w:rFonts w:ascii="Times New Roman" w:hAnsi="Times New Roman"/>
          <w:spacing w:val="-6"/>
          <w:kern w:val="1"/>
          <w:sz w:val="28"/>
          <w:szCs w:val="28"/>
        </w:rPr>
        <w:t xml:space="preserve">  до 1 січня 2022 року застосування норм щодо сертифікації грального обладнання</w:t>
      </w:r>
    </w:p>
    <w:p w14:paraId="16EE616E" w14:textId="77777777" w:rsidR="008652DF" w:rsidRPr="008652DF" w:rsidRDefault="008652DF" w:rsidP="008652DF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</w:p>
    <w:p w14:paraId="2EB178EE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lastRenderedPageBreak/>
        <w:t>4. Стан нормативно-правової бази у даній сфері правового регулювання</w:t>
      </w:r>
    </w:p>
    <w:p w14:paraId="69790751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631AABDB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 Нормативно-правова база у цій сфері складається з Податкового кодексу України.</w:t>
      </w:r>
    </w:p>
    <w:p w14:paraId="113FCCF3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57A63854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5.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  <w:t>Фінансово-економічне обґрунтування</w:t>
      </w:r>
    </w:p>
    <w:p w14:paraId="1ECBD53F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0CC0867D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Прийняття цього Закону не потребує збільшення видатків Державного бюджету України. </w:t>
      </w:r>
    </w:p>
    <w:p w14:paraId="50F43084" w14:textId="77777777" w:rsidR="00E85267" w:rsidRDefault="00E85267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MT"/>
          <w:kern w:val="1"/>
          <w:sz w:val="28"/>
          <w:szCs w:val="28"/>
        </w:rPr>
      </w:pPr>
    </w:p>
    <w:p w14:paraId="42F62041" w14:textId="77777777" w:rsidR="00E85267" w:rsidRDefault="00E85267" w:rsidP="00E85267">
      <w:pPr>
        <w:suppressAutoHyphens/>
        <w:spacing w:after="0" w:line="240" w:lineRule="auto"/>
        <w:ind w:left="1" w:firstLineChars="202" w:firstLine="566"/>
        <w:contextualSpacing/>
        <w:jc w:val="both"/>
        <w:textDirection w:val="btLr"/>
        <w:textAlignment w:val="top"/>
        <w:outlineLvl w:val="0"/>
        <w:rPr>
          <w:rFonts w:ascii="Times New Roman" w:hAnsi="Times New Roman"/>
          <w:b/>
          <w:color w:val="000000"/>
          <w:position w:val="-1"/>
          <w:sz w:val="28"/>
          <w:szCs w:val="28"/>
          <w:lang w:eastAsia="ru-RU"/>
        </w:rPr>
      </w:pPr>
      <w:r w:rsidRPr="00035F66">
        <w:rPr>
          <w:rFonts w:ascii="Times New Roman" w:hAnsi="Times New Roman"/>
          <w:b/>
          <w:color w:val="000000"/>
          <w:position w:val="-1"/>
          <w:sz w:val="28"/>
          <w:szCs w:val="28"/>
          <w:lang w:val="ru-RU" w:eastAsia="ru-RU"/>
        </w:rPr>
        <w:t xml:space="preserve">    </w:t>
      </w:r>
      <w:r w:rsidRPr="00E85267">
        <w:rPr>
          <w:rFonts w:ascii="Times New Roman" w:hAnsi="Times New Roman"/>
          <w:b/>
          <w:color w:val="000000"/>
          <w:position w:val="-1"/>
          <w:sz w:val="28"/>
          <w:szCs w:val="28"/>
          <w:lang w:eastAsia="ru-RU"/>
        </w:rPr>
        <w:t>6. Запобігання корупції</w:t>
      </w:r>
    </w:p>
    <w:p w14:paraId="77403174" w14:textId="77777777" w:rsidR="00E85267" w:rsidRPr="00E85267" w:rsidRDefault="00E85267" w:rsidP="00E85267">
      <w:pPr>
        <w:suppressAutoHyphens/>
        <w:spacing w:after="0" w:line="240" w:lineRule="auto"/>
        <w:ind w:left="1" w:firstLineChars="202" w:firstLine="566"/>
        <w:contextualSpacing/>
        <w:jc w:val="both"/>
        <w:textDirection w:val="btLr"/>
        <w:textAlignment w:val="top"/>
        <w:outlineLvl w:val="0"/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</w:pPr>
    </w:p>
    <w:p w14:paraId="74B63928" w14:textId="77777777" w:rsidR="00E85267" w:rsidRPr="00E85267" w:rsidRDefault="00E85267" w:rsidP="00E85267">
      <w:pPr>
        <w:suppressAutoHyphens/>
        <w:spacing w:after="0" w:line="240" w:lineRule="auto"/>
        <w:ind w:left="1" w:firstLineChars="202" w:firstLine="566"/>
        <w:contextualSpacing/>
        <w:jc w:val="both"/>
        <w:textDirection w:val="btLr"/>
        <w:textAlignment w:val="top"/>
        <w:outlineLvl w:val="0"/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</w:pPr>
      <w:r w:rsidRPr="00E85267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У проекті закону відсутні правила і процедури, які можуть містити ризики вчинення корупційних правопорушень.</w:t>
      </w:r>
    </w:p>
    <w:p w14:paraId="0DBBA3DA" w14:textId="77777777" w:rsidR="00E85267" w:rsidRPr="00E85267" w:rsidRDefault="00E85267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MT"/>
          <w:kern w:val="1"/>
          <w:sz w:val="28"/>
          <w:szCs w:val="28"/>
        </w:rPr>
      </w:pPr>
    </w:p>
    <w:p w14:paraId="7289A075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24DDA689" w14:textId="77777777" w:rsidR="002F257A" w:rsidRDefault="00E85267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7</w:t>
      </w:r>
      <w:r w:rsidR="002F257A"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. Прогноз соціально-економічних та інших наслідків прийняття проекту Закону</w:t>
      </w:r>
    </w:p>
    <w:p w14:paraId="664A9D53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578264E6" w14:textId="4DD73504" w:rsidR="002F257A" w:rsidRPr="001451D2" w:rsidRDefault="002F257A" w:rsidP="001451D2">
      <w:pPr>
        <w:suppressAutoHyphens/>
        <w:spacing w:after="0" w:line="240" w:lineRule="auto"/>
        <w:ind w:left="1" w:firstLineChars="202" w:firstLine="566"/>
        <w:contextualSpacing/>
        <w:jc w:val="both"/>
        <w:textAlignment w:val="top"/>
        <w:outlineLvl w:val="0"/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</w:pPr>
      <w:r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Прийняття проекту Закону сприятиме </w:t>
      </w:r>
      <w:r w:rsidR="00D43BCA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переїзду професійних гравців у покер в Україну </w:t>
      </w:r>
      <w:r w:rsidR="001744D9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та </w:t>
      </w:r>
      <w:r w:rsidR="008536E1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детінізації</w:t>
      </w:r>
      <w:r w:rsidR="001451D2"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 ігорного біз</w:t>
      </w:r>
      <w:r w:rsid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н</w:t>
      </w:r>
      <w:r w:rsidR="001451D2"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есу в Україні</w:t>
      </w:r>
      <w:r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. </w:t>
      </w:r>
    </w:p>
    <w:p w14:paraId="4065AD09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17AC182D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40282B06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60075341" w14:textId="6C088F38" w:rsidR="002F257A" w:rsidRPr="00E85267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Народний депутат України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 w:rsidR="00E85267" w:rsidRPr="00E85267">
        <w:rPr>
          <w:rFonts w:ascii="TimesNewRomanPS-BoldMT" w:hAnsi="TimesNewRomanPS-BoldMT" w:cs="TimesNewRomanPS-BoldMT"/>
          <w:b/>
          <w:bCs/>
          <w:kern w:val="1"/>
          <w:sz w:val="28"/>
          <w:szCs w:val="28"/>
          <w:lang w:val="ru-RU"/>
        </w:rPr>
        <w:t xml:space="preserve">      </w:t>
      </w:r>
      <w:r w:rsidR="00E85267">
        <w:rPr>
          <w:rFonts w:ascii="TimesNewRomanPS-BoldMT" w:hAnsi="TimesNewRomanPS-BoldMT" w:cs="TimesNewRomanPS-BoldMT"/>
          <w:b/>
          <w:bCs/>
          <w:kern w:val="1"/>
          <w:sz w:val="28"/>
          <w:szCs w:val="28"/>
          <w:lang w:val="ru-RU"/>
        </w:rPr>
        <w:t xml:space="preserve">    </w:t>
      </w:r>
    </w:p>
    <w:p w14:paraId="1411C8CC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</w:p>
    <w:p w14:paraId="0950E7F8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7FDFCEDC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480FCFD9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2F257A">
      <w:pgSz w:w="11900" w:h="16840"/>
      <w:pgMar w:top="1134" w:right="850" w:bottom="1134" w:left="1701" w:header="708" w:footer="708" w:gutter="0"/>
      <w:cols w:space="720"/>
      <w:noEndnote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DB56367"/>
    <w:multiLevelType w:val="hybridMultilevel"/>
    <w:tmpl w:val="43AA3368"/>
    <w:lvl w:ilvl="0" w:tplc="7570D6F6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67"/>
    <w:rsid w:val="00035F66"/>
    <w:rsid w:val="0010776E"/>
    <w:rsid w:val="0014340D"/>
    <w:rsid w:val="001445FF"/>
    <w:rsid w:val="001451D2"/>
    <w:rsid w:val="001744D9"/>
    <w:rsid w:val="001F37D6"/>
    <w:rsid w:val="002F257A"/>
    <w:rsid w:val="00336255"/>
    <w:rsid w:val="00365BFE"/>
    <w:rsid w:val="003D050D"/>
    <w:rsid w:val="00434C9B"/>
    <w:rsid w:val="0045756E"/>
    <w:rsid w:val="004D39BC"/>
    <w:rsid w:val="004D3D7B"/>
    <w:rsid w:val="00564E33"/>
    <w:rsid w:val="005C16C0"/>
    <w:rsid w:val="005D1763"/>
    <w:rsid w:val="006760CA"/>
    <w:rsid w:val="007046C1"/>
    <w:rsid w:val="008536E1"/>
    <w:rsid w:val="008652DF"/>
    <w:rsid w:val="009A04D6"/>
    <w:rsid w:val="00A95D2B"/>
    <w:rsid w:val="00AF0693"/>
    <w:rsid w:val="00BD7742"/>
    <w:rsid w:val="00D43BCA"/>
    <w:rsid w:val="00E85267"/>
    <w:rsid w:val="00EC108E"/>
    <w:rsid w:val="00F028EE"/>
    <w:rsid w:val="00F0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A44739"/>
  <w14:defaultImageDpi w14:val="0"/>
  <w15:docId w15:val="{E2174D70-539D-4FDE-B9B4-D6006153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2D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2">
    <w:name w:val="Rvps2"/>
    <w:basedOn w:val="a"/>
    <w:uiPriority w:val="99"/>
    <w:rsid w:val="008652DF"/>
    <w:pPr>
      <w:spacing w:before="100" w:after="100" w:line="240" w:lineRule="auto"/>
    </w:pPr>
    <w:rPr>
      <w:rFonts w:ascii="Times New Roman" w:eastAsia="Times New Roman" w:hAnsi="Times New Roman"/>
      <w:sz w:val="24"/>
      <w:szCs w:val="24"/>
    </w:rPr>
  </w:style>
  <w:style w:type="table" w:styleId="a4">
    <w:name w:val="Table Grid"/>
    <w:basedOn w:val="a1"/>
    <w:uiPriority w:val="39"/>
    <w:rsid w:val="008652DF"/>
    <w:pPr>
      <w:spacing w:after="0" w:line="240" w:lineRule="auto"/>
    </w:pPr>
    <w:rPr>
      <w:rFonts w:eastAsiaTheme="minorHAnsi" w:cstheme="minorBid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1077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A51FB6-C473-4135-BFDB-A37829D6D2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8AF09A-19C3-47F0-BC5D-4EADE4530F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7D6DAE-331A-481F-A872-FE9DD5369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3456</Words>
  <Characters>1970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2021-02-09T08:42:00Z</dcterms:created>
  <dcterms:modified xsi:type="dcterms:W3CDTF">2021-02-09T08:42:00Z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