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05E28" w14:textId="77777777" w:rsidR="00B766E4" w:rsidRPr="0022595E" w:rsidRDefault="00B766E4" w:rsidP="00B766E4">
      <w:pPr>
        <w:spacing w:after="60"/>
        <w:ind w:firstLine="567"/>
        <w:jc w:val="center"/>
        <w:outlineLvl w:val="3"/>
        <w:rPr>
          <w:b/>
          <w:bCs/>
        </w:rPr>
      </w:pPr>
      <w:r w:rsidRPr="0022595E">
        <w:rPr>
          <w:b/>
          <w:bCs/>
        </w:rPr>
        <w:t>ВИСНОВОК</w:t>
      </w:r>
    </w:p>
    <w:p w14:paraId="5209228F" w14:textId="77777777" w:rsidR="006B33A5" w:rsidRPr="0022595E" w:rsidRDefault="00B766E4" w:rsidP="00B766E4">
      <w:pPr>
        <w:ind w:firstLine="567"/>
        <w:jc w:val="center"/>
        <w:outlineLvl w:val="4"/>
        <w:rPr>
          <w:b/>
        </w:rPr>
      </w:pPr>
      <w:r w:rsidRPr="0022595E">
        <w:rPr>
          <w:b/>
          <w:bCs/>
        </w:rPr>
        <w:t xml:space="preserve">Комітету Верховної Ради України з питань інтеграції </w:t>
      </w:r>
      <w:r w:rsidRPr="0022595E">
        <w:rPr>
          <w:b/>
        </w:rPr>
        <w:t xml:space="preserve">України </w:t>
      </w:r>
      <w:r w:rsidR="002C2D4F" w:rsidRPr="0022595E">
        <w:rPr>
          <w:b/>
        </w:rPr>
        <w:t>до</w:t>
      </w:r>
      <w:r w:rsidRPr="0022595E">
        <w:rPr>
          <w:b/>
        </w:rPr>
        <w:t xml:space="preserve"> Європейськ</w:t>
      </w:r>
      <w:r w:rsidR="002C2D4F" w:rsidRPr="0022595E">
        <w:rPr>
          <w:b/>
        </w:rPr>
        <w:t>ого</w:t>
      </w:r>
      <w:r w:rsidRPr="0022595E">
        <w:rPr>
          <w:b/>
        </w:rPr>
        <w:t xml:space="preserve"> Союз</w:t>
      </w:r>
      <w:r w:rsidR="002C2D4F" w:rsidRPr="0022595E">
        <w:rPr>
          <w:b/>
        </w:rPr>
        <w:t>у</w:t>
      </w:r>
      <w:r w:rsidRPr="0022595E">
        <w:rPr>
          <w:b/>
        </w:rPr>
        <w:t xml:space="preserve"> щодо про</w:t>
      </w:r>
      <w:r w:rsidR="006B33A5" w:rsidRPr="0022595E">
        <w:rPr>
          <w:b/>
        </w:rPr>
        <w:t>є</w:t>
      </w:r>
      <w:r w:rsidRPr="0022595E">
        <w:rPr>
          <w:b/>
        </w:rPr>
        <w:t xml:space="preserve">кту </w:t>
      </w:r>
      <w:r w:rsidR="004975C0" w:rsidRPr="0022595E">
        <w:rPr>
          <w:b/>
        </w:rPr>
        <w:t xml:space="preserve">Закону «Про </w:t>
      </w:r>
      <w:r w:rsidR="006B33A5" w:rsidRPr="0022595E">
        <w:rPr>
          <w:b/>
        </w:rPr>
        <w:t xml:space="preserve">внесення змін до Кодексу законів про працю України щодо визначення поняття </w:t>
      </w:r>
    </w:p>
    <w:p w14:paraId="437FB5DE" w14:textId="77777777" w:rsidR="00B766E4" w:rsidRPr="0022595E" w:rsidRDefault="006B33A5" w:rsidP="00B766E4">
      <w:pPr>
        <w:ind w:firstLine="567"/>
        <w:jc w:val="center"/>
        <w:outlineLvl w:val="4"/>
        <w:rPr>
          <w:b/>
        </w:rPr>
      </w:pPr>
      <w:r w:rsidRPr="0022595E">
        <w:rPr>
          <w:b/>
        </w:rPr>
        <w:t>трудових відносин та ознак їх наявності</w:t>
      </w:r>
      <w:r w:rsidR="004975C0" w:rsidRPr="0022595E">
        <w:rPr>
          <w:b/>
        </w:rPr>
        <w:t>»</w:t>
      </w:r>
    </w:p>
    <w:p w14:paraId="1570F166" w14:textId="77777777" w:rsidR="00B766E4" w:rsidRPr="0022595E" w:rsidRDefault="00B766E4" w:rsidP="00B766E4">
      <w:pPr>
        <w:ind w:firstLine="567"/>
        <w:jc w:val="center"/>
        <w:rPr>
          <w:b/>
        </w:rPr>
      </w:pPr>
      <w:r w:rsidRPr="0022595E">
        <w:rPr>
          <w:b/>
          <w:bCs/>
        </w:rPr>
        <w:t>(</w:t>
      </w:r>
      <w:r w:rsidRPr="0022595E">
        <w:rPr>
          <w:b/>
        </w:rPr>
        <w:t xml:space="preserve">реєстр. № </w:t>
      </w:r>
      <w:r w:rsidR="002C2D4F" w:rsidRPr="0022595E">
        <w:rPr>
          <w:b/>
        </w:rPr>
        <w:t>5054</w:t>
      </w:r>
      <w:r w:rsidRPr="0022595E">
        <w:rPr>
          <w:b/>
        </w:rPr>
        <w:t xml:space="preserve"> від </w:t>
      </w:r>
      <w:r w:rsidR="006B33A5" w:rsidRPr="0022595E">
        <w:rPr>
          <w:b/>
        </w:rPr>
        <w:t>09</w:t>
      </w:r>
      <w:r w:rsidRPr="0022595E">
        <w:rPr>
          <w:b/>
        </w:rPr>
        <w:t>.</w:t>
      </w:r>
      <w:r w:rsidR="006B33A5" w:rsidRPr="0022595E">
        <w:rPr>
          <w:b/>
        </w:rPr>
        <w:t>02</w:t>
      </w:r>
      <w:r w:rsidRPr="0022595E">
        <w:rPr>
          <w:b/>
        </w:rPr>
        <w:t>.20</w:t>
      </w:r>
      <w:r w:rsidR="006B33A5" w:rsidRPr="0022595E">
        <w:rPr>
          <w:b/>
        </w:rPr>
        <w:t>2</w:t>
      </w:r>
      <w:r w:rsidRPr="0022595E">
        <w:rPr>
          <w:b/>
        </w:rPr>
        <w:t xml:space="preserve">1 р., </w:t>
      </w:r>
      <w:r w:rsidR="004975C0" w:rsidRPr="0022595E">
        <w:rPr>
          <w:b/>
        </w:rPr>
        <w:t>Кабінет Міністрів України</w:t>
      </w:r>
      <w:r w:rsidRPr="0022595E">
        <w:rPr>
          <w:b/>
        </w:rPr>
        <w:t>)</w:t>
      </w:r>
    </w:p>
    <w:p w14:paraId="28E9912D" w14:textId="77777777" w:rsidR="00B766E4" w:rsidRPr="0022595E" w:rsidRDefault="00B766E4" w:rsidP="00B766E4">
      <w:pPr>
        <w:ind w:firstLine="567"/>
        <w:jc w:val="center"/>
        <w:rPr>
          <w:b/>
        </w:rPr>
      </w:pPr>
    </w:p>
    <w:p w14:paraId="26364A8D" w14:textId="77777777" w:rsidR="003846F0" w:rsidRPr="00B871B2" w:rsidRDefault="003846F0" w:rsidP="003846F0">
      <w:pPr>
        <w:ind w:firstLine="567"/>
        <w:jc w:val="both"/>
        <w:rPr>
          <w:b/>
          <w:bCs/>
        </w:rPr>
      </w:pPr>
      <w:r w:rsidRPr="00B871B2">
        <w:rPr>
          <w:rFonts w:eastAsia="Verdana"/>
          <w:b/>
          <w:bCs/>
        </w:rPr>
        <w:t>1. </w:t>
      </w:r>
      <w:r w:rsidRPr="00B871B2">
        <w:rPr>
          <w:b/>
          <w:bCs/>
        </w:rPr>
        <w:t>Загальна характеристика законопроєкту.</w:t>
      </w:r>
    </w:p>
    <w:p w14:paraId="0BD6C0D1" w14:textId="77777777" w:rsidR="003846F0" w:rsidRDefault="003846F0" w:rsidP="003846F0">
      <w:pPr>
        <w:ind w:firstLine="567"/>
        <w:jc w:val="both"/>
        <w:rPr>
          <w:color w:val="000000" w:themeColor="text1"/>
        </w:rPr>
      </w:pPr>
      <w:r w:rsidRPr="00B871B2">
        <w:rPr>
          <w:color w:val="000000" w:themeColor="text1"/>
        </w:rPr>
        <w:t xml:space="preserve">Метою проєкту Закону, відповідно до пояснювальної записки, є  </w:t>
      </w:r>
      <w:r w:rsidRPr="00B871B2">
        <w:rPr>
          <w:noProof/>
        </w:rPr>
        <w:t xml:space="preserve">визначення на законодавчому рівні поняття трудових відносин та ознак їх наявності, уніфікація понятійного апарату Кодексу законів про працю України, а також приведення положень національного законодавства про працю у відповідність до положень Директиви Ради № 2001/23/ЄС від </w:t>
      </w:r>
      <w:r w:rsidRPr="00B871B2">
        <w:rPr>
          <w:color w:val="000000" w:themeColor="text1"/>
        </w:rPr>
        <w:t>12 березня 2001 року про наближення законодавств держав-членів, що стосуються охорони прав працівників у випадку передачі підприємств, бізнесових структур або частин підприємств або бізнесових структур.</w:t>
      </w:r>
    </w:p>
    <w:p w14:paraId="48AFD13D" w14:textId="77777777" w:rsidR="003846F0" w:rsidRPr="00B871B2" w:rsidRDefault="003846F0" w:rsidP="003846F0">
      <w:pPr>
        <w:ind w:firstLine="567"/>
        <w:jc w:val="both"/>
        <w:rPr>
          <w:color w:val="000000" w:themeColor="text1"/>
        </w:rPr>
      </w:pPr>
    </w:p>
    <w:p w14:paraId="1BFAFDA9" w14:textId="77777777" w:rsidR="003846F0" w:rsidRPr="00B871B2" w:rsidRDefault="003846F0" w:rsidP="003846F0">
      <w:pPr>
        <w:ind w:firstLine="567"/>
        <w:jc w:val="both"/>
        <w:rPr>
          <w:b/>
          <w:bCs/>
        </w:rPr>
      </w:pPr>
      <w:r w:rsidRPr="00B871B2">
        <w:rPr>
          <w:rFonts w:eastAsia="Verdana"/>
          <w:b/>
          <w:bCs/>
        </w:rPr>
        <w:t>2.  </w:t>
      </w:r>
      <w:r w:rsidRPr="00B871B2">
        <w:rPr>
          <w:b/>
          <w:bCs/>
        </w:rPr>
        <w:t>Належність  законопроєкту   за предметом правового регулювання до сфери дії права Європейського Союзу.</w:t>
      </w:r>
    </w:p>
    <w:p w14:paraId="06E1F079" w14:textId="77777777" w:rsidR="003846F0" w:rsidRPr="00B871B2" w:rsidRDefault="003846F0" w:rsidP="003846F0">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B871B2">
        <w:rPr>
          <w:rFonts w:ascii="Times New Roman" w:eastAsia="Times New Roman" w:hAnsi="Times New Roman"/>
          <w:sz w:val="28"/>
          <w:szCs w:val="28"/>
          <w:lang w:val="uk-UA" w:eastAsia="ru-RU"/>
        </w:rPr>
        <w:t xml:space="preserve">Предмет правового регулювання законопроєкту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та Додатку XL 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B871B2">
        <w:rPr>
          <w:rFonts w:ascii="Times New Roman" w:eastAsia="Times New Roman" w:hAnsi="Times New Roman"/>
          <w:color w:val="000000" w:themeColor="text1"/>
          <w:sz w:val="28"/>
          <w:szCs w:val="28"/>
          <w:lang w:val="uk-UA" w:eastAsia="ru-RU"/>
        </w:rPr>
        <w:t>іншої сторони (далі – Угода про асоціацію).</w:t>
      </w:r>
    </w:p>
    <w:p w14:paraId="24D30EA7" w14:textId="77777777" w:rsidR="003846F0" w:rsidRPr="00B871B2" w:rsidRDefault="003846F0" w:rsidP="003846F0">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B871B2">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законопроєкту, регулюються:</w:t>
      </w:r>
    </w:p>
    <w:p w14:paraId="4FE5D517" w14:textId="77777777" w:rsidR="003846F0" w:rsidRPr="00B871B2" w:rsidRDefault="003846F0" w:rsidP="003846F0">
      <w:pPr>
        <w:pStyle w:val="10"/>
        <w:numPr>
          <w:ilvl w:val="0"/>
          <w:numId w:val="4"/>
        </w:numPr>
        <w:tabs>
          <w:tab w:val="left" w:pos="851"/>
        </w:tabs>
        <w:spacing w:after="0" w:line="240" w:lineRule="auto"/>
        <w:ind w:left="0" w:firstLine="567"/>
        <w:jc w:val="both"/>
        <w:rPr>
          <w:rFonts w:ascii="Times New Roman" w:eastAsia="Times New Roman" w:hAnsi="Times New Roman"/>
          <w:sz w:val="28"/>
          <w:szCs w:val="28"/>
          <w:lang w:val="uk-UA" w:eastAsia="ru-RU"/>
        </w:rPr>
      </w:pPr>
      <w:r w:rsidRPr="00B871B2">
        <w:rPr>
          <w:rFonts w:ascii="Times New Roman" w:eastAsia="Times New Roman" w:hAnsi="Times New Roman"/>
          <w:i/>
          <w:sz w:val="28"/>
          <w:szCs w:val="28"/>
          <w:lang w:val="uk-UA" w:eastAsia="ru-RU"/>
        </w:rPr>
        <w:t>Договором про Європейський Союз (консолідована версія)</w:t>
      </w:r>
      <w:r w:rsidRPr="00B871B2">
        <w:rPr>
          <w:rFonts w:ascii="Times New Roman" w:eastAsia="Times New Roman" w:hAnsi="Times New Roman"/>
          <w:sz w:val="28"/>
          <w:szCs w:val="28"/>
          <w:lang w:val="uk-UA" w:eastAsia="ru-RU"/>
        </w:rPr>
        <w:t xml:space="preserve"> (</w:t>
      </w:r>
      <w:proofErr w:type="spellStart"/>
      <w:r w:rsidRPr="00B871B2">
        <w:rPr>
          <w:rFonts w:ascii="Times New Roman" w:eastAsia="Times New Roman" w:hAnsi="Times New Roman"/>
          <w:sz w:val="28"/>
          <w:szCs w:val="28"/>
          <w:lang w:val="uk-UA" w:eastAsia="ru-RU"/>
        </w:rPr>
        <w:t>Official</w:t>
      </w:r>
      <w:proofErr w:type="spellEnd"/>
      <w:r w:rsidRPr="00B871B2">
        <w:rPr>
          <w:rFonts w:ascii="Times New Roman" w:eastAsia="Times New Roman" w:hAnsi="Times New Roman"/>
          <w:sz w:val="28"/>
          <w:szCs w:val="28"/>
          <w:lang w:val="uk-UA" w:eastAsia="ru-RU"/>
        </w:rPr>
        <w:t xml:space="preserve"> </w:t>
      </w:r>
      <w:proofErr w:type="spellStart"/>
      <w:r w:rsidRPr="00B871B2">
        <w:rPr>
          <w:rFonts w:ascii="Times New Roman" w:eastAsia="Times New Roman" w:hAnsi="Times New Roman"/>
          <w:sz w:val="28"/>
          <w:szCs w:val="28"/>
          <w:lang w:val="uk-UA" w:eastAsia="ru-RU"/>
        </w:rPr>
        <w:t>Journal</w:t>
      </w:r>
      <w:proofErr w:type="spellEnd"/>
      <w:r w:rsidRPr="00B871B2">
        <w:rPr>
          <w:rFonts w:ascii="Times New Roman" w:eastAsia="Times New Roman" w:hAnsi="Times New Roman"/>
          <w:sz w:val="28"/>
          <w:szCs w:val="28"/>
          <w:lang w:val="uk-UA" w:eastAsia="ru-RU"/>
        </w:rPr>
        <w:t xml:space="preserve"> С 202, 07.06.2016, p. 1 – 368) (далі – ДЄС);</w:t>
      </w:r>
    </w:p>
    <w:p w14:paraId="3F2CA494" w14:textId="77777777" w:rsidR="003846F0" w:rsidRPr="00B871B2" w:rsidRDefault="003846F0" w:rsidP="003846F0">
      <w:pPr>
        <w:pStyle w:val="10"/>
        <w:numPr>
          <w:ilvl w:val="0"/>
          <w:numId w:val="4"/>
        </w:numPr>
        <w:tabs>
          <w:tab w:val="left" w:pos="851"/>
        </w:tabs>
        <w:spacing w:after="0" w:line="240" w:lineRule="auto"/>
        <w:ind w:left="0" w:firstLine="567"/>
        <w:jc w:val="both"/>
        <w:rPr>
          <w:rFonts w:ascii="Times New Roman" w:eastAsia="Times New Roman" w:hAnsi="Times New Roman"/>
          <w:sz w:val="28"/>
          <w:szCs w:val="28"/>
          <w:lang w:val="uk-UA" w:eastAsia="ru-RU"/>
        </w:rPr>
      </w:pPr>
      <w:r w:rsidRPr="00B871B2">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B871B2">
        <w:rPr>
          <w:rFonts w:ascii="Times New Roman" w:eastAsia="Times New Roman" w:hAnsi="Times New Roman"/>
          <w:sz w:val="28"/>
          <w:szCs w:val="28"/>
          <w:lang w:val="uk-UA" w:eastAsia="ru-RU"/>
        </w:rPr>
        <w:t xml:space="preserve"> (</w:t>
      </w:r>
      <w:proofErr w:type="spellStart"/>
      <w:r w:rsidRPr="00B871B2">
        <w:rPr>
          <w:rFonts w:ascii="Times New Roman" w:eastAsia="Times New Roman" w:hAnsi="Times New Roman"/>
          <w:sz w:val="28"/>
          <w:szCs w:val="28"/>
          <w:lang w:val="uk-UA" w:eastAsia="ru-RU"/>
        </w:rPr>
        <w:t>Official</w:t>
      </w:r>
      <w:proofErr w:type="spellEnd"/>
      <w:r w:rsidRPr="00B871B2">
        <w:rPr>
          <w:rFonts w:ascii="Times New Roman" w:eastAsia="Times New Roman" w:hAnsi="Times New Roman"/>
          <w:sz w:val="28"/>
          <w:szCs w:val="28"/>
          <w:lang w:val="uk-UA" w:eastAsia="ru-RU"/>
        </w:rPr>
        <w:t xml:space="preserve"> </w:t>
      </w:r>
      <w:proofErr w:type="spellStart"/>
      <w:r w:rsidRPr="00B871B2">
        <w:rPr>
          <w:rFonts w:ascii="Times New Roman" w:eastAsia="Times New Roman" w:hAnsi="Times New Roman"/>
          <w:sz w:val="28"/>
          <w:szCs w:val="28"/>
          <w:lang w:val="uk-UA" w:eastAsia="ru-RU"/>
        </w:rPr>
        <w:t>Journal</w:t>
      </w:r>
      <w:proofErr w:type="spellEnd"/>
      <w:r w:rsidRPr="00B871B2">
        <w:rPr>
          <w:rFonts w:ascii="Times New Roman" w:eastAsia="Times New Roman" w:hAnsi="Times New Roman"/>
          <w:sz w:val="28"/>
          <w:szCs w:val="28"/>
          <w:lang w:val="uk-UA" w:eastAsia="ru-RU"/>
        </w:rPr>
        <w:t xml:space="preserve"> С 202, 07.06.2016, p. 1 – 390) (далі – ДФЄС);</w:t>
      </w:r>
    </w:p>
    <w:p w14:paraId="2EB297B6" w14:textId="77777777" w:rsidR="003846F0" w:rsidRPr="00B871B2" w:rsidRDefault="003846F0" w:rsidP="003846F0">
      <w:pPr>
        <w:pStyle w:val="10"/>
        <w:numPr>
          <w:ilvl w:val="0"/>
          <w:numId w:val="4"/>
        </w:numPr>
        <w:tabs>
          <w:tab w:val="left" w:pos="851"/>
        </w:tabs>
        <w:spacing w:after="0" w:line="240" w:lineRule="auto"/>
        <w:ind w:left="0" w:firstLine="567"/>
        <w:jc w:val="both"/>
        <w:rPr>
          <w:rFonts w:ascii="Times New Roman" w:eastAsia="Times New Roman" w:hAnsi="Times New Roman"/>
          <w:sz w:val="28"/>
          <w:szCs w:val="28"/>
          <w:lang w:val="uk-UA" w:eastAsia="ru-RU"/>
        </w:rPr>
      </w:pPr>
      <w:r w:rsidRPr="00B871B2">
        <w:rPr>
          <w:rFonts w:ascii="Times New Roman" w:eastAsia="Times New Roman" w:hAnsi="Times New Roman"/>
          <w:i/>
          <w:sz w:val="28"/>
          <w:szCs w:val="28"/>
          <w:lang w:val="uk-UA" w:eastAsia="ru-RU"/>
        </w:rPr>
        <w:t>Хартією основних прав Європейського Союзу</w:t>
      </w:r>
      <w:r w:rsidRPr="00B871B2">
        <w:rPr>
          <w:rFonts w:ascii="Times New Roman" w:eastAsia="Times New Roman" w:hAnsi="Times New Roman"/>
          <w:sz w:val="28"/>
          <w:szCs w:val="28"/>
          <w:lang w:val="uk-UA" w:eastAsia="ru-RU"/>
        </w:rPr>
        <w:t xml:space="preserve"> (</w:t>
      </w:r>
      <w:proofErr w:type="spellStart"/>
      <w:r w:rsidRPr="00B871B2">
        <w:rPr>
          <w:rFonts w:ascii="Times New Roman" w:eastAsia="Times New Roman" w:hAnsi="Times New Roman"/>
          <w:sz w:val="28"/>
          <w:szCs w:val="28"/>
          <w:lang w:val="uk-UA" w:eastAsia="ru-RU"/>
        </w:rPr>
        <w:t>Official</w:t>
      </w:r>
      <w:proofErr w:type="spellEnd"/>
      <w:r w:rsidRPr="00B871B2">
        <w:rPr>
          <w:rFonts w:ascii="Times New Roman" w:eastAsia="Times New Roman" w:hAnsi="Times New Roman"/>
          <w:sz w:val="28"/>
          <w:szCs w:val="28"/>
          <w:lang w:val="uk-UA" w:eastAsia="ru-RU"/>
        </w:rPr>
        <w:t xml:space="preserve"> </w:t>
      </w:r>
      <w:proofErr w:type="spellStart"/>
      <w:r w:rsidRPr="00B871B2">
        <w:rPr>
          <w:rFonts w:ascii="Times New Roman" w:eastAsia="Times New Roman" w:hAnsi="Times New Roman"/>
          <w:sz w:val="28"/>
          <w:szCs w:val="28"/>
          <w:lang w:val="uk-UA" w:eastAsia="ru-RU"/>
        </w:rPr>
        <w:t>Journal</w:t>
      </w:r>
      <w:proofErr w:type="spellEnd"/>
      <w:r w:rsidRPr="00B871B2">
        <w:rPr>
          <w:rFonts w:ascii="Times New Roman" w:eastAsia="Times New Roman" w:hAnsi="Times New Roman"/>
          <w:sz w:val="28"/>
          <w:szCs w:val="28"/>
          <w:lang w:val="uk-UA" w:eastAsia="ru-RU"/>
        </w:rPr>
        <w:t xml:space="preserve"> C 202, 07.06.2016, p. 391– 407);</w:t>
      </w:r>
    </w:p>
    <w:p w14:paraId="1472E1B5" w14:textId="77777777" w:rsidR="003846F0" w:rsidRPr="00B871B2" w:rsidRDefault="003846F0" w:rsidP="003846F0">
      <w:pPr>
        <w:numPr>
          <w:ilvl w:val="0"/>
          <w:numId w:val="1"/>
        </w:numPr>
        <w:tabs>
          <w:tab w:val="clear" w:pos="2574"/>
          <w:tab w:val="num" w:pos="900"/>
        </w:tabs>
        <w:ind w:left="0" w:firstLine="540"/>
        <w:jc w:val="both"/>
        <w:rPr>
          <w:color w:val="000000" w:themeColor="text1"/>
        </w:rPr>
      </w:pPr>
      <w:r w:rsidRPr="00B871B2">
        <w:rPr>
          <w:i/>
          <w:color w:val="000000" w:themeColor="text1"/>
        </w:rPr>
        <w:t>Директивою Ради 2001/23/ЄС від 12 березня 2001 року про наближення законодавств держав-членів, що стосуються охорони прав працівників у випадку передачі підприємств, бізнесових структур або частин підприємств або бізнесових структур</w:t>
      </w:r>
      <w:r w:rsidRPr="00B871B2">
        <w:rPr>
          <w:color w:val="000000" w:themeColor="text1"/>
        </w:rPr>
        <w:t xml:space="preserve"> (</w:t>
      </w:r>
      <w:proofErr w:type="spellStart"/>
      <w:r w:rsidRPr="00B871B2">
        <w:rPr>
          <w:color w:val="000000" w:themeColor="text1"/>
        </w:rPr>
        <w:t>Official</w:t>
      </w:r>
      <w:proofErr w:type="spellEnd"/>
      <w:r w:rsidRPr="00B871B2">
        <w:rPr>
          <w:color w:val="000000" w:themeColor="text1"/>
        </w:rPr>
        <w:t xml:space="preserve"> </w:t>
      </w:r>
      <w:proofErr w:type="spellStart"/>
      <w:r w:rsidRPr="00B871B2">
        <w:rPr>
          <w:color w:val="000000" w:themeColor="text1"/>
        </w:rPr>
        <w:t>Journal</w:t>
      </w:r>
      <w:proofErr w:type="spellEnd"/>
      <w:r w:rsidRPr="00B871B2">
        <w:rPr>
          <w:color w:val="000000" w:themeColor="text1"/>
        </w:rPr>
        <w:t xml:space="preserve"> L 82, 22.03.2001, p. 16 – 20) (далі – Директива Ради 2001/23/ЄС); </w:t>
      </w:r>
    </w:p>
    <w:p w14:paraId="1649A643" w14:textId="77777777" w:rsidR="003846F0" w:rsidRPr="00B871B2" w:rsidRDefault="003846F0" w:rsidP="003846F0">
      <w:pPr>
        <w:numPr>
          <w:ilvl w:val="0"/>
          <w:numId w:val="1"/>
        </w:numPr>
        <w:tabs>
          <w:tab w:val="clear" w:pos="2574"/>
          <w:tab w:val="num" w:pos="900"/>
        </w:tabs>
        <w:ind w:left="0" w:firstLine="540"/>
        <w:jc w:val="both"/>
        <w:rPr>
          <w:color w:val="000000" w:themeColor="text1"/>
        </w:rPr>
      </w:pPr>
      <w:r w:rsidRPr="00B871B2">
        <w:rPr>
          <w:i/>
          <w:color w:val="000000" w:themeColor="text1"/>
        </w:rPr>
        <w:t>Директивою Ради 91/533/ЄЕС</w:t>
      </w:r>
      <w:r w:rsidRPr="00B871B2">
        <w:rPr>
          <w:bCs/>
          <w:i/>
          <w:color w:val="000000" w:themeColor="text1"/>
        </w:rPr>
        <w:t xml:space="preserve"> </w:t>
      </w:r>
      <w:r w:rsidRPr="00B871B2">
        <w:rPr>
          <w:i/>
          <w:color w:val="000000" w:themeColor="text1"/>
        </w:rPr>
        <w:t xml:space="preserve">від 14 жовтня 1991 року про обов’язок роботодавця інформувати працівників про умови, що застосовуються до трудового договору чи трудових відносин </w:t>
      </w:r>
      <w:r w:rsidRPr="00B871B2">
        <w:rPr>
          <w:color w:val="000000" w:themeColor="text1"/>
        </w:rPr>
        <w:t>(</w:t>
      </w:r>
      <w:proofErr w:type="spellStart"/>
      <w:r w:rsidRPr="00B871B2">
        <w:rPr>
          <w:color w:val="000000" w:themeColor="text1"/>
        </w:rPr>
        <w:t>Official</w:t>
      </w:r>
      <w:proofErr w:type="spellEnd"/>
      <w:r w:rsidRPr="00B871B2">
        <w:rPr>
          <w:color w:val="000000" w:themeColor="text1"/>
        </w:rPr>
        <w:t xml:space="preserve"> </w:t>
      </w:r>
      <w:proofErr w:type="spellStart"/>
      <w:r w:rsidRPr="00B871B2">
        <w:rPr>
          <w:color w:val="000000" w:themeColor="text1"/>
        </w:rPr>
        <w:t>Journal</w:t>
      </w:r>
      <w:proofErr w:type="spellEnd"/>
      <w:r w:rsidRPr="00B871B2">
        <w:rPr>
          <w:color w:val="000000" w:themeColor="text1"/>
        </w:rPr>
        <w:t xml:space="preserve"> L 288, 18.10.1991, p. 32 – 35) (далі – Директива Ради 91/533/ЄЕС) (втратить чинність – </w:t>
      </w:r>
      <w:r w:rsidRPr="00B871B2">
        <w:t>31.07.2022 р.)</w:t>
      </w:r>
      <w:r w:rsidRPr="00B871B2">
        <w:rPr>
          <w:color w:val="000000" w:themeColor="text1"/>
        </w:rPr>
        <w:t>;</w:t>
      </w:r>
    </w:p>
    <w:p w14:paraId="227C1316" w14:textId="77777777" w:rsidR="003846F0" w:rsidRPr="00B871B2" w:rsidRDefault="003846F0" w:rsidP="003846F0">
      <w:pPr>
        <w:numPr>
          <w:ilvl w:val="0"/>
          <w:numId w:val="1"/>
        </w:numPr>
        <w:tabs>
          <w:tab w:val="clear" w:pos="2574"/>
          <w:tab w:val="num" w:pos="900"/>
        </w:tabs>
        <w:ind w:left="0" w:firstLine="540"/>
        <w:jc w:val="both"/>
        <w:rPr>
          <w:color w:val="000000" w:themeColor="text1"/>
        </w:rPr>
      </w:pPr>
      <w:r w:rsidRPr="00B871B2">
        <w:rPr>
          <w:i/>
          <w:color w:val="000000" w:themeColor="text1"/>
        </w:rPr>
        <w:lastRenderedPageBreak/>
        <w:t xml:space="preserve">Директивою </w:t>
      </w:r>
      <w:r w:rsidRPr="00B871B2">
        <w:rPr>
          <w:i/>
        </w:rPr>
        <w:t>Європейського Парламенту і Ради 20</w:t>
      </w:r>
      <w:r w:rsidRPr="00B871B2">
        <w:rPr>
          <w:i/>
          <w:color w:val="000000" w:themeColor="text1"/>
        </w:rPr>
        <w:t>19/1152</w:t>
      </w:r>
      <w:r w:rsidRPr="00B871B2">
        <w:rPr>
          <w:bCs/>
          <w:i/>
          <w:color w:val="000000" w:themeColor="text1"/>
        </w:rPr>
        <w:t xml:space="preserve"> </w:t>
      </w:r>
      <w:r w:rsidRPr="00B871B2">
        <w:rPr>
          <w:i/>
          <w:color w:val="000000" w:themeColor="text1"/>
        </w:rPr>
        <w:t xml:space="preserve">від 20 червня 2019 року про прозорі та передбачувані умови праці в Європейському Союзі  </w:t>
      </w:r>
      <w:r w:rsidRPr="00B871B2">
        <w:rPr>
          <w:color w:val="000000" w:themeColor="text1"/>
        </w:rPr>
        <w:t>(</w:t>
      </w:r>
      <w:proofErr w:type="spellStart"/>
      <w:r w:rsidRPr="00B871B2">
        <w:rPr>
          <w:color w:val="000000" w:themeColor="text1"/>
        </w:rPr>
        <w:t>Official</w:t>
      </w:r>
      <w:proofErr w:type="spellEnd"/>
      <w:r w:rsidRPr="00B871B2">
        <w:rPr>
          <w:color w:val="000000" w:themeColor="text1"/>
        </w:rPr>
        <w:t xml:space="preserve"> </w:t>
      </w:r>
      <w:proofErr w:type="spellStart"/>
      <w:r w:rsidRPr="00B871B2">
        <w:rPr>
          <w:color w:val="000000" w:themeColor="text1"/>
        </w:rPr>
        <w:t>Journal</w:t>
      </w:r>
      <w:proofErr w:type="spellEnd"/>
      <w:r w:rsidRPr="00B871B2">
        <w:rPr>
          <w:color w:val="000000" w:themeColor="text1"/>
        </w:rPr>
        <w:t xml:space="preserve"> L 186, 11.07.2019, p. 105 – 121) (далі – Директива 2019/1152);</w:t>
      </w:r>
    </w:p>
    <w:p w14:paraId="0CF4F60E" w14:textId="77777777" w:rsidR="003846F0" w:rsidRPr="00B871B2" w:rsidRDefault="003846F0" w:rsidP="003846F0">
      <w:pPr>
        <w:pStyle w:val="10"/>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B871B2">
        <w:rPr>
          <w:rFonts w:ascii="Times New Roman" w:hAnsi="Times New Roman"/>
          <w:i/>
          <w:color w:val="000000"/>
          <w:sz w:val="28"/>
          <w:szCs w:val="28"/>
          <w:lang w:val="uk-UA"/>
        </w:rPr>
        <w:t>Директивою Ради 89/391/ЄЕС від 12 червня 1989 року про встановлення заходів із заохочення поліпшення охорони здоров’я та безпеки праці працівників</w:t>
      </w:r>
      <w:r w:rsidRPr="00B871B2">
        <w:rPr>
          <w:rFonts w:ascii="Times New Roman" w:hAnsi="Times New Roman"/>
          <w:sz w:val="28"/>
          <w:szCs w:val="28"/>
          <w:lang w:val="uk-UA"/>
        </w:rPr>
        <w:t xml:space="preserve"> </w:t>
      </w:r>
      <w:r w:rsidRPr="00B871B2">
        <w:rPr>
          <w:rFonts w:ascii="Times New Roman" w:hAnsi="Times New Roman"/>
          <w:color w:val="000000"/>
          <w:sz w:val="28"/>
          <w:szCs w:val="28"/>
          <w:lang w:val="uk-UA"/>
        </w:rPr>
        <w:t>(</w:t>
      </w:r>
      <w:proofErr w:type="spellStart"/>
      <w:r w:rsidRPr="00B871B2">
        <w:rPr>
          <w:rFonts w:ascii="Times New Roman" w:hAnsi="Times New Roman"/>
          <w:color w:val="000000"/>
          <w:sz w:val="28"/>
          <w:szCs w:val="28"/>
          <w:lang w:val="uk-UA"/>
        </w:rPr>
        <w:t>Official</w:t>
      </w:r>
      <w:proofErr w:type="spellEnd"/>
      <w:r w:rsidRPr="00B871B2">
        <w:rPr>
          <w:rFonts w:ascii="Times New Roman" w:hAnsi="Times New Roman"/>
          <w:color w:val="000000"/>
          <w:sz w:val="28"/>
          <w:szCs w:val="28"/>
          <w:lang w:val="uk-UA"/>
        </w:rPr>
        <w:t xml:space="preserve"> </w:t>
      </w:r>
      <w:proofErr w:type="spellStart"/>
      <w:r w:rsidRPr="00B871B2">
        <w:rPr>
          <w:rFonts w:ascii="Times New Roman" w:hAnsi="Times New Roman"/>
          <w:color w:val="000000"/>
          <w:sz w:val="28"/>
          <w:szCs w:val="28"/>
          <w:lang w:val="uk-UA"/>
        </w:rPr>
        <w:t>Journal</w:t>
      </w:r>
      <w:proofErr w:type="spellEnd"/>
      <w:r w:rsidRPr="00B871B2">
        <w:rPr>
          <w:rFonts w:ascii="Times New Roman" w:hAnsi="Times New Roman"/>
          <w:color w:val="000000"/>
          <w:sz w:val="28"/>
          <w:szCs w:val="28"/>
          <w:lang w:val="uk-UA"/>
        </w:rPr>
        <w:t xml:space="preserve"> L 183, 29.06.1989, p. 1 – 8) (далі – Директива Ради 89/391/ЄЕС);</w:t>
      </w:r>
    </w:p>
    <w:p w14:paraId="2C90405E" w14:textId="77777777" w:rsidR="003846F0" w:rsidRPr="00B871B2" w:rsidRDefault="003846F0" w:rsidP="003846F0">
      <w:pPr>
        <w:pStyle w:val="10"/>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B871B2">
        <w:rPr>
          <w:rFonts w:ascii="Times New Roman" w:hAnsi="Times New Roman"/>
          <w:i/>
          <w:color w:val="000000" w:themeColor="text1"/>
          <w:sz w:val="28"/>
          <w:szCs w:val="28"/>
          <w:lang w:val="uk-UA"/>
        </w:rPr>
        <w:t xml:space="preserve">Директивою 2002/14/ЄС Європейського Парламенту та Ради від 11 березня 2002 року про встановлення загальної структури інформування та консультації працівників Європейського Співтовариства – Спільна декларація Європейського Парламенту, Ради та Комісії про представництво працівників </w:t>
      </w:r>
      <w:r w:rsidRPr="00B871B2">
        <w:rPr>
          <w:rFonts w:ascii="Times New Roman" w:hAnsi="Times New Roman"/>
          <w:color w:val="000000" w:themeColor="text1"/>
          <w:sz w:val="28"/>
          <w:szCs w:val="28"/>
          <w:lang w:val="uk-UA"/>
        </w:rPr>
        <w:t>(</w:t>
      </w:r>
      <w:proofErr w:type="spellStart"/>
      <w:r w:rsidRPr="00B871B2">
        <w:rPr>
          <w:rFonts w:ascii="Times New Roman" w:hAnsi="Times New Roman"/>
          <w:color w:val="000000" w:themeColor="text1"/>
          <w:sz w:val="28"/>
          <w:szCs w:val="28"/>
          <w:lang w:val="uk-UA"/>
        </w:rPr>
        <w:t>Official</w:t>
      </w:r>
      <w:proofErr w:type="spellEnd"/>
      <w:r w:rsidRPr="00B871B2">
        <w:rPr>
          <w:rFonts w:ascii="Times New Roman" w:hAnsi="Times New Roman"/>
          <w:color w:val="000000" w:themeColor="text1"/>
          <w:sz w:val="28"/>
          <w:szCs w:val="28"/>
          <w:lang w:val="uk-UA"/>
        </w:rPr>
        <w:t xml:space="preserve"> </w:t>
      </w:r>
      <w:proofErr w:type="spellStart"/>
      <w:r w:rsidRPr="00B871B2">
        <w:rPr>
          <w:rFonts w:ascii="Times New Roman" w:hAnsi="Times New Roman"/>
          <w:color w:val="000000" w:themeColor="text1"/>
          <w:sz w:val="28"/>
          <w:szCs w:val="28"/>
          <w:lang w:val="uk-UA"/>
        </w:rPr>
        <w:t>Journal</w:t>
      </w:r>
      <w:proofErr w:type="spellEnd"/>
      <w:r w:rsidRPr="00B871B2">
        <w:rPr>
          <w:rFonts w:ascii="Times New Roman" w:hAnsi="Times New Roman"/>
          <w:color w:val="000000" w:themeColor="text1"/>
          <w:sz w:val="28"/>
          <w:szCs w:val="28"/>
          <w:lang w:val="uk-UA"/>
        </w:rPr>
        <w:t xml:space="preserve"> L 80, 23.03.2002, p. 29 – 34) (далі – Директива Ради 2002/14/ЄС);</w:t>
      </w:r>
    </w:p>
    <w:p w14:paraId="3502225A" w14:textId="77777777" w:rsidR="003846F0" w:rsidRPr="00B871B2" w:rsidRDefault="003846F0" w:rsidP="003846F0">
      <w:pPr>
        <w:pStyle w:val="10"/>
        <w:numPr>
          <w:ilvl w:val="0"/>
          <w:numId w:val="1"/>
        </w:numPr>
        <w:tabs>
          <w:tab w:val="clear" w:pos="2574"/>
          <w:tab w:val="left" w:pos="851"/>
        </w:tabs>
        <w:spacing w:after="0" w:line="240" w:lineRule="auto"/>
        <w:ind w:left="851"/>
        <w:jc w:val="both"/>
        <w:rPr>
          <w:rFonts w:ascii="Times New Roman" w:hAnsi="Times New Roman"/>
          <w:color w:val="000000"/>
          <w:sz w:val="28"/>
          <w:szCs w:val="28"/>
          <w:lang w:val="uk-UA"/>
        </w:rPr>
      </w:pPr>
      <w:r w:rsidRPr="00B871B2">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B871B2">
        <w:rPr>
          <w:rFonts w:ascii="Times New Roman" w:eastAsia="Times New Roman" w:hAnsi="Times New Roman"/>
          <w:sz w:val="28"/>
          <w:szCs w:val="28"/>
          <w:lang w:val="uk-UA" w:eastAsia="ru-RU"/>
        </w:rPr>
        <w:t>.</w:t>
      </w:r>
    </w:p>
    <w:p w14:paraId="2DECA61F" w14:textId="77777777" w:rsidR="003846F0" w:rsidRDefault="003846F0" w:rsidP="003846F0">
      <w:pPr>
        <w:pStyle w:val="10"/>
        <w:tabs>
          <w:tab w:val="left" w:pos="851"/>
        </w:tabs>
        <w:spacing w:after="0" w:line="240" w:lineRule="auto"/>
        <w:ind w:left="0" w:firstLine="567"/>
        <w:jc w:val="both"/>
        <w:rPr>
          <w:rFonts w:ascii="Times New Roman" w:hAnsi="Times New Roman"/>
          <w:color w:val="000000" w:themeColor="text1"/>
          <w:sz w:val="28"/>
          <w:szCs w:val="28"/>
          <w:lang w:val="uk-UA"/>
        </w:rPr>
      </w:pPr>
      <w:r w:rsidRPr="00B871B2">
        <w:rPr>
          <w:rFonts w:ascii="Times New Roman" w:hAnsi="Times New Roman"/>
          <w:color w:val="000000" w:themeColor="text1"/>
          <w:sz w:val="28"/>
          <w:szCs w:val="28"/>
          <w:lang w:val="uk-UA"/>
        </w:rPr>
        <w:t xml:space="preserve">Міжнародно-правовими актами з питань, які становлять предмет регулювання законопроєкту, є </w:t>
      </w:r>
      <w:r w:rsidRPr="00B871B2">
        <w:rPr>
          <w:rFonts w:ascii="Times New Roman" w:hAnsi="Times New Roman"/>
          <w:i/>
          <w:color w:val="000000" w:themeColor="text1"/>
          <w:sz w:val="28"/>
          <w:szCs w:val="28"/>
          <w:lang w:val="uk-UA"/>
        </w:rPr>
        <w:t>конвенції та рекомендації Міжнародної організації праці</w:t>
      </w:r>
      <w:r w:rsidRPr="00B871B2">
        <w:rPr>
          <w:rStyle w:val="a8"/>
          <w:rFonts w:ascii="Times New Roman" w:hAnsi="Times New Roman"/>
          <w:color w:val="000000" w:themeColor="text1"/>
          <w:sz w:val="28"/>
          <w:szCs w:val="28"/>
          <w:lang w:val="uk-UA"/>
        </w:rPr>
        <w:footnoteReference w:id="1"/>
      </w:r>
      <w:r w:rsidRPr="00B871B2">
        <w:rPr>
          <w:rFonts w:ascii="Times New Roman" w:hAnsi="Times New Roman"/>
          <w:i/>
          <w:color w:val="000000" w:themeColor="text1"/>
          <w:sz w:val="28"/>
          <w:szCs w:val="28"/>
          <w:lang w:val="uk-UA"/>
        </w:rPr>
        <w:t xml:space="preserve">, </w:t>
      </w:r>
      <w:r w:rsidRPr="00B871B2">
        <w:rPr>
          <w:rFonts w:ascii="Times New Roman" w:hAnsi="Times New Roman"/>
          <w:color w:val="000000" w:themeColor="text1"/>
          <w:sz w:val="28"/>
          <w:szCs w:val="28"/>
          <w:lang w:val="uk-UA"/>
        </w:rPr>
        <w:t xml:space="preserve">а також </w:t>
      </w:r>
      <w:r w:rsidRPr="00B871B2">
        <w:rPr>
          <w:rFonts w:ascii="Times New Roman" w:hAnsi="Times New Roman"/>
          <w:i/>
          <w:color w:val="000000" w:themeColor="text1"/>
          <w:sz w:val="28"/>
          <w:szCs w:val="28"/>
          <w:lang w:val="uk-UA"/>
        </w:rPr>
        <w:t>Європейська соціальна хартія (переглянута)</w:t>
      </w:r>
      <w:r w:rsidRPr="00B871B2">
        <w:rPr>
          <w:rStyle w:val="a8"/>
          <w:rFonts w:ascii="Times New Roman" w:hAnsi="Times New Roman"/>
          <w:i/>
          <w:color w:val="000000" w:themeColor="text1"/>
          <w:sz w:val="28"/>
          <w:szCs w:val="28"/>
          <w:lang w:val="uk-UA"/>
        </w:rPr>
        <w:footnoteReference w:id="2"/>
      </w:r>
      <w:r w:rsidRPr="00B871B2">
        <w:rPr>
          <w:rFonts w:ascii="Times New Roman" w:hAnsi="Times New Roman"/>
          <w:color w:val="000000" w:themeColor="text1"/>
          <w:sz w:val="28"/>
          <w:szCs w:val="28"/>
          <w:lang w:val="uk-UA"/>
        </w:rPr>
        <w:t xml:space="preserve">.  </w:t>
      </w:r>
    </w:p>
    <w:p w14:paraId="6AADBB6A" w14:textId="77777777" w:rsidR="003846F0" w:rsidRPr="00B871B2" w:rsidRDefault="003846F0" w:rsidP="003846F0">
      <w:pPr>
        <w:pStyle w:val="10"/>
        <w:tabs>
          <w:tab w:val="left" w:pos="851"/>
        </w:tabs>
        <w:spacing w:after="0" w:line="240" w:lineRule="auto"/>
        <w:ind w:left="0" w:firstLine="567"/>
        <w:jc w:val="both"/>
        <w:rPr>
          <w:rFonts w:ascii="Times New Roman" w:hAnsi="Times New Roman"/>
          <w:color w:val="000000" w:themeColor="text1"/>
          <w:sz w:val="28"/>
          <w:szCs w:val="28"/>
          <w:lang w:val="uk-UA"/>
        </w:rPr>
      </w:pPr>
    </w:p>
    <w:p w14:paraId="25FBCEA4" w14:textId="77777777" w:rsidR="003846F0" w:rsidRPr="00B871B2" w:rsidRDefault="003846F0" w:rsidP="003846F0">
      <w:pPr>
        <w:ind w:firstLine="567"/>
        <w:jc w:val="both"/>
        <w:rPr>
          <w:b/>
          <w:color w:val="000000" w:themeColor="text1"/>
        </w:rPr>
      </w:pPr>
      <w:r w:rsidRPr="00B871B2">
        <w:rPr>
          <w:rFonts w:eastAsia="Verdana"/>
          <w:b/>
          <w:bCs/>
          <w:color w:val="000000" w:themeColor="text1"/>
        </w:rPr>
        <w:t>3.  </w:t>
      </w:r>
      <w:r w:rsidRPr="00B871B2">
        <w:rPr>
          <w:b/>
          <w:color w:val="000000" w:themeColor="text1"/>
        </w:rPr>
        <w:t>Відповідність законопроєкту праву ЄС.</w:t>
      </w:r>
    </w:p>
    <w:p w14:paraId="48332A17" w14:textId="77777777" w:rsidR="003846F0" w:rsidRPr="00B871B2" w:rsidRDefault="003846F0" w:rsidP="003846F0">
      <w:pPr>
        <w:ind w:firstLine="567"/>
        <w:jc w:val="both"/>
      </w:pPr>
      <w:r w:rsidRPr="00B871B2">
        <w:t xml:space="preserve">За результатами правового аналізу проєкту Закону щодо його відповідності </w:t>
      </w:r>
      <w:proofErr w:type="spellStart"/>
      <w:r w:rsidRPr="00B871B2">
        <w:t>aсquis</w:t>
      </w:r>
      <w:proofErr w:type="spellEnd"/>
      <w:r w:rsidRPr="00B871B2">
        <w:t xml:space="preserve"> ЄС та Угоді про асоціацію слід зазначити таке.  </w:t>
      </w:r>
    </w:p>
    <w:p w14:paraId="6DE29D41" w14:textId="77777777" w:rsidR="003846F0" w:rsidRPr="00B871B2" w:rsidRDefault="003846F0" w:rsidP="003846F0">
      <w:pPr>
        <w:ind w:firstLine="567"/>
        <w:jc w:val="both"/>
        <w:rPr>
          <w:color w:val="000000"/>
        </w:rPr>
      </w:pPr>
      <w:r w:rsidRPr="00B871B2">
        <w:rPr>
          <w:color w:val="000000"/>
        </w:rPr>
        <w:t xml:space="preserve">Згідно з положеннями </w:t>
      </w:r>
      <w:r w:rsidRPr="00B871B2">
        <w:rPr>
          <w:i/>
          <w:color w:val="000000"/>
        </w:rPr>
        <w:t>статті 419 Угоди про асоціацію</w:t>
      </w:r>
      <w:r w:rsidRPr="00B871B2">
        <w:rPr>
          <w:color w:val="000000"/>
        </w:rPr>
        <w:t xml:space="preserve"> Сторони посилюють діалог та співробітництво щодо забезпечення гідної праці, політики зайнятості, безпечних та здорових умов праці, соціального діалогу. </w:t>
      </w:r>
    </w:p>
    <w:p w14:paraId="29B7ABD8" w14:textId="77777777" w:rsidR="003846F0" w:rsidRPr="00B871B2" w:rsidRDefault="003846F0" w:rsidP="003846F0">
      <w:pPr>
        <w:ind w:firstLine="567"/>
        <w:jc w:val="both"/>
        <w:rPr>
          <w:color w:val="000000"/>
        </w:rPr>
      </w:pPr>
      <w:r w:rsidRPr="00B871B2">
        <w:rPr>
          <w:color w:val="000000"/>
        </w:rPr>
        <w:t xml:space="preserve">Співробітництво у цих сферах, згідно зі </w:t>
      </w:r>
      <w:r w:rsidRPr="00B871B2">
        <w:rPr>
          <w:i/>
          <w:color w:val="000000"/>
        </w:rPr>
        <w:t>статтею 420 Угоди про асоціацію</w:t>
      </w:r>
      <w:r w:rsidRPr="00B871B2">
        <w:rPr>
          <w:color w:val="000000"/>
        </w:rPr>
        <w:t xml:space="preserve">, </w:t>
      </w:r>
      <w:bookmarkStart w:id="0" w:name="n2548"/>
      <w:bookmarkEnd w:id="0"/>
      <w:r w:rsidRPr="00B871B2">
        <w:rPr>
          <w:color w:val="000000"/>
        </w:rPr>
        <w:t xml:space="preserve">передбачає досягнення, зокрема, таких цілей як: </w:t>
      </w:r>
      <w:bookmarkStart w:id="1" w:name="n2549"/>
      <w:bookmarkStart w:id="2" w:name="n2551"/>
      <w:bookmarkEnd w:id="1"/>
      <w:bookmarkEnd w:id="2"/>
      <w:r w:rsidRPr="00B871B2">
        <w:rPr>
          <w:color w:val="000000"/>
        </w:rPr>
        <w:t xml:space="preserve">збільшення кількості та покращення якості робочих місць з гідними умовами праці; </w:t>
      </w:r>
      <w:bookmarkStart w:id="3" w:name="n2552"/>
      <w:bookmarkStart w:id="4" w:name="n2553"/>
      <w:bookmarkStart w:id="5" w:name="n2554"/>
      <w:bookmarkStart w:id="6" w:name="n2557"/>
      <w:bookmarkEnd w:id="3"/>
      <w:bookmarkEnd w:id="4"/>
      <w:bookmarkEnd w:id="5"/>
      <w:bookmarkEnd w:id="6"/>
      <w:r w:rsidRPr="00B871B2">
        <w:rPr>
          <w:color w:val="000000"/>
        </w:rPr>
        <w:t>сприяння розвитку соціальної та юридичної справедливості у контексті реформуванні ринку праці; сприяння створенню на ринку праці таких умов, які б поєднували гнучкість та захищеність; зменшення обсягів неформальної економіки шляхом трансформації нелегальної зайнятості; посилення можливостей соціальних партнерів та сприяння соціальному діалогу.</w:t>
      </w:r>
    </w:p>
    <w:p w14:paraId="0648403C" w14:textId="77777777" w:rsidR="003846F0" w:rsidRPr="00B871B2" w:rsidRDefault="003846F0" w:rsidP="003846F0">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sidRPr="00B871B2">
        <w:rPr>
          <w:rFonts w:ascii="Times New Roman" w:eastAsia="Times New Roman" w:hAnsi="Times New Roman"/>
          <w:sz w:val="28"/>
          <w:szCs w:val="28"/>
          <w:lang w:val="uk-UA" w:eastAsia="ru-RU"/>
        </w:rPr>
        <w:t xml:space="preserve">Відповідно до </w:t>
      </w:r>
      <w:r w:rsidRPr="00B871B2">
        <w:rPr>
          <w:rFonts w:ascii="Times New Roman" w:eastAsia="Times New Roman" w:hAnsi="Times New Roman"/>
          <w:i/>
          <w:sz w:val="28"/>
          <w:szCs w:val="28"/>
          <w:lang w:val="uk-UA" w:eastAsia="ru-RU"/>
        </w:rPr>
        <w:t>статті</w:t>
      </w:r>
      <w:r w:rsidRPr="00B871B2">
        <w:rPr>
          <w:rFonts w:ascii="Times New Roman" w:eastAsia="Times New Roman" w:hAnsi="Times New Roman"/>
          <w:i/>
          <w:color w:val="FF0000"/>
          <w:sz w:val="28"/>
          <w:szCs w:val="28"/>
          <w:lang w:val="uk-UA" w:eastAsia="ru-RU"/>
        </w:rPr>
        <w:t xml:space="preserve"> </w:t>
      </w:r>
      <w:r w:rsidRPr="00B871B2">
        <w:rPr>
          <w:rFonts w:ascii="Times New Roman" w:eastAsia="Times New Roman" w:hAnsi="Times New Roman"/>
          <w:i/>
          <w:sz w:val="28"/>
          <w:szCs w:val="28"/>
          <w:lang w:val="uk-UA" w:eastAsia="ru-RU"/>
        </w:rPr>
        <w:t>423 Угоди про асоціацію</w:t>
      </w:r>
      <w:r w:rsidRPr="00B871B2">
        <w:rPr>
          <w:rFonts w:ascii="Times New Roman" w:eastAsia="Times New Roman" w:hAnsi="Times New Roman"/>
          <w:sz w:val="28"/>
          <w:szCs w:val="28"/>
          <w:lang w:val="uk-UA" w:eastAsia="ru-RU"/>
        </w:rPr>
        <w:t xml:space="preserve"> Сторони докладають зусиль для посилення співробітництва у сфері зайнятості та соціальної політики в рамках усіх відповідних регіональних, багатосторонніх та міжнародних форумів і організацій.</w:t>
      </w:r>
    </w:p>
    <w:p w14:paraId="1CD4EB35" w14:textId="77777777" w:rsidR="003846F0" w:rsidRPr="00B871B2" w:rsidRDefault="003846F0" w:rsidP="003846F0">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sidRPr="00B871B2">
        <w:rPr>
          <w:rFonts w:ascii="Times New Roman" w:eastAsia="Times New Roman" w:hAnsi="Times New Roman"/>
          <w:sz w:val="28"/>
          <w:szCs w:val="28"/>
          <w:lang w:val="uk-UA" w:eastAsia="ru-RU"/>
        </w:rPr>
        <w:t xml:space="preserve">Також згідно зі </w:t>
      </w:r>
      <w:r w:rsidRPr="00B871B2">
        <w:rPr>
          <w:rFonts w:ascii="Times New Roman" w:eastAsia="Times New Roman" w:hAnsi="Times New Roman"/>
          <w:i/>
          <w:sz w:val="28"/>
          <w:szCs w:val="28"/>
          <w:lang w:val="uk-UA" w:eastAsia="ru-RU"/>
        </w:rPr>
        <w:t>статтею 291 Угоди про асоціацію</w:t>
      </w:r>
      <w:r w:rsidRPr="00B871B2">
        <w:rPr>
          <w:rFonts w:ascii="Times New Roman" w:eastAsia="Times New Roman" w:hAnsi="Times New Roman"/>
          <w:sz w:val="28"/>
          <w:szCs w:val="28"/>
          <w:lang w:val="uk-UA" w:eastAsia="ru-RU"/>
        </w:rPr>
        <w:t xml:space="preserve"> Сторони забезпечують і реалізовують у своїх законах та практиках основні міжнародно визнані трудові </w:t>
      </w:r>
      <w:r w:rsidRPr="00B871B2">
        <w:rPr>
          <w:rFonts w:ascii="Times New Roman" w:eastAsia="Times New Roman" w:hAnsi="Times New Roman"/>
          <w:sz w:val="28"/>
          <w:szCs w:val="28"/>
          <w:lang w:val="uk-UA" w:eastAsia="ru-RU"/>
        </w:rPr>
        <w:lastRenderedPageBreak/>
        <w:t>стандарти, підтверджують своє зобов’язання щодо ефективного виконання основоположних та пріоритетних конвенцій МОП, які вони ратифікували, та Декларації МОП стосовно основних принципів та прав у світі праці 1998 року, а також розглядають питання про ратифікацію та імплементацію інших конвенцій МОП, які класифікуються МОП як такі, що відповідають сучасним вимогам.</w:t>
      </w:r>
    </w:p>
    <w:p w14:paraId="2F500694" w14:textId="77777777" w:rsidR="003846F0" w:rsidRPr="00B871B2" w:rsidRDefault="003846F0" w:rsidP="003846F0">
      <w:pPr>
        <w:ind w:firstLine="567"/>
        <w:jc w:val="both"/>
        <w:rPr>
          <w:color w:val="000000" w:themeColor="text1"/>
        </w:rPr>
      </w:pPr>
      <w:r w:rsidRPr="00B871B2">
        <w:rPr>
          <w:color w:val="000000" w:themeColor="text1"/>
        </w:rPr>
        <w:t xml:space="preserve">При цьому слід звернути увагу, що відповідно до </w:t>
      </w:r>
      <w:r w:rsidRPr="00B871B2">
        <w:rPr>
          <w:i/>
          <w:color w:val="000000" w:themeColor="text1"/>
        </w:rPr>
        <w:t xml:space="preserve">Угоди про асоціацію </w:t>
      </w:r>
      <w:r w:rsidRPr="00B871B2">
        <w:rPr>
          <w:color w:val="000000" w:themeColor="text1"/>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Pr="00B871B2">
        <w:rPr>
          <w:bCs/>
          <w:color w:val="000000" w:themeColor="text1"/>
        </w:rPr>
        <w:t xml:space="preserve">одатку XL до </w:t>
      </w:r>
      <w:r w:rsidRPr="00B871B2">
        <w:rPr>
          <w:color w:val="000000" w:themeColor="text1"/>
        </w:rPr>
        <w:t>Угоди про асоціацію, зокрема:</w:t>
      </w:r>
    </w:p>
    <w:p w14:paraId="2C1929B1" w14:textId="77777777" w:rsidR="003846F0" w:rsidRPr="00B871B2" w:rsidRDefault="003846F0" w:rsidP="003846F0">
      <w:pPr>
        <w:numPr>
          <w:ilvl w:val="0"/>
          <w:numId w:val="2"/>
        </w:numPr>
        <w:tabs>
          <w:tab w:val="clear" w:pos="2574"/>
          <w:tab w:val="num" w:pos="540"/>
        </w:tabs>
        <w:ind w:left="540"/>
        <w:jc w:val="both"/>
        <w:rPr>
          <w:bCs/>
          <w:color w:val="000000" w:themeColor="text1"/>
        </w:rPr>
      </w:pPr>
      <w:r w:rsidRPr="00B871B2">
        <w:rPr>
          <w:color w:val="000000" w:themeColor="text1"/>
        </w:rPr>
        <w:t xml:space="preserve">протягом трьох років з дати набрання чинності Угодою про асоціацію до </w:t>
      </w:r>
      <w:r w:rsidRPr="00B871B2">
        <w:rPr>
          <w:i/>
          <w:color w:val="000000" w:themeColor="text1"/>
        </w:rPr>
        <w:t>Директиви Ради 2001/23/ЄС</w:t>
      </w:r>
      <w:r w:rsidRPr="00B871B2">
        <w:rPr>
          <w:color w:val="000000" w:themeColor="text1"/>
        </w:rPr>
        <w:t xml:space="preserve">, </w:t>
      </w:r>
      <w:r w:rsidRPr="00B871B2">
        <w:rPr>
          <w:i/>
          <w:color w:val="000000" w:themeColor="text1"/>
        </w:rPr>
        <w:t>Директива Ради 89/391/ЄЕС, Директиви 2002/14/ЄС</w:t>
      </w:r>
      <w:r w:rsidRPr="00B871B2">
        <w:rPr>
          <w:color w:val="000000" w:themeColor="text1"/>
        </w:rPr>
        <w:t>;</w:t>
      </w:r>
    </w:p>
    <w:p w14:paraId="5C61418B" w14:textId="77777777" w:rsidR="003846F0" w:rsidRPr="00B871B2" w:rsidRDefault="003846F0" w:rsidP="003846F0">
      <w:pPr>
        <w:numPr>
          <w:ilvl w:val="0"/>
          <w:numId w:val="2"/>
        </w:numPr>
        <w:tabs>
          <w:tab w:val="clear" w:pos="2574"/>
          <w:tab w:val="num" w:pos="540"/>
        </w:tabs>
        <w:ind w:left="540"/>
        <w:jc w:val="both"/>
        <w:rPr>
          <w:color w:val="000000" w:themeColor="text1"/>
        </w:rPr>
      </w:pPr>
      <w:r w:rsidRPr="00B871B2">
        <w:rPr>
          <w:color w:val="000000" w:themeColor="text1"/>
        </w:rPr>
        <w:t xml:space="preserve">протягом чотирьох років з дати набрання чинності Угодою про асоціацію  до </w:t>
      </w:r>
      <w:r w:rsidRPr="00B871B2">
        <w:rPr>
          <w:i/>
          <w:color w:val="000000" w:themeColor="text1"/>
        </w:rPr>
        <w:t>Директиви Ради 91/533/ЄЕС</w:t>
      </w:r>
      <w:r w:rsidRPr="00B871B2">
        <w:rPr>
          <w:color w:val="000000" w:themeColor="text1"/>
        </w:rPr>
        <w:t xml:space="preserve"> (ця директива втрачає чинність </w:t>
      </w:r>
      <w:r w:rsidRPr="00B871B2">
        <w:t xml:space="preserve">31 липня 2022 року </w:t>
      </w:r>
      <w:r w:rsidRPr="00B871B2">
        <w:rPr>
          <w:color w:val="000000" w:themeColor="text1"/>
        </w:rPr>
        <w:t xml:space="preserve">на підставі </w:t>
      </w:r>
      <w:r w:rsidRPr="00B871B2">
        <w:rPr>
          <w:i/>
          <w:color w:val="000000" w:themeColor="text1"/>
        </w:rPr>
        <w:t>Директиви 2019/1152</w:t>
      </w:r>
      <w:r w:rsidRPr="00B871B2">
        <w:rPr>
          <w:color w:val="000000" w:themeColor="text1"/>
        </w:rPr>
        <w:t>).</w:t>
      </w:r>
    </w:p>
    <w:p w14:paraId="1A1C4DF6" w14:textId="77777777" w:rsidR="003846F0" w:rsidRPr="00B871B2" w:rsidRDefault="003846F0" w:rsidP="003846F0">
      <w:pPr>
        <w:ind w:firstLine="567"/>
        <w:jc w:val="both"/>
        <w:rPr>
          <w:color w:val="000000" w:themeColor="text1"/>
        </w:rPr>
      </w:pPr>
      <w:r w:rsidRPr="00B871B2">
        <w:rPr>
          <w:color w:val="000000" w:themeColor="text1"/>
        </w:rPr>
        <w:t xml:space="preserve"> Щодо мети проєкту Закону необхідно зазначити, що він не суперечить зобов’язанням України відповідно до Угоди про асоціацію. Водночас, потребує суттєвого доопрацювання з метою більш повного врахування та належної імплементації положень </w:t>
      </w:r>
      <w:r w:rsidRPr="00B871B2">
        <w:rPr>
          <w:i/>
          <w:color w:val="000000" w:themeColor="text1"/>
        </w:rPr>
        <w:t>Директиви 2019/1152</w:t>
      </w:r>
      <w:r w:rsidRPr="00B871B2">
        <w:rPr>
          <w:color w:val="000000" w:themeColor="text1"/>
        </w:rPr>
        <w:t xml:space="preserve">, </w:t>
      </w:r>
      <w:r w:rsidRPr="00B871B2">
        <w:rPr>
          <w:i/>
          <w:color w:val="000000" w:themeColor="text1"/>
        </w:rPr>
        <w:t>Директиви Ради 2001/23/ЄС</w:t>
      </w:r>
      <w:r w:rsidRPr="00B871B2">
        <w:rPr>
          <w:color w:val="000000" w:themeColor="text1"/>
        </w:rPr>
        <w:t xml:space="preserve">, </w:t>
      </w:r>
      <w:r w:rsidRPr="00B871B2">
        <w:rPr>
          <w:i/>
          <w:color w:val="000000" w:themeColor="text1"/>
        </w:rPr>
        <w:t>Директиви Ради 2002/14/ЄС</w:t>
      </w:r>
      <w:r w:rsidRPr="00B871B2">
        <w:rPr>
          <w:color w:val="000000" w:themeColor="text1"/>
        </w:rPr>
        <w:t xml:space="preserve">, </w:t>
      </w:r>
      <w:r w:rsidRPr="00B871B2">
        <w:rPr>
          <w:i/>
          <w:color w:val="000000" w:themeColor="text1"/>
        </w:rPr>
        <w:t>Директиви Ради 89/391/ЄЕС</w:t>
      </w:r>
      <w:r w:rsidRPr="00B871B2">
        <w:rPr>
          <w:color w:val="000000" w:themeColor="text1"/>
        </w:rPr>
        <w:t xml:space="preserve">, а також </w:t>
      </w:r>
      <w:r w:rsidRPr="00B871B2">
        <w:rPr>
          <w:i/>
          <w:color w:val="000000" w:themeColor="text1"/>
        </w:rPr>
        <w:t>рекомендації МОП № 198</w:t>
      </w:r>
      <w:r w:rsidRPr="00B871B2">
        <w:rPr>
          <w:rStyle w:val="a8"/>
          <w:color w:val="000000" w:themeColor="text1"/>
        </w:rPr>
        <w:footnoteReference w:id="3"/>
      </w:r>
      <w:r w:rsidRPr="00B871B2">
        <w:rPr>
          <w:color w:val="000000" w:themeColor="text1"/>
        </w:rPr>
        <w:t>.</w:t>
      </w:r>
    </w:p>
    <w:p w14:paraId="4AE78F63" w14:textId="77777777" w:rsidR="003846F0" w:rsidRPr="00B871B2" w:rsidRDefault="003846F0" w:rsidP="003846F0">
      <w:pPr>
        <w:ind w:firstLine="567"/>
        <w:jc w:val="both"/>
        <w:rPr>
          <w:color w:val="000000" w:themeColor="text1"/>
        </w:rPr>
      </w:pPr>
      <w:r w:rsidRPr="00B871B2">
        <w:rPr>
          <w:color w:val="000000" w:themeColor="text1"/>
        </w:rPr>
        <w:t xml:space="preserve">Так, позитивним є визначення на законодавчому рівні поняття «трудові відносини» та ознак їх наявності. Адже, трудові відносини дають багато переваг, серед яких доступ до соціального забезпечення, гарантованість доходів та право на безпечні та здорові умови праці. Крім того, набагато складніше забезпечити захист основних трудових прав, якщо робота виконується поза межами трудових відносин. </w:t>
      </w:r>
    </w:p>
    <w:p w14:paraId="3074AB92" w14:textId="77777777" w:rsidR="003846F0" w:rsidRPr="00B871B2" w:rsidRDefault="003846F0" w:rsidP="003846F0">
      <w:pPr>
        <w:ind w:firstLine="567"/>
        <w:jc w:val="both"/>
        <w:rPr>
          <w:color w:val="000000" w:themeColor="text1"/>
        </w:rPr>
      </w:pPr>
      <w:r w:rsidRPr="00B871B2">
        <w:rPr>
          <w:color w:val="000000" w:themeColor="text1"/>
        </w:rPr>
        <w:t xml:space="preserve">Разом з тим, </w:t>
      </w:r>
      <w:r w:rsidRPr="00B871B2">
        <w:rPr>
          <w:color w:val="000000" w:themeColor="text1"/>
          <w:u w:val="single"/>
        </w:rPr>
        <w:t xml:space="preserve">при визначенні у законопроєкті поняття «трудові відносини» та ознак їх наявності вбачається за доцільне більш повно врахувати положення </w:t>
      </w:r>
      <w:r w:rsidRPr="00B871B2">
        <w:rPr>
          <w:i/>
          <w:color w:val="000000" w:themeColor="text1"/>
          <w:u w:val="single"/>
        </w:rPr>
        <w:t>пункту 13 рекомендації МОП № 198</w:t>
      </w:r>
      <w:r w:rsidRPr="00B871B2">
        <w:rPr>
          <w:color w:val="000000" w:themeColor="text1"/>
        </w:rPr>
        <w:t xml:space="preserve">, в якому йдеться про те, що держави-члени МОП повинні передбачити можливість визначення у своїх законах і нормативних актах або іншими засобами конкретних ознак існування трудових відносин. Такі ознаки можуть включати: (a) той факт, що робота: виконується відповідно до вказівок і під контролем іншої сторони; припускає інтеграцію працівника в організаційну структуру підприємства; виконується винятково або головним чином в інтересах іншої особи; повинна виконуватися особисто працівником; виконується відповідно до певного графіка або на робочому місці, що вказується або узгоджується стороною, яка замовила її; має певну тривалість і передбачає певну спадкоємність; вимагає присутності працівника; або передбачає надання </w:t>
      </w:r>
      <w:r w:rsidRPr="00B871B2">
        <w:rPr>
          <w:color w:val="000000" w:themeColor="text1"/>
        </w:rPr>
        <w:lastRenderedPageBreak/>
        <w:t xml:space="preserve">інструментів, матеріалів і механізмів стороною, що замовила роботу; (b) періодична виплата винагороди працівникові; той факт, що дана винагорода є єдиним або основним джерелом доходів працівника; здійснення оплати праці в натуральному виразі шляхом надання працівникові, приміром, харчових продуктів, житла або транспортних засобів; визнання таких прав, як щотижневі вихідні дні й щорічна відпустка; оплата стороною, що замовила виконання роботи, поїздок, що здійснюються працівником у цілях виконання роботи; або те, що працівник не несе фінансового ризику.    </w:t>
      </w:r>
    </w:p>
    <w:p w14:paraId="06E6DB61" w14:textId="77777777" w:rsidR="003846F0" w:rsidRPr="00B871B2" w:rsidRDefault="003846F0" w:rsidP="003846F0">
      <w:pPr>
        <w:ind w:firstLine="567"/>
        <w:jc w:val="both"/>
        <w:rPr>
          <w:color w:val="000000" w:themeColor="text1"/>
        </w:rPr>
      </w:pPr>
      <w:r w:rsidRPr="00B871B2">
        <w:rPr>
          <w:color w:val="000000" w:themeColor="text1"/>
        </w:rPr>
        <w:t xml:space="preserve">При визначенні у законопроєкті поняття «роботодавець» необхідно врахувати положення </w:t>
      </w:r>
      <w:r w:rsidRPr="00B871B2">
        <w:rPr>
          <w:i/>
          <w:color w:val="000000" w:themeColor="text1"/>
        </w:rPr>
        <w:t>Директиви Ради 2002/14/ЄС</w:t>
      </w:r>
      <w:r w:rsidRPr="00B871B2">
        <w:rPr>
          <w:color w:val="000000" w:themeColor="text1"/>
        </w:rPr>
        <w:t xml:space="preserve">. Так, </w:t>
      </w:r>
      <w:r w:rsidRPr="00B871B2">
        <w:rPr>
          <w:color w:val="000000" w:themeColor="text1"/>
          <w:u w:val="single"/>
        </w:rPr>
        <w:t xml:space="preserve">на відміну від </w:t>
      </w:r>
      <w:r w:rsidRPr="00B871B2">
        <w:rPr>
          <w:i/>
          <w:color w:val="000000" w:themeColor="text1"/>
          <w:u w:val="single"/>
        </w:rPr>
        <w:t>статті 2 Директиви Ради 2002/14/ЄC</w:t>
      </w:r>
      <w:r w:rsidRPr="00B871B2">
        <w:rPr>
          <w:color w:val="000000" w:themeColor="text1"/>
          <w:u w:val="single"/>
        </w:rPr>
        <w:t>, у визначенні терміну «роботодавець», що пропонується у законопроєкті, не зазначено, що роботодавець є стороною трудових договорів або трудових відносин з працівниками</w:t>
      </w:r>
      <w:r w:rsidRPr="00B871B2">
        <w:rPr>
          <w:color w:val="000000" w:themeColor="text1"/>
        </w:rPr>
        <w:t>.</w:t>
      </w:r>
    </w:p>
    <w:p w14:paraId="617ADBD2" w14:textId="77777777" w:rsidR="003846F0" w:rsidRPr="00B871B2" w:rsidRDefault="003846F0" w:rsidP="003846F0">
      <w:pPr>
        <w:ind w:firstLine="567"/>
        <w:jc w:val="both"/>
        <w:rPr>
          <w:color w:val="000000" w:themeColor="text1"/>
        </w:rPr>
      </w:pPr>
      <w:r w:rsidRPr="00B871B2">
        <w:rPr>
          <w:color w:val="000000" w:themeColor="text1"/>
        </w:rPr>
        <w:t xml:space="preserve">Також законопроєкт, всупереч тезі, що міститься у пояснювальній записці, про те, що ним пропонується «встановити принцип презумпції наявності трудових відносин», </w:t>
      </w:r>
      <w:r w:rsidRPr="00B871B2">
        <w:rPr>
          <w:color w:val="000000" w:themeColor="text1"/>
          <w:u w:val="single"/>
        </w:rPr>
        <w:t xml:space="preserve">не встановлює правову презумпцію існування трудових відносин, а лише містить твердження про те, що «робота </w:t>
      </w:r>
      <w:r w:rsidRPr="00B871B2">
        <w:rPr>
          <w:i/>
          <w:color w:val="000000" w:themeColor="text1"/>
          <w:u w:val="single"/>
        </w:rPr>
        <w:t>може</w:t>
      </w:r>
      <w:r w:rsidRPr="00B871B2">
        <w:rPr>
          <w:color w:val="000000" w:themeColor="text1"/>
          <w:u w:val="single"/>
        </w:rPr>
        <w:t xml:space="preserve"> </w:t>
      </w:r>
      <w:r w:rsidRPr="00B871B2">
        <w:rPr>
          <w:i/>
          <w:color w:val="000000" w:themeColor="text1"/>
          <w:u w:val="single"/>
        </w:rPr>
        <w:t>бути визнана</w:t>
      </w:r>
      <w:r w:rsidRPr="00B871B2">
        <w:rPr>
          <w:color w:val="000000" w:themeColor="text1"/>
          <w:u w:val="single"/>
        </w:rPr>
        <w:t xml:space="preserve"> такою, що виконується в межах трудових відносин»</w:t>
      </w:r>
      <w:r w:rsidRPr="00B871B2">
        <w:rPr>
          <w:color w:val="000000" w:themeColor="text1"/>
        </w:rPr>
        <w:t xml:space="preserve"> (частина перша статті 21</w:t>
      </w:r>
      <w:r w:rsidRPr="00B871B2">
        <w:rPr>
          <w:color w:val="000000" w:themeColor="text1"/>
          <w:vertAlign w:val="superscript"/>
        </w:rPr>
        <w:t>2</w:t>
      </w:r>
      <w:r w:rsidRPr="00B871B2">
        <w:rPr>
          <w:color w:val="000000" w:themeColor="text1"/>
        </w:rPr>
        <w:t xml:space="preserve">, якою у законопроєкті пропонується доповнити </w:t>
      </w:r>
      <w:r w:rsidRPr="00B871B2">
        <w:rPr>
          <w:noProof/>
        </w:rPr>
        <w:t>Кодекс законів про працю України)</w:t>
      </w:r>
      <w:r w:rsidRPr="00B871B2">
        <w:rPr>
          <w:color w:val="000000" w:themeColor="text1"/>
        </w:rPr>
        <w:t>. У такій редакції це положення законопроєкту лише визначає умови («</w:t>
      </w:r>
      <w:r w:rsidRPr="00B871B2">
        <w:t>якщо є три і більше зазначених ознак наявності трудових відносин»</w:t>
      </w:r>
      <w:r w:rsidRPr="00B871B2">
        <w:rPr>
          <w:color w:val="000000" w:themeColor="text1"/>
        </w:rPr>
        <w:t xml:space="preserve">), за яких «робота </w:t>
      </w:r>
      <w:r w:rsidRPr="00B871B2">
        <w:rPr>
          <w:i/>
          <w:color w:val="000000" w:themeColor="text1"/>
        </w:rPr>
        <w:t>може</w:t>
      </w:r>
      <w:r w:rsidRPr="00B871B2">
        <w:rPr>
          <w:color w:val="000000" w:themeColor="text1"/>
        </w:rPr>
        <w:t xml:space="preserve"> </w:t>
      </w:r>
      <w:r w:rsidRPr="00B871B2">
        <w:rPr>
          <w:i/>
          <w:color w:val="000000" w:themeColor="text1"/>
        </w:rPr>
        <w:t>бути визнана</w:t>
      </w:r>
      <w:r w:rsidRPr="00B871B2">
        <w:rPr>
          <w:color w:val="000000" w:themeColor="text1"/>
        </w:rPr>
        <w:t xml:space="preserve"> такою, що виконується в межах трудових відносин», але не встановлює принцип презумпції наявності трудових відносин.      </w:t>
      </w:r>
    </w:p>
    <w:p w14:paraId="41500159" w14:textId="77777777" w:rsidR="003846F0" w:rsidRPr="00B871B2" w:rsidRDefault="003846F0" w:rsidP="003846F0">
      <w:pPr>
        <w:ind w:firstLine="567"/>
        <w:jc w:val="both"/>
        <w:rPr>
          <w:color w:val="000000" w:themeColor="text1"/>
        </w:rPr>
      </w:pPr>
      <w:r w:rsidRPr="00B871B2">
        <w:rPr>
          <w:color w:val="000000" w:themeColor="text1"/>
        </w:rPr>
        <w:t xml:space="preserve">Зазначене </w:t>
      </w:r>
      <w:r w:rsidRPr="00B871B2">
        <w:rPr>
          <w:color w:val="000000" w:themeColor="text1"/>
          <w:u w:val="single"/>
        </w:rPr>
        <w:t xml:space="preserve">положення проєкту Закону в частині слів «може бути визнана» </w:t>
      </w:r>
      <w:r w:rsidRPr="00B871B2">
        <w:rPr>
          <w:u w:val="single"/>
        </w:rPr>
        <w:t xml:space="preserve">також </w:t>
      </w:r>
      <w:r w:rsidRPr="00B871B2">
        <w:rPr>
          <w:color w:val="000000" w:themeColor="text1"/>
          <w:u w:val="single"/>
        </w:rPr>
        <w:t>не відповідає принципу правової визначеності</w:t>
      </w:r>
      <w:r w:rsidRPr="00B871B2">
        <w:rPr>
          <w:color w:val="000000" w:themeColor="text1"/>
        </w:rPr>
        <w:t xml:space="preserve"> («</w:t>
      </w:r>
      <w:proofErr w:type="spellStart"/>
      <w:r w:rsidRPr="00B871B2">
        <w:rPr>
          <w:color w:val="000000" w:themeColor="text1"/>
        </w:rPr>
        <w:t>legаl</w:t>
      </w:r>
      <w:proofErr w:type="spellEnd"/>
      <w:r w:rsidRPr="00B871B2">
        <w:rPr>
          <w:color w:val="000000" w:themeColor="text1"/>
        </w:rPr>
        <w:t xml:space="preserve"> </w:t>
      </w:r>
      <w:proofErr w:type="spellStart"/>
      <w:r w:rsidRPr="00B871B2">
        <w:rPr>
          <w:color w:val="000000" w:themeColor="text1"/>
        </w:rPr>
        <w:t>certainty</w:t>
      </w:r>
      <w:proofErr w:type="spellEnd"/>
      <w:r w:rsidRPr="00B871B2">
        <w:rPr>
          <w:color w:val="000000" w:themeColor="text1"/>
        </w:rPr>
        <w:t>»), який є одним із загальних принципів права ЄС, та згідно з яким для належного функціонування правової системи держави передбачуваність, несуперечливість та узгодженість формулювання норм є однією із обов’язкових умов для створення якісного та дієвого законодавства.</w:t>
      </w:r>
    </w:p>
    <w:p w14:paraId="3550890D" w14:textId="77777777" w:rsidR="003846F0" w:rsidRPr="00B871B2" w:rsidRDefault="003846F0" w:rsidP="003846F0">
      <w:pPr>
        <w:ind w:firstLine="567"/>
        <w:jc w:val="both"/>
        <w:rPr>
          <w:color w:val="000000" w:themeColor="text1"/>
        </w:rPr>
      </w:pPr>
      <w:r w:rsidRPr="00B871B2">
        <w:rPr>
          <w:color w:val="000000" w:themeColor="text1"/>
        </w:rPr>
        <w:t xml:space="preserve">Принагідно слід наголосити, що закріплення правової презумпції існування трудових відносин, як визначено у </w:t>
      </w:r>
      <w:r w:rsidRPr="00B871B2">
        <w:rPr>
          <w:i/>
          <w:color w:val="000000" w:themeColor="text1"/>
        </w:rPr>
        <w:t>пунктах (35), (39) преамбули</w:t>
      </w:r>
      <w:r w:rsidRPr="00B871B2">
        <w:rPr>
          <w:color w:val="000000" w:themeColor="text1"/>
        </w:rPr>
        <w:t xml:space="preserve"> та </w:t>
      </w:r>
      <w:r w:rsidRPr="00B871B2">
        <w:rPr>
          <w:i/>
          <w:color w:val="000000" w:themeColor="text1"/>
        </w:rPr>
        <w:t>статтях 11, 15  Директиви 2019/1152</w:t>
      </w:r>
      <w:r w:rsidRPr="00B871B2">
        <w:rPr>
          <w:color w:val="000000" w:themeColor="text1"/>
        </w:rPr>
        <w:t xml:space="preserve"> та </w:t>
      </w:r>
      <w:r w:rsidRPr="00B871B2">
        <w:rPr>
          <w:i/>
          <w:color w:val="000000" w:themeColor="text1"/>
        </w:rPr>
        <w:t>підпункті (b) пункту 11 рекомендації МОП № 198</w:t>
      </w:r>
      <w:r w:rsidRPr="00B871B2">
        <w:rPr>
          <w:color w:val="000000" w:themeColor="text1"/>
        </w:rPr>
        <w:t xml:space="preserve">, є важливим також для досягнення цілей законопроєкту. </w:t>
      </w:r>
    </w:p>
    <w:p w14:paraId="6DA689C4" w14:textId="77777777" w:rsidR="003846F0" w:rsidRPr="00B871B2" w:rsidRDefault="003846F0" w:rsidP="003846F0">
      <w:pPr>
        <w:ind w:firstLine="567"/>
        <w:jc w:val="both"/>
        <w:rPr>
          <w:noProof/>
        </w:rPr>
      </w:pPr>
      <w:r w:rsidRPr="00B871B2">
        <w:rPr>
          <w:color w:val="000000" w:themeColor="text1"/>
        </w:rPr>
        <w:t xml:space="preserve"> Частиною другою статті 21</w:t>
      </w:r>
      <w:r w:rsidRPr="00B871B2">
        <w:rPr>
          <w:color w:val="000000" w:themeColor="text1"/>
          <w:vertAlign w:val="superscript"/>
        </w:rPr>
        <w:t>1</w:t>
      </w:r>
      <w:r w:rsidRPr="00B871B2">
        <w:rPr>
          <w:color w:val="000000" w:themeColor="text1"/>
        </w:rPr>
        <w:t xml:space="preserve">, якою у законопроєкті пропонується доповнити </w:t>
      </w:r>
      <w:r w:rsidRPr="00B871B2">
        <w:rPr>
          <w:noProof/>
        </w:rPr>
        <w:t xml:space="preserve">Кодекс законів про працю України, передбачено, що «працівник має право укладати трудові договори з одним або одночасно з декількома роботодавцями, якщо інше не передбачене законодавством або </w:t>
      </w:r>
      <w:r w:rsidRPr="00B871B2">
        <w:rPr>
          <w:i/>
          <w:noProof/>
        </w:rPr>
        <w:t>трудовим договором</w:t>
      </w:r>
      <w:r w:rsidRPr="00B871B2">
        <w:rPr>
          <w:noProof/>
        </w:rPr>
        <w:t xml:space="preserve">». Втім, такий підхід не зовсім узгоджується з положеннями </w:t>
      </w:r>
      <w:r w:rsidRPr="00B871B2">
        <w:rPr>
          <w:i/>
          <w:noProof/>
        </w:rPr>
        <w:t xml:space="preserve">статті 9 </w:t>
      </w:r>
      <w:r w:rsidRPr="00B871B2">
        <w:rPr>
          <w:i/>
          <w:color w:val="000000" w:themeColor="text1"/>
        </w:rPr>
        <w:t>Директиви 2019/1152</w:t>
      </w:r>
      <w:r w:rsidRPr="00B871B2">
        <w:rPr>
          <w:color w:val="000000" w:themeColor="text1"/>
        </w:rPr>
        <w:t>, якою передбачено, що д</w:t>
      </w:r>
      <w:r w:rsidRPr="00B871B2">
        <w:rPr>
          <w:noProof/>
        </w:rPr>
        <w:t xml:space="preserve">ержави-члени забезпечують, щоб роботодавець ані забороняв працівникові вступати у трудові відносини з іншими роботодавцями поза рамками робочого графіка, встановленого цим роботодавцем, ані несприятливо ставився до працівника через це. При цьому, держави-члени можуть установити умови застосування роботодавцями на об’єктивних підставах деяких обмежень щодо несумісності, наприклад, для захисту здоров’я і безпеки </w:t>
      </w:r>
      <w:r w:rsidRPr="00B871B2">
        <w:rPr>
          <w:noProof/>
        </w:rPr>
        <w:lastRenderedPageBreak/>
        <w:t xml:space="preserve">працівників, забезпечення конфіденційності діяльності, сумлінності державної служби або уникнення конфліктів інтересів. </w:t>
      </w:r>
    </w:p>
    <w:p w14:paraId="29002070" w14:textId="77777777" w:rsidR="003846F0" w:rsidRPr="00B871B2" w:rsidRDefault="003846F0" w:rsidP="003846F0">
      <w:pPr>
        <w:ind w:firstLine="567"/>
        <w:jc w:val="both"/>
        <w:rPr>
          <w:noProof/>
        </w:rPr>
      </w:pPr>
      <w:r w:rsidRPr="00B871B2">
        <w:rPr>
          <w:noProof/>
        </w:rPr>
        <w:t xml:space="preserve">Отже, </w:t>
      </w:r>
      <w:r w:rsidRPr="00B871B2">
        <w:rPr>
          <w:noProof/>
          <w:u w:val="single"/>
        </w:rPr>
        <w:t xml:space="preserve">для кращого узгодження вищезначеного положення законопроєкту зі </w:t>
      </w:r>
      <w:r w:rsidRPr="00B871B2">
        <w:rPr>
          <w:i/>
          <w:noProof/>
          <w:u w:val="single"/>
        </w:rPr>
        <w:t>статтею 9 Директиви 2019/1152</w:t>
      </w:r>
      <w:r w:rsidRPr="00B871B2">
        <w:rPr>
          <w:noProof/>
          <w:u w:val="single"/>
        </w:rPr>
        <w:t xml:space="preserve"> необхідно передбачити, що роботодавець не може обмежувати право працівників укладати трудові договори з іншими роботодавцями, якщо це не передбачено у законі, встановивши при цьому певні обмеження щодо несумісності на належним чином обґрунтованих і об’єктивних підставах</w:t>
      </w:r>
      <w:r w:rsidRPr="00B871B2">
        <w:rPr>
          <w:noProof/>
        </w:rPr>
        <w:t xml:space="preserve">, як це визначено у </w:t>
      </w:r>
      <w:r w:rsidRPr="00B871B2">
        <w:rPr>
          <w:i/>
          <w:noProof/>
        </w:rPr>
        <w:t>Директиві 2019/1152</w:t>
      </w:r>
      <w:r w:rsidRPr="00B871B2">
        <w:rPr>
          <w:noProof/>
        </w:rPr>
        <w:t xml:space="preserve">.   </w:t>
      </w:r>
    </w:p>
    <w:p w14:paraId="04E92276" w14:textId="77777777" w:rsidR="003846F0" w:rsidRPr="00B871B2" w:rsidRDefault="003846F0" w:rsidP="003846F0">
      <w:pPr>
        <w:ind w:firstLine="567"/>
        <w:jc w:val="both"/>
      </w:pPr>
      <w:r w:rsidRPr="00B871B2">
        <w:rPr>
          <w:noProof/>
        </w:rPr>
        <w:t xml:space="preserve">Варто також звернути увагу на те, що </w:t>
      </w:r>
      <w:r w:rsidRPr="00B871B2">
        <w:rPr>
          <w:noProof/>
          <w:u w:val="single"/>
        </w:rPr>
        <w:t xml:space="preserve">проєкт Закону не містить положень щодо обов’язку роботодавця інформувати працівників про основні аспекти трудових відносин </w:t>
      </w:r>
      <w:r w:rsidRPr="00B871B2">
        <w:rPr>
          <w:noProof/>
          <w:color w:val="000000" w:themeColor="text1"/>
          <w:u w:val="single"/>
        </w:rPr>
        <w:t>або про умови, що застосовуються до контракту чи трудового договору, а також про строки та засоби надання такої інформації</w:t>
      </w:r>
      <w:r w:rsidRPr="00B871B2">
        <w:rPr>
          <w:noProof/>
          <w:color w:val="000000" w:themeColor="text1"/>
        </w:rPr>
        <w:t>. Ним лише пропонується у частині третій нової статті 21</w:t>
      </w:r>
      <w:r w:rsidRPr="00B871B2">
        <w:rPr>
          <w:noProof/>
          <w:color w:val="000000" w:themeColor="text1"/>
          <w:vertAlign w:val="superscript"/>
        </w:rPr>
        <w:t>1</w:t>
      </w:r>
      <w:r w:rsidRPr="00B871B2">
        <w:rPr>
          <w:noProof/>
          <w:color w:val="000000" w:themeColor="text1"/>
        </w:rPr>
        <w:t xml:space="preserve">, якою передбачається доповнити Кодекс законів про працю України, заначити, що «особливою формою трудового договору є контракт, в якому строк його дії, права, обов’язки і відповідальність сторін (у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w:t>
      </w:r>
      <w:r w:rsidRPr="00B871B2">
        <w:rPr>
          <w:color w:val="000000" w:themeColor="text1"/>
          <w:u w:val="single"/>
        </w:rPr>
        <w:t xml:space="preserve">Такий підхід не узгоджується з вимогами </w:t>
      </w:r>
      <w:r w:rsidRPr="00B871B2">
        <w:rPr>
          <w:i/>
          <w:noProof/>
          <w:color w:val="000000" w:themeColor="text1"/>
          <w:u w:val="single"/>
        </w:rPr>
        <w:t>статей</w:t>
      </w:r>
      <w:r w:rsidRPr="00B871B2">
        <w:rPr>
          <w:color w:val="000000" w:themeColor="text1"/>
          <w:u w:val="single"/>
        </w:rPr>
        <w:t xml:space="preserve"> </w:t>
      </w:r>
      <w:r w:rsidRPr="00B871B2">
        <w:rPr>
          <w:i/>
          <w:noProof/>
          <w:color w:val="000000" w:themeColor="text1"/>
          <w:u w:val="single"/>
        </w:rPr>
        <w:t>3 – 7</w:t>
      </w:r>
      <w:r w:rsidRPr="00B871B2">
        <w:rPr>
          <w:color w:val="000000" w:themeColor="text1"/>
          <w:u w:val="single"/>
        </w:rPr>
        <w:t xml:space="preserve">  </w:t>
      </w:r>
      <w:r w:rsidRPr="00B871B2">
        <w:rPr>
          <w:i/>
          <w:noProof/>
          <w:color w:val="000000" w:themeColor="text1"/>
          <w:u w:val="single"/>
        </w:rPr>
        <w:t>Директиви 2019/1152</w:t>
      </w:r>
      <w:r w:rsidRPr="00B871B2">
        <w:rPr>
          <w:color w:val="000000" w:themeColor="text1"/>
        </w:rPr>
        <w:t>, тому проєкт Закону потребує доопрацювання з метою доповнення його відповідними положеннями, передбаченими у згаданій директиві.</w:t>
      </w:r>
      <w:r w:rsidRPr="00B871B2">
        <w:rPr>
          <w:color w:val="FF0000"/>
        </w:rPr>
        <w:t xml:space="preserve"> </w:t>
      </w:r>
      <w:r w:rsidRPr="00B871B2">
        <w:rPr>
          <w:color w:val="000000" w:themeColor="text1"/>
        </w:rPr>
        <w:t xml:space="preserve">Так, відповідно до </w:t>
      </w:r>
      <w:r w:rsidRPr="00B871B2">
        <w:rPr>
          <w:i/>
          <w:color w:val="000000" w:themeColor="text1"/>
        </w:rPr>
        <w:t xml:space="preserve">статті 4 </w:t>
      </w:r>
      <w:r w:rsidRPr="00B871B2">
        <w:rPr>
          <w:i/>
          <w:noProof/>
          <w:color w:val="000000" w:themeColor="text1"/>
        </w:rPr>
        <w:t xml:space="preserve">Директиви 2019/1152 </w:t>
      </w:r>
      <w:r w:rsidRPr="00B871B2">
        <w:rPr>
          <w:color w:val="000000" w:themeColor="text1"/>
        </w:rPr>
        <w:t xml:space="preserve">держави-члени забезпечують, щоб роботодавці були зобов’язані інформувати працівників про основні аспекти трудових відносин. При цьому визначається мінімальний обов’язковий перелік відомостей. Також у  </w:t>
      </w:r>
      <w:r w:rsidRPr="00B871B2">
        <w:rPr>
          <w:i/>
          <w:noProof/>
          <w:color w:val="000000" w:themeColor="text1"/>
        </w:rPr>
        <w:t xml:space="preserve">Директиві 2019/1152 </w:t>
      </w:r>
      <w:r w:rsidRPr="00B871B2">
        <w:rPr>
          <w:color w:val="000000" w:themeColor="text1"/>
        </w:rPr>
        <w:t xml:space="preserve">визначаються строки та спосіб надання такої інформації. Згідно зі </w:t>
      </w:r>
      <w:r w:rsidRPr="00B871B2">
        <w:rPr>
          <w:i/>
          <w:color w:val="000000" w:themeColor="text1"/>
        </w:rPr>
        <w:t>статтею 3</w:t>
      </w:r>
      <w:r w:rsidRPr="00B871B2">
        <w:rPr>
          <w:color w:val="000000" w:themeColor="text1"/>
        </w:rPr>
        <w:t xml:space="preserve"> </w:t>
      </w:r>
      <w:r w:rsidRPr="00B871B2">
        <w:rPr>
          <w:i/>
          <w:noProof/>
          <w:color w:val="000000" w:themeColor="text1"/>
        </w:rPr>
        <w:t>Директиви 2019</w:t>
      </w:r>
      <w:r w:rsidRPr="00B871B2">
        <w:rPr>
          <w:i/>
          <w:noProof/>
        </w:rPr>
        <w:t xml:space="preserve">/1152 </w:t>
      </w:r>
      <w:r w:rsidRPr="00B871B2">
        <w:rPr>
          <w:noProof/>
        </w:rPr>
        <w:t>р</w:t>
      </w:r>
      <w:r w:rsidRPr="00B871B2">
        <w:t xml:space="preserve">оботодавець надає кожному працівникові необхідну інформацію у письмовій формі на папері або, за умови, що інформація є доступною для працівника, що вона може бути збережена і роздрукована і що роботодавець зберігає доказ її передачі або отримання, </w:t>
      </w:r>
      <w:r w:rsidRPr="00B871B2">
        <w:rPr>
          <w:i/>
          <w:noProof/>
          <w:color w:val="000000" w:themeColor="text1"/>
        </w:rPr>
        <w:t xml:space="preserve">– </w:t>
      </w:r>
      <w:r w:rsidRPr="00B871B2">
        <w:t xml:space="preserve">у електронній формі. Строки надання інформації передбачені у </w:t>
      </w:r>
      <w:r w:rsidRPr="00B871B2">
        <w:rPr>
          <w:i/>
        </w:rPr>
        <w:t>частині першій</w:t>
      </w:r>
      <w:r w:rsidRPr="00B871B2">
        <w:t xml:space="preserve"> </w:t>
      </w:r>
      <w:r w:rsidRPr="00B871B2">
        <w:rPr>
          <w:i/>
        </w:rPr>
        <w:t>статті 5</w:t>
      </w:r>
      <w:r w:rsidRPr="00B871B2">
        <w:t xml:space="preserve"> </w:t>
      </w:r>
      <w:r w:rsidRPr="00B871B2">
        <w:rPr>
          <w:i/>
          <w:noProof/>
          <w:color w:val="000000" w:themeColor="text1"/>
        </w:rPr>
        <w:t>Директиви 2019</w:t>
      </w:r>
      <w:r w:rsidRPr="00B871B2">
        <w:rPr>
          <w:i/>
          <w:noProof/>
        </w:rPr>
        <w:t xml:space="preserve">/1152, </w:t>
      </w:r>
      <w:r w:rsidRPr="00B871B2">
        <w:rPr>
          <w:noProof/>
        </w:rPr>
        <w:t>а у випадку</w:t>
      </w:r>
      <w:r w:rsidRPr="00B871B2">
        <w:rPr>
          <w:i/>
          <w:noProof/>
        </w:rPr>
        <w:t xml:space="preserve"> </w:t>
      </w:r>
      <w:r w:rsidRPr="00B871B2">
        <w:t xml:space="preserve">будь-яких змін в аспектах трудових відносин – у </w:t>
      </w:r>
      <w:r w:rsidRPr="00B871B2">
        <w:rPr>
          <w:i/>
          <w:noProof/>
        </w:rPr>
        <w:t xml:space="preserve">частині першій </w:t>
      </w:r>
      <w:r w:rsidRPr="00B871B2">
        <w:rPr>
          <w:i/>
        </w:rPr>
        <w:t>статті 6</w:t>
      </w:r>
      <w:r w:rsidRPr="00B871B2">
        <w:t xml:space="preserve"> </w:t>
      </w:r>
      <w:r w:rsidRPr="00B871B2">
        <w:rPr>
          <w:i/>
          <w:noProof/>
          <w:color w:val="000000" w:themeColor="text1"/>
        </w:rPr>
        <w:t>Директиви 2019</w:t>
      </w:r>
      <w:r w:rsidRPr="00B871B2">
        <w:rPr>
          <w:i/>
          <w:noProof/>
        </w:rPr>
        <w:t>/1152</w:t>
      </w:r>
      <w:r w:rsidRPr="00B871B2">
        <w:t xml:space="preserve">. </w:t>
      </w:r>
    </w:p>
    <w:p w14:paraId="7EDBBE10" w14:textId="77777777" w:rsidR="003846F0" w:rsidRPr="00B871B2" w:rsidRDefault="003846F0" w:rsidP="003846F0">
      <w:pPr>
        <w:ind w:firstLine="567"/>
        <w:jc w:val="both"/>
      </w:pPr>
      <w:r w:rsidRPr="00B871B2">
        <w:t xml:space="preserve">Також у деяких випадках необхідним є надання роботодавцем інформації працівникам стосовно загроз для безпеки і здоров’я, а також заходів щодо першої допомоги, боротьби з пожежами та евакуації працівників, включаючи дані працівників, призначених для виконання цих заходів, як це передбачено у </w:t>
      </w:r>
      <w:r w:rsidRPr="00B871B2">
        <w:rPr>
          <w:i/>
        </w:rPr>
        <w:t xml:space="preserve">статтях 8 </w:t>
      </w:r>
      <w:r w:rsidRPr="00B871B2">
        <w:t>і</w:t>
      </w:r>
      <w:r w:rsidRPr="00B871B2">
        <w:rPr>
          <w:i/>
        </w:rPr>
        <w:t xml:space="preserve"> 10 </w:t>
      </w:r>
      <w:r w:rsidRPr="00B871B2">
        <w:rPr>
          <w:i/>
          <w:color w:val="000000"/>
        </w:rPr>
        <w:t>Директиви Ради 89/391/ЄЕС</w:t>
      </w:r>
      <w:r w:rsidRPr="00B871B2">
        <w:rPr>
          <w:color w:val="000000"/>
        </w:rPr>
        <w:t>.</w:t>
      </w:r>
      <w:r w:rsidRPr="00B871B2">
        <w:t xml:space="preserve">     </w:t>
      </w:r>
    </w:p>
    <w:p w14:paraId="4F176AAA" w14:textId="77777777" w:rsidR="003846F0" w:rsidRPr="00B871B2" w:rsidRDefault="003846F0" w:rsidP="003846F0">
      <w:pPr>
        <w:ind w:firstLine="567"/>
        <w:jc w:val="both"/>
        <w:rPr>
          <w:color w:val="000000" w:themeColor="text1"/>
        </w:rPr>
      </w:pPr>
      <w:r w:rsidRPr="00B871B2">
        <w:t xml:space="preserve">Крім того, </w:t>
      </w:r>
      <w:r w:rsidRPr="00B871B2">
        <w:rPr>
          <w:u w:val="single"/>
        </w:rPr>
        <w:t xml:space="preserve">проєкт Закону не лише </w:t>
      </w:r>
      <w:r w:rsidRPr="00B871B2">
        <w:rPr>
          <w:color w:val="000000" w:themeColor="text1"/>
          <w:u w:val="single"/>
        </w:rPr>
        <w:t>не встановлює правову презумпцію існування трудових відносин, не визначає конкретний порядок встановлення факту існування трудових відносин, але й не передбачає існування оперативних, недорогих, справедливих і дієвих процедур та механізмів урегулювання спорів щодо існування трудових відносин</w:t>
      </w:r>
      <w:r w:rsidRPr="00B871B2">
        <w:rPr>
          <w:color w:val="000000" w:themeColor="text1"/>
        </w:rPr>
        <w:t xml:space="preserve">. Тоді як відповідно до </w:t>
      </w:r>
      <w:r w:rsidRPr="00B871B2">
        <w:rPr>
          <w:i/>
          <w:color w:val="000000" w:themeColor="text1"/>
        </w:rPr>
        <w:t>пункту 4</w:t>
      </w:r>
      <w:r w:rsidRPr="00B871B2">
        <w:rPr>
          <w:color w:val="000000" w:themeColor="text1"/>
        </w:rPr>
        <w:t xml:space="preserve"> </w:t>
      </w:r>
      <w:r w:rsidRPr="00B871B2">
        <w:rPr>
          <w:i/>
          <w:color w:val="000000" w:themeColor="text1"/>
        </w:rPr>
        <w:t xml:space="preserve">рекомендації МОП № 198 </w:t>
      </w:r>
      <w:r w:rsidRPr="00B871B2">
        <w:rPr>
          <w:color w:val="000000" w:themeColor="text1"/>
        </w:rPr>
        <w:t xml:space="preserve">національна політика держав-членів МОП повинна, як мінімум, передбачати заходи, спрямовані, серед іншого, на: </w:t>
      </w:r>
    </w:p>
    <w:p w14:paraId="5063E987" w14:textId="77777777" w:rsidR="003846F0" w:rsidRPr="00B871B2" w:rsidRDefault="003846F0" w:rsidP="003846F0">
      <w:pPr>
        <w:pStyle w:val="af0"/>
        <w:numPr>
          <w:ilvl w:val="0"/>
          <w:numId w:val="9"/>
        </w:numPr>
        <w:tabs>
          <w:tab w:val="left" w:pos="851"/>
        </w:tabs>
        <w:ind w:left="567" w:hanging="283"/>
        <w:jc w:val="both"/>
        <w:rPr>
          <w:color w:val="000000" w:themeColor="text1"/>
        </w:rPr>
      </w:pPr>
      <w:r w:rsidRPr="00B871B2">
        <w:rPr>
          <w:color w:val="000000" w:themeColor="text1"/>
        </w:rPr>
        <w:lastRenderedPageBreak/>
        <w:t xml:space="preserve">надання настанов зацікавленим сторонам, зокрема роботодавцям і працівникам, щодо ефективного встановлення факту існування трудових відносин, а також стосовно розрізнення між найманими і самозайнятими працівниками; </w:t>
      </w:r>
    </w:p>
    <w:p w14:paraId="2402BDDB" w14:textId="77777777" w:rsidR="003846F0" w:rsidRPr="00B871B2" w:rsidRDefault="003846F0" w:rsidP="003846F0">
      <w:pPr>
        <w:pStyle w:val="af0"/>
        <w:numPr>
          <w:ilvl w:val="0"/>
          <w:numId w:val="9"/>
        </w:numPr>
        <w:tabs>
          <w:tab w:val="left" w:pos="851"/>
        </w:tabs>
        <w:ind w:left="567" w:hanging="283"/>
        <w:jc w:val="both"/>
        <w:rPr>
          <w:color w:val="000000" w:themeColor="text1"/>
        </w:rPr>
      </w:pPr>
      <w:r w:rsidRPr="00B871B2">
        <w:rPr>
          <w:color w:val="000000" w:themeColor="text1"/>
        </w:rPr>
        <w:t xml:space="preserve">боротьбу з замаскованими трудовими відносинами; </w:t>
      </w:r>
    </w:p>
    <w:p w14:paraId="183A3DEC" w14:textId="77777777" w:rsidR="003846F0" w:rsidRPr="00B871B2" w:rsidRDefault="003846F0" w:rsidP="003846F0">
      <w:pPr>
        <w:pStyle w:val="af0"/>
        <w:numPr>
          <w:ilvl w:val="0"/>
          <w:numId w:val="9"/>
        </w:numPr>
        <w:tabs>
          <w:tab w:val="left" w:pos="851"/>
        </w:tabs>
        <w:ind w:left="567" w:hanging="283"/>
        <w:jc w:val="both"/>
        <w:rPr>
          <w:color w:val="000000" w:themeColor="text1"/>
        </w:rPr>
      </w:pPr>
      <w:r w:rsidRPr="00B871B2">
        <w:rPr>
          <w:color w:val="000000" w:themeColor="text1"/>
        </w:rPr>
        <w:t xml:space="preserve">ефективне забезпечення доступу зацікавлених сторін, зокрема роботодавців і працівників, до належних, швидких, недорогих, справедливих і дієвих процедур та механізмів урегулювання спорів, що стосуються існування та умов трудових відносин. </w:t>
      </w:r>
    </w:p>
    <w:p w14:paraId="0D664587" w14:textId="77777777" w:rsidR="003846F0" w:rsidRPr="00B871B2" w:rsidRDefault="003846F0" w:rsidP="003846F0">
      <w:pPr>
        <w:ind w:firstLine="567"/>
        <w:jc w:val="both"/>
        <w:rPr>
          <w:color w:val="000000" w:themeColor="text1"/>
        </w:rPr>
      </w:pPr>
      <w:r w:rsidRPr="00B871B2">
        <w:rPr>
          <w:color w:val="000000" w:themeColor="text1"/>
        </w:rPr>
        <w:t xml:space="preserve">Також </w:t>
      </w:r>
      <w:r w:rsidRPr="00B871B2">
        <w:rPr>
          <w:color w:val="000000" w:themeColor="text1"/>
          <w:u w:val="single"/>
        </w:rPr>
        <w:t xml:space="preserve">у законопроєкті не передбачено належних механізмів відшкодування та завчасного врегулювання для захисту працівників від несприятливого ставлення чи несприятливих наслідків, а отже, не враховано положення </w:t>
      </w:r>
      <w:r w:rsidRPr="00B871B2">
        <w:rPr>
          <w:i/>
          <w:color w:val="000000" w:themeColor="text1"/>
          <w:u w:val="single"/>
        </w:rPr>
        <w:t>статей 15 – 17 Директиви 2019/1152</w:t>
      </w:r>
      <w:r w:rsidRPr="00B871B2">
        <w:rPr>
          <w:color w:val="000000" w:themeColor="text1"/>
          <w:u w:val="single"/>
        </w:rPr>
        <w:t>, якими передбачене існування таких механізмів</w:t>
      </w:r>
      <w:r w:rsidRPr="00B871B2">
        <w:rPr>
          <w:color w:val="000000" w:themeColor="text1"/>
        </w:rPr>
        <w:t xml:space="preserve">.   </w:t>
      </w:r>
    </w:p>
    <w:p w14:paraId="278607C3" w14:textId="77777777" w:rsidR="003846F0" w:rsidRPr="00B871B2" w:rsidRDefault="003846F0" w:rsidP="003846F0">
      <w:pPr>
        <w:ind w:firstLine="567"/>
        <w:jc w:val="both"/>
      </w:pPr>
      <w:r w:rsidRPr="00B871B2">
        <w:rPr>
          <w:color w:val="000000" w:themeColor="text1"/>
        </w:rPr>
        <w:t xml:space="preserve">У проєкті Закону також не знайшли належного врахування положення </w:t>
      </w:r>
      <w:r w:rsidRPr="00B871B2">
        <w:rPr>
          <w:i/>
          <w:color w:val="000000" w:themeColor="text1"/>
        </w:rPr>
        <w:t>Директиви Ради 2001/23/ЄС</w:t>
      </w:r>
      <w:r w:rsidRPr="00B871B2">
        <w:rPr>
          <w:color w:val="000000" w:themeColor="text1"/>
        </w:rPr>
        <w:t>,</w:t>
      </w:r>
      <w:r w:rsidRPr="00B871B2">
        <w:rPr>
          <w:i/>
          <w:color w:val="000000" w:themeColor="text1"/>
        </w:rPr>
        <w:t xml:space="preserve"> </w:t>
      </w:r>
      <w:r w:rsidRPr="00B871B2">
        <w:rPr>
          <w:color w:val="000000" w:themeColor="text1"/>
        </w:rPr>
        <w:t xml:space="preserve">зокрема, </w:t>
      </w:r>
      <w:r w:rsidRPr="00B871B2">
        <w:rPr>
          <w:i/>
          <w:color w:val="000000" w:themeColor="text1"/>
        </w:rPr>
        <w:t>статті 1 – 4, 7</w:t>
      </w:r>
      <w:r w:rsidRPr="00B871B2">
        <w:rPr>
          <w:color w:val="000000" w:themeColor="text1"/>
        </w:rPr>
        <w:t xml:space="preserve"> цієї директиви. Так, наприклад, </w:t>
      </w:r>
      <w:proofErr w:type="spellStart"/>
      <w:r w:rsidRPr="00B871B2">
        <w:rPr>
          <w:color w:val="000000" w:themeColor="text1"/>
        </w:rPr>
        <w:t>законопроєктом</w:t>
      </w:r>
      <w:proofErr w:type="spellEnd"/>
      <w:r w:rsidRPr="00B871B2">
        <w:rPr>
          <w:color w:val="000000" w:themeColor="text1"/>
        </w:rPr>
        <w:t xml:space="preserve"> пропонується доповнити </w:t>
      </w:r>
      <w:r w:rsidRPr="00B871B2">
        <w:rPr>
          <w:noProof/>
          <w:color w:val="000000" w:themeColor="text1"/>
        </w:rPr>
        <w:t>Кодекс законів про працю України новою статтею 36</w:t>
      </w:r>
      <w:r w:rsidRPr="00B871B2">
        <w:rPr>
          <w:noProof/>
          <w:color w:val="000000" w:themeColor="text1"/>
          <w:vertAlign w:val="superscript"/>
        </w:rPr>
        <w:t>1</w:t>
      </w:r>
      <w:r w:rsidRPr="00B871B2">
        <w:rPr>
          <w:noProof/>
          <w:color w:val="000000" w:themeColor="text1"/>
        </w:rPr>
        <w:t xml:space="preserve">, частина третя якої </w:t>
      </w:r>
      <w:r w:rsidRPr="00B871B2">
        <w:rPr>
          <w:color w:val="000000" w:themeColor="text1"/>
        </w:rPr>
        <w:t xml:space="preserve">передбачає, що «у разі правонаступництва трудові відносини працівників продовжуються з правонаступником». Однак, </w:t>
      </w:r>
      <w:r w:rsidRPr="00B871B2">
        <w:rPr>
          <w:color w:val="000000" w:themeColor="text1"/>
          <w:u w:val="single"/>
        </w:rPr>
        <w:t xml:space="preserve">у законопроєкті не закріплено принцип, що права та обов’язки, не лише просте існування трудових відносин, переходять до правонаступника, як це випливає зі </w:t>
      </w:r>
      <w:r w:rsidRPr="00B871B2">
        <w:rPr>
          <w:i/>
          <w:color w:val="000000" w:themeColor="text1"/>
          <w:u w:val="single"/>
        </w:rPr>
        <w:t>статті 3</w:t>
      </w:r>
      <w:r w:rsidRPr="00B871B2">
        <w:rPr>
          <w:color w:val="000000" w:themeColor="text1"/>
          <w:u w:val="single"/>
        </w:rPr>
        <w:t xml:space="preserve"> </w:t>
      </w:r>
      <w:r w:rsidRPr="00B871B2">
        <w:rPr>
          <w:i/>
          <w:color w:val="000000" w:themeColor="text1"/>
          <w:u w:val="single"/>
        </w:rPr>
        <w:t>Директиви Ради 2001/23/ЄС</w:t>
      </w:r>
      <w:r w:rsidRPr="00B871B2">
        <w:rPr>
          <w:color w:val="000000" w:themeColor="text1"/>
        </w:rPr>
        <w:t xml:space="preserve">, в частині першій якої зазначено, що права і обов’язки </w:t>
      </w:r>
      <w:proofErr w:type="spellStart"/>
      <w:r w:rsidRPr="00B871B2">
        <w:rPr>
          <w:color w:val="000000" w:themeColor="text1"/>
        </w:rPr>
        <w:t>цедента</w:t>
      </w:r>
      <w:proofErr w:type="spellEnd"/>
      <w:r w:rsidRPr="00B871B2">
        <w:rPr>
          <w:color w:val="000000" w:themeColor="text1"/>
        </w:rPr>
        <w:t xml:space="preserve"> (первинного роботодавця), що є результатом трудового договору або відносин зайнятості, що існують у день передачі, в силу такої передачі, передаються </w:t>
      </w:r>
      <w:proofErr w:type="spellStart"/>
      <w:r w:rsidRPr="00B871B2">
        <w:rPr>
          <w:color w:val="000000" w:themeColor="text1"/>
        </w:rPr>
        <w:t>цессіонарію</w:t>
      </w:r>
      <w:proofErr w:type="spellEnd"/>
      <w:r w:rsidRPr="00B871B2">
        <w:rPr>
          <w:color w:val="000000" w:themeColor="text1"/>
        </w:rPr>
        <w:t xml:space="preserve"> (правонаступнику у трудових відносинах і новому роботодавцеві). </w:t>
      </w:r>
      <w:r w:rsidRPr="00B871B2">
        <w:rPr>
          <w:color w:val="000000" w:themeColor="text1"/>
          <w:u w:val="single"/>
        </w:rPr>
        <w:t>Цей принцип є важливим для гарантування того, що передача сама собою не використовується як спосіб погіршити становище працівника</w:t>
      </w:r>
      <w:r w:rsidRPr="00B871B2">
        <w:rPr>
          <w:color w:val="000000" w:themeColor="text1"/>
        </w:rPr>
        <w:t xml:space="preserve">. </w:t>
      </w:r>
      <w:r w:rsidRPr="00B871B2">
        <w:t xml:space="preserve">В частині понятійного апарату частину першу і другу статті </w:t>
      </w:r>
      <w:r w:rsidRPr="00B871B2">
        <w:rPr>
          <w:noProof/>
          <w:color w:val="000000" w:themeColor="text1"/>
        </w:rPr>
        <w:t>36</w:t>
      </w:r>
      <w:r w:rsidRPr="00B871B2">
        <w:rPr>
          <w:noProof/>
          <w:color w:val="000000" w:themeColor="text1"/>
          <w:vertAlign w:val="superscript"/>
        </w:rPr>
        <w:t>1</w:t>
      </w:r>
      <w:r w:rsidRPr="00B871B2">
        <w:t xml:space="preserve">, якою у </w:t>
      </w:r>
      <w:r w:rsidRPr="00B871B2">
        <w:rPr>
          <w:color w:val="000000" w:themeColor="text1"/>
        </w:rPr>
        <w:t xml:space="preserve">законопроєкті пропонується доповнити </w:t>
      </w:r>
      <w:r w:rsidRPr="00B871B2">
        <w:rPr>
          <w:noProof/>
          <w:color w:val="000000" w:themeColor="text1"/>
        </w:rPr>
        <w:t>Кодекс законів про працю України,</w:t>
      </w:r>
      <w:r w:rsidRPr="00B871B2">
        <w:t xml:space="preserve"> слід краще узгодити з положеннями </w:t>
      </w:r>
      <w:r w:rsidRPr="00B871B2">
        <w:rPr>
          <w:i/>
        </w:rPr>
        <w:t>статей 1</w:t>
      </w:r>
      <w:r w:rsidRPr="00B871B2">
        <w:t xml:space="preserve"> і </w:t>
      </w:r>
      <w:r w:rsidRPr="00B871B2">
        <w:rPr>
          <w:i/>
        </w:rPr>
        <w:t>2</w:t>
      </w:r>
      <w:r w:rsidRPr="00B871B2">
        <w:t xml:space="preserve"> </w:t>
      </w:r>
      <w:r w:rsidRPr="00B871B2">
        <w:rPr>
          <w:i/>
          <w:color w:val="000000" w:themeColor="text1"/>
        </w:rPr>
        <w:t>Директиви Ради 2001/23/ЄС</w:t>
      </w:r>
      <w:r w:rsidRPr="00B871B2">
        <w:t xml:space="preserve">, а у четвертій і п’ятій частинах згаданої статті законопроєкту більш повно врахувати положення </w:t>
      </w:r>
      <w:r w:rsidRPr="00B871B2">
        <w:rPr>
          <w:i/>
        </w:rPr>
        <w:t>статті 7</w:t>
      </w:r>
      <w:r w:rsidRPr="00B871B2">
        <w:t xml:space="preserve"> </w:t>
      </w:r>
      <w:r w:rsidRPr="00B871B2">
        <w:rPr>
          <w:i/>
          <w:color w:val="000000" w:themeColor="text1"/>
        </w:rPr>
        <w:t>Директиви Ради 2001/23/ЄС.</w:t>
      </w:r>
      <w:r w:rsidRPr="00B871B2">
        <w:t xml:space="preserve">  </w:t>
      </w:r>
    </w:p>
    <w:p w14:paraId="5BE494C3" w14:textId="77777777" w:rsidR="003846F0" w:rsidRPr="00B871B2" w:rsidRDefault="003846F0" w:rsidP="003846F0">
      <w:pPr>
        <w:ind w:firstLine="567"/>
        <w:jc w:val="both"/>
        <w:rPr>
          <w:i/>
        </w:rPr>
      </w:pPr>
      <w:r w:rsidRPr="00B871B2">
        <w:t>Також слід зазначити, що Європейський Парламент у своїй резолюції від 11 лютого 2021 року щодо імплементації Угоди про асоціацію між Україною та Європейським Союзом</w:t>
      </w:r>
      <w:r w:rsidRPr="00B871B2">
        <w:rPr>
          <w:rStyle w:val="a8"/>
        </w:rPr>
        <w:footnoteReference w:id="4"/>
      </w:r>
      <w:r w:rsidRPr="00B871B2">
        <w:t xml:space="preserve"> закликав Уряд України «запровадити стимули і санкції для подолання </w:t>
      </w:r>
      <w:proofErr w:type="spellStart"/>
      <w:r w:rsidRPr="00B871B2">
        <w:t>сумнозвісно</w:t>
      </w:r>
      <w:proofErr w:type="spellEnd"/>
      <w:r w:rsidRPr="00B871B2">
        <w:t xml:space="preserve"> масштабної зайнятості у неформальному секторі» (пункт 107). Крім того, Європейський Парламент закликав Раду асоціації «</w:t>
      </w:r>
      <w:r w:rsidRPr="00B871B2">
        <w:rPr>
          <w:iCs/>
        </w:rPr>
        <w:t>надати пріоритетного значення імплементації міжнародних стандартів з питань праці і законодавства ЄС та практики (...), аби забезпечити збалансованість інтересів соціальних партнерів і захисту прав найманих працівників відповідно до положень Угоди про асоціацію (статті 419</w:t>
      </w:r>
      <w:r w:rsidRPr="00B871B2">
        <w:rPr>
          <w:i/>
          <w:color w:val="000000" w:themeColor="text1"/>
        </w:rPr>
        <w:t xml:space="preserve">– </w:t>
      </w:r>
      <w:r w:rsidRPr="00B871B2">
        <w:rPr>
          <w:iCs/>
        </w:rPr>
        <w:t xml:space="preserve">421 і 424) та конвенцій  МОП (81, 87, 98, 117, 122, </w:t>
      </w:r>
      <w:r w:rsidRPr="00B871B2">
        <w:rPr>
          <w:iCs/>
        </w:rPr>
        <w:lastRenderedPageBreak/>
        <w:t>129, 144, 154 і 173</w:t>
      </w:r>
      <w:r w:rsidRPr="00B871B2">
        <w:t xml:space="preserve">)», </w:t>
      </w:r>
      <w:r w:rsidRPr="00B871B2">
        <w:rPr>
          <w:iCs/>
        </w:rPr>
        <w:t>а також нагадує Уряду України що</w:t>
      </w:r>
      <w:r w:rsidRPr="00B871B2">
        <w:t xml:space="preserve"> «його заходи з покращення бізнес-клімату, залучення прямих інвестицій і сприяння економічному розвитку не можуть реалізовуватися за рахунок обмеження прав працівників та погіршення умов праці» (пункт 110).</w:t>
      </w:r>
    </w:p>
    <w:p w14:paraId="6B2BDD45" w14:textId="77777777" w:rsidR="003846F0" w:rsidRPr="00B871B2" w:rsidRDefault="003846F0" w:rsidP="003846F0">
      <w:pPr>
        <w:pStyle w:val="1"/>
        <w:shd w:val="clear" w:color="auto" w:fill="auto"/>
        <w:tabs>
          <w:tab w:val="left" w:pos="851"/>
        </w:tabs>
        <w:spacing w:line="240" w:lineRule="auto"/>
        <w:ind w:right="23" w:firstLine="567"/>
        <w:rPr>
          <w:rFonts w:ascii="Times New Roman" w:hAnsi="Times New Roman"/>
          <w:i/>
          <w:color w:val="000000" w:themeColor="text1"/>
          <w:sz w:val="28"/>
          <w:szCs w:val="28"/>
        </w:rPr>
      </w:pPr>
      <w:r w:rsidRPr="00B871B2">
        <w:rPr>
          <w:rFonts w:ascii="Times New Roman" w:eastAsia="Times New Roman" w:hAnsi="Times New Roman"/>
          <w:color w:val="000000" w:themeColor="text1"/>
          <w:sz w:val="28"/>
          <w:szCs w:val="28"/>
          <w:lang w:eastAsia="ru-RU"/>
        </w:rPr>
        <w:t xml:space="preserve">Враховуючи все вищевикладене, необхідно зазначити, що проєкт Закону </w:t>
      </w:r>
      <w:r w:rsidRPr="00B871B2">
        <w:rPr>
          <w:rFonts w:ascii="Times New Roman" w:hAnsi="Times New Roman"/>
          <w:color w:val="000000" w:themeColor="text1"/>
          <w:sz w:val="28"/>
          <w:szCs w:val="28"/>
        </w:rPr>
        <w:t xml:space="preserve">потребує доопрацювання з метою більш повного врахування та належної імплементації положень </w:t>
      </w:r>
      <w:r w:rsidRPr="00B871B2">
        <w:rPr>
          <w:rFonts w:ascii="Times New Roman" w:hAnsi="Times New Roman"/>
          <w:i/>
          <w:color w:val="000000" w:themeColor="text1"/>
          <w:sz w:val="28"/>
          <w:szCs w:val="28"/>
        </w:rPr>
        <w:t>Директиви 2019/1152</w:t>
      </w:r>
      <w:r w:rsidRPr="00B871B2">
        <w:rPr>
          <w:rFonts w:ascii="Times New Roman" w:hAnsi="Times New Roman"/>
          <w:color w:val="000000" w:themeColor="text1"/>
          <w:sz w:val="28"/>
          <w:szCs w:val="28"/>
        </w:rPr>
        <w:t xml:space="preserve">, </w:t>
      </w:r>
      <w:r w:rsidRPr="00B871B2">
        <w:rPr>
          <w:rFonts w:ascii="Times New Roman" w:hAnsi="Times New Roman"/>
          <w:i/>
          <w:color w:val="000000" w:themeColor="text1"/>
          <w:sz w:val="28"/>
          <w:szCs w:val="28"/>
        </w:rPr>
        <w:t>Директиви Ради 2001/23/ЄС</w:t>
      </w:r>
      <w:r w:rsidRPr="00B871B2">
        <w:rPr>
          <w:rFonts w:ascii="Times New Roman" w:hAnsi="Times New Roman"/>
          <w:color w:val="000000" w:themeColor="text1"/>
          <w:sz w:val="28"/>
          <w:szCs w:val="28"/>
        </w:rPr>
        <w:t xml:space="preserve">, </w:t>
      </w:r>
      <w:r w:rsidRPr="00B871B2">
        <w:rPr>
          <w:rFonts w:ascii="Times New Roman" w:hAnsi="Times New Roman"/>
          <w:i/>
          <w:color w:val="000000" w:themeColor="text1"/>
          <w:sz w:val="28"/>
          <w:szCs w:val="28"/>
        </w:rPr>
        <w:t>Директиви Ради 2002/14/ЄС</w:t>
      </w:r>
      <w:r w:rsidRPr="00B871B2">
        <w:rPr>
          <w:rFonts w:ascii="Times New Roman" w:hAnsi="Times New Roman"/>
          <w:color w:val="000000" w:themeColor="text1"/>
          <w:sz w:val="28"/>
          <w:szCs w:val="28"/>
        </w:rPr>
        <w:t xml:space="preserve">, </w:t>
      </w:r>
      <w:r w:rsidRPr="00B871B2">
        <w:rPr>
          <w:rFonts w:ascii="Times New Roman" w:hAnsi="Times New Roman"/>
          <w:i/>
          <w:color w:val="000000" w:themeColor="text1"/>
          <w:sz w:val="28"/>
          <w:szCs w:val="28"/>
        </w:rPr>
        <w:t>Директиви Ради 89/391/ЄЕС</w:t>
      </w:r>
      <w:r w:rsidRPr="00B871B2">
        <w:rPr>
          <w:rFonts w:ascii="Times New Roman" w:hAnsi="Times New Roman"/>
          <w:color w:val="000000" w:themeColor="text1"/>
          <w:sz w:val="28"/>
          <w:szCs w:val="28"/>
        </w:rPr>
        <w:t xml:space="preserve">, а також </w:t>
      </w:r>
      <w:r w:rsidRPr="00B871B2">
        <w:rPr>
          <w:rFonts w:ascii="Times New Roman" w:hAnsi="Times New Roman"/>
          <w:i/>
          <w:color w:val="000000" w:themeColor="text1"/>
          <w:sz w:val="28"/>
          <w:szCs w:val="28"/>
        </w:rPr>
        <w:t>рекомендації МОП № 198.</w:t>
      </w:r>
    </w:p>
    <w:p w14:paraId="0CD49781" w14:textId="77777777" w:rsidR="003846F0" w:rsidRPr="00B871B2" w:rsidRDefault="003846F0" w:rsidP="003846F0">
      <w:pPr>
        <w:pStyle w:val="1"/>
        <w:shd w:val="clear" w:color="auto" w:fill="auto"/>
        <w:tabs>
          <w:tab w:val="left" w:pos="851"/>
        </w:tabs>
        <w:spacing w:line="240" w:lineRule="auto"/>
        <w:ind w:right="23" w:firstLine="567"/>
        <w:rPr>
          <w:rFonts w:ascii="Times New Roman" w:hAnsi="Times New Roman"/>
          <w:bCs/>
          <w:color w:val="000000" w:themeColor="text1"/>
          <w:sz w:val="28"/>
          <w:szCs w:val="28"/>
        </w:rPr>
      </w:pPr>
    </w:p>
    <w:p w14:paraId="52C4F805" w14:textId="77777777" w:rsidR="003846F0" w:rsidRPr="00B871B2" w:rsidRDefault="003846F0" w:rsidP="003846F0">
      <w:pPr>
        <w:ind w:firstLine="539"/>
        <w:jc w:val="both"/>
        <w:rPr>
          <w:bCs/>
        </w:rPr>
      </w:pPr>
      <w:r w:rsidRPr="00B871B2">
        <w:rPr>
          <w:rFonts w:eastAsia="Verdana"/>
          <w:b/>
          <w:bCs/>
        </w:rPr>
        <w:t>4.</w:t>
      </w:r>
      <w:r w:rsidRPr="00B871B2">
        <w:rPr>
          <w:rFonts w:eastAsia="Verdana"/>
          <w:bCs/>
        </w:rPr>
        <w:t>   </w:t>
      </w:r>
      <w:r w:rsidRPr="00B871B2">
        <w:rPr>
          <w:b/>
        </w:rPr>
        <w:t xml:space="preserve">Висновок Комітету з питань інтеграції України до Європейського Союзу. </w:t>
      </w:r>
    </w:p>
    <w:p w14:paraId="6C0802E5" w14:textId="696BAE95" w:rsidR="00EA507B" w:rsidRPr="0022595E" w:rsidRDefault="003846F0" w:rsidP="003846F0">
      <w:pPr>
        <w:ind w:firstLine="567"/>
        <w:jc w:val="both"/>
        <w:rPr>
          <w:color w:val="FF0000"/>
        </w:rPr>
      </w:pPr>
      <w:r w:rsidRPr="00B871B2">
        <w:rPr>
          <w:color w:val="000000" w:themeColor="text1"/>
        </w:rPr>
        <w:t xml:space="preserve">Проєкт Закону </w:t>
      </w:r>
      <w:r w:rsidRPr="00B871B2">
        <w:rPr>
          <w:b/>
          <w:color w:val="000000" w:themeColor="text1"/>
        </w:rPr>
        <w:t xml:space="preserve">за метою не суперечить </w:t>
      </w:r>
      <w:r w:rsidRPr="00B871B2">
        <w:rPr>
          <w:color w:val="000000" w:themeColor="text1"/>
        </w:rPr>
        <w:t xml:space="preserve">зобов’язанням України відповідно до Угоди про асоціацію. Водночас, задля більш </w:t>
      </w:r>
      <w:r w:rsidRPr="00B871B2">
        <w:rPr>
          <w:b/>
          <w:color w:val="000000" w:themeColor="text1"/>
        </w:rPr>
        <w:t>повного врахування</w:t>
      </w:r>
      <w:r w:rsidRPr="00B871B2">
        <w:rPr>
          <w:color w:val="000000" w:themeColor="text1"/>
        </w:rPr>
        <w:t xml:space="preserve"> положень права Європейського </w:t>
      </w:r>
      <w:r w:rsidRPr="00223B5F">
        <w:rPr>
          <w:color w:val="000000" w:themeColor="text1"/>
        </w:rPr>
        <w:t xml:space="preserve">Союзу та </w:t>
      </w:r>
      <w:r w:rsidRPr="00223B5F">
        <w:t>резолюції Європейського Парламенту від 11 лютого 2021 року щодо імплементації Угоди про асоціацію</w:t>
      </w:r>
      <w:r>
        <w:t xml:space="preserve"> </w:t>
      </w:r>
      <w:r w:rsidRPr="00B871B2">
        <w:rPr>
          <w:b/>
          <w:color w:val="000000" w:themeColor="text1"/>
        </w:rPr>
        <w:t>потребує</w:t>
      </w:r>
      <w:r w:rsidRPr="00B871B2">
        <w:rPr>
          <w:color w:val="000000" w:themeColor="text1"/>
        </w:rPr>
        <w:t xml:space="preserve"> </w:t>
      </w:r>
      <w:r w:rsidRPr="00B871B2">
        <w:rPr>
          <w:b/>
          <w:color w:val="000000" w:themeColor="text1"/>
        </w:rPr>
        <w:t>доопрацювання</w:t>
      </w:r>
      <w:r w:rsidRPr="00B871B2">
        <w:rPr>
          <w:color w:val="000000" w:themeColor="text1"/>
        </w:rPr>
        <w:t xml:space="preserve"> з метою належної імплементації положень Директиви 2019/1152, Директиви Ради 2001/23/ЄС, Директиви 2002/14/ЄС, Директиви Ради 89/391/ЄЕС, а також рекомендації МОП № 198.</w:t>
      </w:r>
      <w:bookmarkStart w:id="7" w:name="_GoBack"/>
      <w:bookmarkEnd w:id="7"/>
    </w:p>
    <w:sectPr w:rsidR="00EA507B" w:rsidRPr="0022595E" w:rsidSect="00AE1F17">
      <w:footerReference w:type="even" r:id="rId8"/>
      <w:footerReference w:type="default" r:id="rId9"/>
      <w:pgSz w:w="11906" w:h="16838"/>
      <w:pgMar w:top="1079" w:right="746" w:bottom="1276" w:left="1260" w:header="708" w:footer="92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36450" w14:textId="77777777" w:rsidR="008349B5" w:rsidRDefault="008349B5" w:rsidP="00B766E4">
      <w:r>
        <w:separator/>
      </w:r>
    </w:p>
  </w:endnote>
  <w:endnote w:type="continuationSeparator" w:id="0">
    <w:p w14:paraId="56E37AB3" w14:textId="77777777" w:rsidR="008349B5" w:rsidRDefault="008349B5" w:rsidP="00B76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B4A83" w14:textId="77777777" w:rsidR="004F7759" w:rsidRDefault="004F7759"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6064D8C" w14:textId="77777777" w:rsidR="004F7759" w:rsidRDefault="004F7759">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06D6B" w14:textId="3845CA86" w:rsidR="004F7759" w:rsidRDefault="004F7759"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846F0">
      <w:rPr>
        <w:rStyle w:val="a5"/>
        <w:noProof/>
      </w:rPr>
      <w:t>7</w:t>
    </w:r>
    <w:r>
      <w:rPr>
        <w:rStyle w:val="a5"/>
      </w:rPr>
      <w:fldChar w:fldCharType="end"/>
    </w:r>
  </w:p>
  <w:p w14:paraId="2BC293C3" w14:textId="77777777" w:rsidR="004F7759" w:rsidRDefault="004F775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844696" w14:textId="77777777" w:rsidR="008349B5" w:rsidRDefault="008349B5" w:rsidP="00B766E4">
      <w:r>
        <w:separator/>
      </w:r>
    </w:p>
  </w:footnote>
  <w:footnote w:type="continuationSeparator" w:id="0">
    <w:p w14:paraId="28AA8947" w14:textId="77777777" w:rsidR="008349B5" w:rsidRDefault="008349B5" w:rsidP="00B766E4">
      <w:r>
        <w:continuationSeparator/>
      </w:r>
    </w:p>
  </w:footnote>
  <w:footnote w:id="1">
    <w:p w14:paraId="63157101" w14:textId="77777777" w:rsidR="003846F0" w:rsidRPr="00166453" w:rsidRDefault="003846F0" w:rsidP="003846F0">
      <w:pPr>
        <w:pStyle w:val="a6"/>
        <w:jc w:val="both"/>
        <w:rPr>
          <w:sz w:val="24"/>
          <w:szCs w:val="24"/>
        </w:rPr>
      </w:pPr>
      <w:r w:rsidRPr="00166453">
        <w:rPr>
          <w:rStyle w:val="a8"/>
          <w:sz w:val="24"/>
          <w:szCs w:val="24"/>
        </w:rPr>
        <w:footnoteRef/>
      </w:r>
      <w:r>
        <w:t xml:space="preserve"> </w:t>
      </w:r>
      <w:r w:rsidRPr="00166453">
        <w:rPr>
          <w:b/>
          <w:i/>
          <w:sz w:val="24"/>
          <w:szCs w:val="24"/>
        </w:rPr>
        <w:t>Довідково:</w:t>
      </w:r>
      <w:r w:rsidRPr="00166453">
        <w:rPr>
          <w:sz w:val="24"/>
          <w:szCs w:val="24"/>
        </w:rPr>
        <w:t xml:space="preserve"> станом на 31.03.2020 р. для України є чинними 63 конвенції МОП, включно з 8 основоположними і 4 пріоритетними конвенціями МОП / Офіційний сайт Міжнародної організації праці. – [Електронний ресурс]. – Режим доступу:  </w:t>
      </w:r>
      <w:hyperlink r:id="rId1" w:history="1">
        <w:r w:rsidRPr="00166453">
          <w:rPr>
            <w:rStyle w:val="ab"/>
            <w:sz w:val="24"/>
            <w:szCs w:val="24"/>
          </w:rPr>
          <w:t>https://www.ilo.org/dyn/normlex/en/f?p=1000:11200:0::NO:11200:P11200_COUNTRY_ID:102867</w:t>
        </w:r>
      </w:hyperlink>
      <w:r w:rsidRPr="00166453">
        <w:rPr>
          <w:sz w:val="24"/>
          <w:szCs w:val="24"/>
        </w:rPr>
        <w:t xml:space="preserve">  </w:t>
      </w:r>
    </w:p>
  </w:footnote>
  <w:footnote w:id="2">
    <w:p w14:paraId="489D1C43" w14:textId="77777777" w:rsidR="003846F0" w:rsidRDefault="003846F0" w:rsidP="003846F0">
      <w:pPr>
        <w:pStyle w:val="a6"/>
        <w:jc w:val="both"/>
      </w:pPr>
      <w:r w:rsidRPr="00166453">
        <w:rPr>
          <w:rStyle w:val="a8"/>
          <w:sz w:val="24"/>
          <w:szCs w:val="24"/>
        </w:rPr>
        <w:footnoteRef/>
      </w:r>
      <w:r w:rsidRPr="00166453">
        <w:rPr>
          <w:sz w:val="24"/>
          <w:szCs w:val="24"/>
        </w:rPr>
        <w:t xml:space="preserve"> </w:t>
      </w:r>
      <w:r w:rsidRPr="00166453">
        <w:rPr>
          <w:sz w:val="24"/>
          <w:szCs w:val="24"/>
        </w:rPr>
        <w:t xml:space="preserve">Хартія була відкрита для підписання державами-членами Ради Європи у </w:t>
      </w:r>
      <w:proofErr w:type="spellStart"/>
      <w:r w:rsidRPr="00166453">
        <w:rPr>
          <w:sz w:val="24"/>
          <w:szCs w:val="24"/>
        </w:rPr>
        <w:t>Турині</w:t>
      </w:r>
      <w:proofErr w:type="spellEnd"/>
      <w:r w:rsidRPr="00166453">
        <w:rPr>
          <w:sz w:val="24"/>
          <w:szCs w:val="24"/>
        </w:rPr>
        <w:t xml:space="preserve">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 w:id="3">
    <w:p w14:paraId="4E521B91" w14:textId="77777777" w:rsidR="003846F0" w:rsidRPr="00D976C3" w:rsidRDefault="003846F0" w:rsidP="003846F0">
      <w:pPr>
        <w:pStyle w:val="a6"/>
        <w:jc w:val="both"/>
        <w:rPr>
          <w:sz w:val="24"/>
          <w:szCs w:val="24"/>
        </w:rPr>
      </w:pPr>
      <w:r w:rsidRPr="00D976C3">
        <w:rPr>
          <w:rStyle w:val="a8"/>
          <w:sz w:val="24"/>
          <w:szCs w:val="24"/>
        </w:rPr>
        <w:footnoteRef/>
      </w:r>
      <w:r w:rsidRPr="00D976C3">
        <w:rPr>
          <w:sz w:val="24"/>
          <w:szCs w:val="24"/>
        </w:rPr>
        <w:t xml:space="preserve"> </w:t>
      </w:r>
      <w:r w:rsidRPr="00D976C3">
        <w:rPr>
          <w:sz w:val="24"/>
          <w:szCs w:val="24"/>
        </w:rPr>
        <w:t xml:space="preserve">Рекомендація МОП № 198 про трудові відносини, 2006 р. / Офіційний сайт Міжнародної організації праці. – [Електронний ресурс]. – Режим доступу: </w:t>
      </w:r>
      <w:hyperlink r:id="rId2" w:history="1">
        <w:r w:rsidRPr="00D976C3">
          <w:rPr>
            <w:rStyle w:val="ab"/>
            <w:sz w:val="24"/>
            <w:szCs w:val="24"/>
          </w:rPr>
          <w:t>https://www.ilo.org/dyn/normlex/en/f?p=NORMLEXPUB:12100:0::NO::P12100_INSTRUMENT_ID:312535</w:t>
        </w:r>
      </w:hyperlink>
      <w:r w:rsidRPr="00D976C3">
        <w:rPr>
          <w:sz w:val="24"/>
          <w:szCs w:val="24"/>
        </w:rPr>
        <w:t xml:space="preserve">   </w:t>
      </w:r>
    </w:p>
  </w:footnote>
  <w:footnote w:id="4">
    <w:p w14:paraId="3EF872BA" w14:textId="77777777" w:rsidR="003846F0" w:rsidRDefault="003846F0" w:rsidP="003846F0">
      <w:pPr>
        <w:pStyle w:val="a6"/>
        <w:jc w:val="both"/>
      </w:pPr>
      <w:r>
        <w:rPr>
          <w:rStyle w:val="a8"/>
        </w:rPr>
        <w:footnoteRef/>
      </w:r>
      <w:r>
        <w:t xml:space="preserve"> </w:t>
      </w:r>
      <w:r w:rsidRPr="00D976C3">
        <w:rPr>
          <w:sz w:val="24"/>
          <w:szCs w:val="24"/>
        </w:rPr>
        <w:t>Резолюція Європейського Парламенту від 11 лютого 2021 р</w:t>
      </w:r>
      <w:r>
        <w:rPr>
          <w:sz w:val="24"/>
          <w:szCs w:val="24"/>
        </w:rPr>
        <w:t>оку</w:t>
      </w:r>
      <w:r w:rsidRPr="00D976C3">
        <w:rPr>
          <w:sz w:val="24"/>
          <w:szCs w:val="24"/>
        </w:rPr>
        <w:t xml:space="preserve"> щодо імплементації Угоди про асоціацію між Україною </w:t>
      </w:r>
      <w:r>
        <w:rPr>
          <w:sz w:val="24"/>
          <w:szCs w:val="24"/>
        </w:rPr>
        <w:t>та</w:t>
      </w:r>
      <w:r w:rsidRPr="00D976C3">
        <w:rPr>
          <w:sz w:val="24"/>
          <w:szCs w:val="24"/>
        </w:rPr>
        <w:t xml:space="preserve"> Європейським Союзом (2019/2202(</w:t>
      </w:r>
      <w:r w:rsidRPr="00D976C3">
        <w:rPr>
          <w:sz w:val="24"/>
          <w:szCs w:val="24"/>
          <w:lang w:val="en-US"/>
        </w:rPr>
        <w:t>INI</w:t>
      </w:r>
      <w:r w:rsidRPr="00D976C3">
        <w:rPr>
          <w:sz w:val="24"/>
          <w:szCs w:val="24"/>
        </w:rPr>
        <w:t>)</w:t>
      </w:r>
      <w:r>
        <w:rPr>
          <w:sz w:val="24"/>
          <w:szCs w:val="24"/>
        </w:rPr>
        <w:t xml:space="preserve">). </w:t>
      </w:r>
      <w:r w:rsidRPr="00D976C3">
        <w:rPr>
          <w:sz w:val="24"/>
          <w:szCs w:val="24"/>
        </w:rPr>
        <w:t>– [Електронний ресурс]. – Режим доступу:</w:t>
      </w:r>
      <w:r>
        <w:rPr>
          <w:sz w:val="24"/>
          <w:szCs w:val="24"/>
        </w:rPr>
        <w:t xml:space="preserve"> </w:t>
      </w:r>
      <w:hyperlink r:id="rId3" w:history="1">
        <w:r w:rsidRPr="009F2900">
          <w:rPr>
            <w:rStyle w:val="ab"/>
            <w:sz w:val="24"/>
            <w:szCs w:val="24"/>
          </w:rPr>
          <w:t>https://www.europarl.europa.eu/doceo/document/TA-9-2021-0050_EN.html</w:t>
        </w:r>
      </w:hyperlink>
      <w:r>
        <w:rPr>
          <w:sz w:val="24"/>
          <w:szCs w:val="2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251667D2"/>
    <w:multiLevelType w:val="hybridMultilevel"/>
    <w:tmpl w:val="C95A016E"/>
    <w:lvl w:ilvl="0" w:tplc="32F64EDA">
      <w:start w:val="1"/>
      <w:numFmt w:val="decimal"/>
      <w:lvlText w:val="(%1)"/>
      <w:lvlJc w:val="left"/>
      <w:pPr>
        <w:tabs>
          <w:tab w:val="num" w:pos="1287"/>
        </w:tabs>
        <w:ind w:left="1287" w:hanging="360"/>
      </w:pPr>
      <w:rPr>
        <w:rFonts w:hint="default"/>
      </w:rPr>
    </w:lvl>
    <w:lvl w:ilvl="1" w:tplc="AD72598C">
      <w:start w:val="1"/>
      <w:numFmt w:val="bullet"/>
      <w:lvlText w:val=""/>
      <w:lvlJc w:val="left"/>
      <w:pPr>
        <w:tabs>
          <w:tab w:val="num" w:pos="2007"/>
        </w:tabs>
        <w:ind w:left="2007" w:hanging="360"/>
      </w:pPr>
      <w:rPr>
        <w:rFonts w:ascii="Symbol" w:hAnsi="Symbol"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 w15:restartNumberingAfterBreak="0">
    <w:nsid w:val="324DFBD8"/>
    <w:multiLevelType w:val="hybridMultilevel"/>
    <w:tmpl w:val="E758EBBB"/>
    <w:lvl w:ilvl="0" w:tplc="FFFFFFFF">
      <w:start w:val="1"/>
      <w:numFmt w:val="ideographDigital"/>
      <w:lvlText w:val=""/>
      <w:lvlJc w:val="left"/>
    </w:lvl>
    <w:lvl w:ilvl="1" w:tplc="FFFFFFFF">
      <w:start w:val="1"/>
      <w:numFmt w:val="lowerLetter"/>
      <w:lvlText w:val=""/>
      <w:lvlJc w:val="left"/>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4CC44E12"/>
    <w:multiLevelType w:val="hybridMultilevel"/>
    <w:tmpl w:val="AAA0333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68A416D1"/>
    <w:multiLevelType w:val="hybridMultilevel"/>
    <w:tmpl w:val="72FC9CBC"/>
    <w:lvl w:ilvl="0" w:tplc="B9F8E378">
      <w:start w:val="1"/>
      <w:numFmt w:val="bullet"/>
      <w:lvlText w:val=""/>
      <w:lvlJc w:val="left"/>
      <w:pPr>
        <w:ind w:left="1287" w:hanging="360"/>
      </w:pPr>
      <w:rPr>
        <w:rFonts w:ascii="Symbol" w:hAnsi="Symbol" w:hint="default"/>
        <w:color w:val="000000" w:themeColor="text1"/>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6A3CD450"/>
    <w:multiLevelType w:val="hybridMultilevel"/>
    <w:tmpl w:val="B01C6C35"/>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8"/>
  </w:num>
  <w:num w:numId="6">
    <w:abstractNumId w:val="6"/>
  </w:num>
  <w:num w:numId="7">
    <w:abstractNumId w:val="7"/>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E4"/>
    <w:rsid w:val="000056C4"/>
    <w:rsid w:val="00005AC0"/>
    <w:rsid w:val="00024599"/>
    <w:rsid w:val="000507FA"/>
    <w:rsid w:val="00051572"/>
    <w:rsid w:val="00056A29"/>
    <w:rsid w:val="00063030"/>
    <w:rsid w:val="000662C7"/>
    <w:rsid w:val="0007523F"/>
    <w:rsid w:val="000930DE"/>
    <w:rsid w:val="00097412"/>
    <w:rsid w:val="000A277A"/>
    <w:rsid w:val="000A4103"/>
    <w:rsid w:val="000A5484"/>
    <w:rsid w:val="000B474A"/>
    <w:rsid w:val="000B5359"/>
    <w:rsid w:val="000B75A7"/>
    <w:rsid w:val="000C23B0"/>
    <w:rsid w:val="000C44F3"/>
    <w:rsid w:val="000D1F19"/>
    <w:rsid w:val="000E5EE8"/>
    <w:rsid w:val="000F6C5C"/>
    <w:rsid w:val="00101754"/>
    <w:rsid w:val="001346F8"/>
    <w:rsid w:val="001422E0"/>
    <w:rsid w:val="00142CA7"/>
    <w:rsid w:val="001473D6"/>
    <w:rsid w:val="00156C1F"/>
    <w:rsid w:val="001644EC"/>
    <w:rsid w:val="00165F9B"/>
    <w:rsid w:val="00166453"/>
    <w:rsid w:val="00177BED"/>
    <w:rsid w:val="00181447"/>
    <w:rsid w:val="00191687"/>
    <w:rsid w:val="00191CA6"/>
    <w:rsid w:val="001A615E"/>
    <w:rsid w:val="001C03AB"/>
    <w:rsid w:val="001C42C6"/>
    <w:rsid w:val="001C4696"/>
    <w:rsid w:val="001C6004"/>
    <w:rsid w:val="001D1D6A"/>
    <w:rsid w:val="001D60E7"/>
    <w:rsid w:val="001E1F0F"/>
    <w:rsid w:val="001E5343"/>
    <w:rsid w:val="002050E2"/>
    <w:rsid w:val="00207853"/>
    <w:rsid w:val="00217AF2"/>
    <w:rsid w:val="0022595E"/>
    <w:rsid w:val="00237E37"/>
    <w:rsid w:val="00246A60"/>
    <w:rsid w:val="00262703"/>
    <w:rsid w:val="002641B3"/>
    <w:rsid w:val="00264BDA"/>
    <w:rsid w:val="002A1FA0"/>
    <w:rsid w:val="002A69F7"/>
    <w:rsid w:val="002A6A0B"/>
    <w:rsid w:val="002B0A64"/>
    <w:rsid w:val="002B391E"/>
    <w:rsid w:val="002B7816"/>
    <w:rsid w:val="002C2D4F"/>
    <w:rsid w:val="002C6AC6"/>
    <w:rsid w:val="002D63A1"/>
    <w:rsid w:val="002E66C2"/>
    <w:rsid w:val="002F36BA"/>
    <w:rsid w:val="002F38C1"/>
    <w:rsid w:val="003122D9"/>
    <w:rsid w:val="00316B10"/>
    <w:rsid w:val="00335BCB"/>
    <w:rsid w:val="00337DE2"/>
    <w:rsid w:val="00341E2A"/>
    <w:rsid w:val="00343BB7"/>
    <w:rsid w:val="003577A6"/>
    <w:rsid w:val="003661D3"/>
    <w:rsid w:val="003846F0"/>
    <w:rsid w:val="00391F37"/>
    <w:rsid w:val="00392E50"/>
    <w:rsid w:val="003A1218"/>
    <w:rsid w:val="003B081B"/>
    <w:rsid w:val="003B4F6C"/>
    <w:rsid w:val="003C04AC"/>
    <w:rsid w:val="003C0F23"/>
    <w:rsid w:val="003C2F34"/>
    <w:rsid w:val="003C39D6"/>
    <w:rsid w:val="003C44DF"/>
    <w:rsid w:val="003C4D82"/>
    <w:rsid w:val="003C4E2C"/>
    <w:rsid w:val="003C638E"/>
    <w:rsid w:val="003D3550"/>
    <w:rsid w:val="003E51F9"/>
    <w:rsid w:val="003F7C26"/>
    <w:rsid w:val="00415157"/>
    <w:rsid w:val="00431D0F"/>
    <w:rsid w:val="004351A8"/>
    <w:rsid w:val="00437211"/>
    <w:rsid w:val="004449FD"/>
    <w:rsid w:val="0045493A"/>
    <w:rsid w:val="00461217"/>
    <w:rsid w:val="004727DC"/>
    <w:rsid w:val="00475306"/>
    <w:rsid w:val="00475BB4"/>
    <w:rsid w:val="00476B11"/>
    <w:rsid w:val="00481007"/>
    <w:rsid w:val="0048145B"/>
    <w:rsid w:val="004975C0"/>
    <w:rsid w:val="004A0844"/>
    <w:rsid w:val="004A0F15"/>
    <w:rsid w:val="004B0A02"/>
    <w:rsid w:val="004B4048"/>
    <w:rsid w:val="004C1076"/>
    <w:rsid w:val="004C6CA0"/>
    <w:rsid w:val="004D225F"/>
    <w:rsid w:val="004F4488"/>
    <w:rsid w:val="004F7759"/>
    <w:rsid w:val="00516F02"/>
    <w:rsid w:val="00524034"/>
    <w:rsid w:val="00535775"/>
    <w:rsid w:val="005532A9"/>
    <w:rsid w:val="00556D52"/>
    <w:rsid w:val="0056163F"/>
    <w:rsid w:val="00571BC6"/>
    <w:rsid w:val="00571BCD"/>
    <w:rsid w:val="00575EBA"/>
    <w:rsid w:val="00577A72"/>
    <w:rsid w:val="00577E5A"/>
    <w:rsid w:val="00595537"/>
    <w:rsid w:val="00596D5D"/>
    <w:rsid w:val="00597214"/>
    <w:rsid w:val="005A0332"/>
    <w:rsid w:val="005B48D3"/>
    <w:rsid w:val="005C419F"/>
    <w:rsid w:val="005F3DF4"/>
    <w:rsid w:val="005F6CC9"/>
    <w:rsid w:val="00601D72"/>
    <w:rsid w:val="0060395B"/>
    <w:rsid w:val="00615A0E"/>
    <w:rsid w:val="00622F6B"/>
    <w:rsid w:val="00642164"/>
    <w:rsid w:val="00666E86"/>
    <w:rsid w:val="00695420"/>
    <w:rsid w:val="006A2EDD"/>
    <w:rsid w:val="006A7C98"/>
    <w:rsid w:val="006B06D3"/>
    <w:rsid w:val="006B1637"/>
    <w:rsid w:val="006B33A5"/>
    <w:rsid w:val="006B5875"/>
    <w:rsid w:val="006F1217"/>
    <w:rsid w:val="006F4042"/>
    <w:rsid w:val="00700A45"/>
    <w:rsid w:val="00717794"/>
    <w:rsid w:val="007178B5"/>
    <w:rsid w:val="00724C5C"/>
    <w:rsid w:val="00726932"/>
    <w:rsid w:val="00747CD2"/>
    <w:rsid w:val="00760B49"/>
    <w:rsid w:val="00767202"/>
    <w:rsid w:val="007720D3"/>
    <w:rsid w:val="007748D5"/>
    <w:rsid w:val="0078111A"/>
    <w:rsid w:val="00782130"/>
    <w:rsid w:val="00786434"/>
    <w:rsid w:val="007C0D6E"/>
    <w:rsid w:val="007C6C34"/>
    <w:rsid w:val="007F29FD"/>
    <w:rsid w:val="008016B3"/>
    <w:rsid w:val="00803C6F"/>
    <w:rsid w:val="00833CD2"/>
    <w:rsid w:val="008349B5"/>
    <w:rsid w:val="008420D8"/>
    <w:rsid w:val="00870910"/>
    <w:rsid w:val="008728D8"/>
    <w:rsid w:val="00884B9B"/>
    <w:rsid w:val="00891B2F"/>
    <w:rsid w:val="00893FEB"/>
    <w:rsid w:val="008A543C"/>
    <w:rsid w:val="008A6111"/>
    <w:rsid w:val="008B6BD7"/>
    <w:rsid w:val="008D7374"/>
    <w:rsid w:val="008D783D"/>
    <w:rsid w:val="008E4580"/>
    <w:rsid w:val="008F43A4"/>
    <w:rsid w:val="008F50B6"/>
    <w:rsid w:val="0090062C"/>
    <w:rsid w:val="00900B30"/>
    <w:rsid w:val="00901F3F"/>
    <w:rsid w:val="0090502D"/>
    <w:rsid w:val="00906864"/>
    <w:rsid w:val="00915396"/>
    <w:rsid w:val="00927364"/>
    <w:rsid w:val="00927D08"/>
    <w:rsid w:val="00931FF5"/>
    <w:rsid w:val="00933FF1"/>
    <w:rsid w:val="009349DE"/>
    <w:rsid w:val="00934CD5"/>
    <w:rsid w:val="00940FAC"/>
    <w:rsid w:val="00943A47"/>
    <w:rsid w:val="00952A83"/>
    <w:rsid w:val="009571CF"/>
    <w:rsid w:val="00974ACA"/>
    <w:rsid w:val="00977816"/>
    <w:rsid w:val="00980F2E"/>
    <w:rsid w:val="00982321"/>
    <w:rsid w:val="00992B1B"/>
    <w:rsid w:val="009948DE"/>
    <w:rsid w:val="009D1D3F"/>
    <w:rsid w:val="00A063CF"/>
    <w:rsid w:val="00A16C7F"/>
    <w:rsid w:val="00A272A3"/>
    <w:rsid w:val="00A30C57"/>
    <w:rsid w:val="00A31169"/>
    <w:rsid w:val="00A724C3"/>
    <w:rsid w:val="00A730AD"/>
    <w:rsid w:val="00A814C4"/>
    <w:rsid w:val="00AE1F17"/>
    <w:rsid w:val="00B22F58"/>
    <w:rsid w:val="00B24322"/>
    <w:rsid w:val="00B27F22"/>
    <w:rsid w:val="00B33BB2"/>
    <w:rsid w:val="00B40026"/>
    <w:rsid w:val="00B47E76"/>
    <w:rsid w:val="00B54546"/>
    <w:rsid w:val="00B6095F"/>
    <w:rsid w:val="00B64239"/>
    <w:rsid w:val="00B6586C"/>
    <w:rsid w:val="00B766E4"/>
    <w:rsid w:val="00B871BA"/>
    <w:rsid w:val="00B96E29"/>
    <w:rsid w:val="00BB206A"/>
    <w:rsid w:val="00BB5DCA"/>
    <w:rsid w:val="00BB60C2"/>
    <w:rsid w:val="00BC79FF"/>
    <w:rsid w:val="00BD680E"/>
    <w:rsid w:val="00BE4202"/>
    <w:rsid w:val="00BF0C86"/>
    <w:rsid w:val="00BF4436"/>
    <w:rsid w:val="00BF566A"/>
    <w:rsid w:val="00BF72A6"/>
    <w:rsid w:val="00C17A01"/>
    <w:rsid w:val="00C21A56"/>
    <w:rsid w:val="00C23361"/>
    <w:rsid w:val="00C408E5"/>
    <w:rsid w:val="00C41380"/>
    <w:rsid w:val="00C45993"/>
    <w:rsid w:val="00C47831"/>
    <w:rsid w:val="00C72AF5"/>
    <w:rsid w:val="00C85D96"/>
    <w:rsid w:val="00C9507E"/>
    <w:rsid w:val="00C9685E"/>
    <w:rsid w:val="00CA319B"/>
    <w:rsid w:val="00CB6C1C"/>
    <w:rsid w:val="00CC27F8"/>
    <w:rsid w:val="00CD6FAA"/>
    <w:rsid w:val="00CE245B"/>
    <w:rsid w:val="00CE66D5"/>
    <w:rsid w:val="00CF1D55"/>
    <w:rsid w:val="00CF20C6"/>
    <w:rsid w:val="00D22DAE"/>
    <w:rsid w:val="00D32645"/>
    <w:rsid w:val="00D52E71"/>
    <w:rsid w:val="00D7212E"/>
    <w:rsid w:val="00D72515"/>
    <w:rsid w:val="00D75668"/>
    <w:rsid w:val="00D8565E"/>
    <w:rsid w:val="00D90ED0"/>
    <w:rsid w:val="00D912B8"/>
    <w:rsid w:val="00D976C3"/>
    <w:rsid w:val="00DA2E5E"/>
    <w:rsid w:val="00DA3DAF"/>
    <w:rsid w:val="00DB779E"/>
    <w:rsid w:val="00DB7E70"/>
    <w:rsid w:val="00DC192E"/>
    <w:rsid w:val="00DC2E69"/>
    <w:rsid w:val="00DD0A33"/>
    <w:rsid w:val="00DD1467"/>
    <w:rsid w:val="00DE050F"/>
    <w:rsid w:val="00DF596F"/>
    <w:rsid w:val="00E04789"/>
    <w:rsid w:val="00E05591"/>
    <w:rsid w:val="00E142DD"/>
    <w:rsid w:val="00E15EFE"/>
    <w:rsid w:val="00E2307B"/>
    <w:rsid w:val="00E27ACA"/>
    <w:rsid w:val="00E42F61"/>
    <w:rsid w:val="00E44302"/>
    <w:rsid w:val="00E517BC"/>
    <w:rsid w:val="00E53602"/>
    <w:rsid w:val="00E560AC"/>
    <w:rsid w:val="00E568C8"/>
    <w:rsid w:val="00E61F11"/>
    <w:rsid w:val="00E643AC"/>
    <w:rsid w:val="00E811A5"/>
    <w:rsid w:val="00EA0FB1"/>
    <w:rsid w:val="00EA18F7"/>
    <w:rsid w:val="00EA507B"/>
    <w:rsid w:val="00EB7546"/>
    <w:rsid w:val="00EC6F8E"/>
    <w:rsid w:val="00EE2EC8"/>
    <w:rsid w:val="00EF20E1"/>
    <w:rsid w:val="00F012F6"/>
    <w:rsid w:val="00F21E75"/>
    <w:rsid w:val="00F22461"/>
    <w:rsid w:val="00F25EFB"/>
    <w:rsid w:val="00F2745E"/>
    <w:rsid w:val="00F27FAE"/>
    <w:rsid w:val="00F346B5"/>
    <w:rsid w:val="00F46855"/>
    <w:rsid w:val="00F553D1"/>
    <w:rsid w:val="00F5715E"/>
    <w:rsid w:val="00F94FCF"/>
    <w:rsid w:val="00FA51E9"/>
    <w:rsid w:val="00FA5B32"/>
    <w:rsid w:val="00FA6722"/>
    <w:rsid w:val="00FA7541"/>
    <w:rsid w:val="00FB0047"/>
    <w:rsid w:val="00FB00A9"/>
    <w:rsid w:val="00FC07A8"/>
    <w:rsid w:val="00FD223F"/>
    <w:rsid w:val="00FD27E1"/>
    <w:rsid w:val="00FD3573"/>
    <w:rsid w:val="00FF61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631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6E4"/>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766E4"/>
    <w:pPr>
      <w:tabs>
        <w:tab w:val="center" w:pos="4819"/>
        <w:tab w:val="right" w:pos="9639"/>
      </w:tabs>
    </w:pPr>
  </w:style>
  <w:style w:type="character" w:customStyle="1" w:styleId="a4">
    <w:name w:val="Нижній колонтитул Знак"/>
    <w:basedOn w:val="a0"/>
    <w:link w:val="a3"/>
    <w:rsid w:val="00B766E4"/>
    <w:rPr>
      <w:rFonts w:ascii="Times New Roman" w:eastAsia="Times New Roman" w:hAnsi="Times New Roman" w:cs="Times New Roman"/>
      <w:sz w:val="28"/>
      <w:szCs w:val="28"/>
      <w:lang w:eastAsia="ru-RU"/>
    </w:rPr>
  </w:style>
  <w:style w:type="character" w:styleId="a5">
    <w:name w:val="page number"/>
    <w:basedOn w:val="a0"/>
    <w:rsid w:val="00B766E4"/>
  </w:style>
  <w:style w:type="paragraph" w:styleId="a6">
    <w:name w:val="footnote text"/>
    <w:basedOn w:val="a"/>
    <w:link w:val="a7"/>
    <w:uiPriority w:val="99"/>
    <w:semiHidden/>
    <w:rsid w:val="00B766E4"/>
    <w:rPr>
      <w:sz w:val="20"/>
      <w:szCs w:val="20"/>
    </w:rPr>
  </w:style>
  <w:style w:type="character" w:customStyle="1" w:styleId="a7">
    <w:name w:val="Текст виноски Знак"/>
    <w:basedOn w:val="a0"/>
    <w:link w:val="a6"/>
    <w:uiPriority w:val="99"/>
    <w:semiHidden/>
    <w:rsid w:val="00B766E4"/>
    <w:rPr>
      <w:rFonts w:ascii="Times New Roman" w:eastAsia="Times New Roman" w:hAnsi="Times New Roman" w:cs="Times New Roman"/>
      <w:sz w:val="20"/>
      <w:szCs w:val="20"/>
      <w:lang w:eastAsia="ru-RU"/>
    </w:rPr>
  </w:style>
  <w:style w:type="character" w:styleId="a8">
    <w:name w:val="footnote reference"/>
    <w:basedOn w:val="a0"/>
    <w:rsid w:val="00B766E4"/>
    <w:rPr>
      <w:vertAlign w:val="superscript"/>
    </w:rPr>
  </w:style>
  <w:style w:type="character" w:customStyle="1" w:styleId="a9">
    <w:name w:val="Основний текст_"/>
    <w:basedOn w:val="a0"/>
    <w:link w:val="1"/>
    <w:locked/>
    <w:rsid w:val="00B766E4"/>
    <w:rPr>
      <w:spacing w:val="6"/>
      <w:shd w:val="clear" w:color="auto" w:fill="FFFFFF"/>
    </w:rPr>
  </w:style>
  <w:style w:type="paragraph" w:customStyle="1" w:styleId="1">
    <w:name w:val="Основний текст1"/>
    <w:basedOn w:val="a"/>
    <w:link w:val="a9"/>
    <w:rsid w:val="00B766E4"/>
    <w:pPr>
      <w:widowControl w:val="0"/>
      <w:shd w:val="clear" w:color="auto" w:fill="FFFFFF"/>
      <w:spacing w:line="322" w:lineRule="exact"/>
      <w:jc w:val="both"/>
    </w:pPr>
    <w:rPr>
      <w:rFonts w:asciiTheme="minorHAnsi" w:eastAsiaTheme="minorHAnsi" w:hAnsiTheme="minorHAnsi" w:cstheme="minorBidi"/>
      <w:spacing w:val="6"/>
      <w:sz w:val="22"/>
      <w:szCs w:val="22"/>
      <w:lang w:eastAsia="en-US"/>
    </w:rPr>
  </w:style>
  <w:style w:type="paragraph" w:styleId="HTML">
    <w:name w:val="HTML Preformatted"/>
    <w:basedOn w:val="a"/>
    <w:link w:val="HTML0"/>
    <w:uiPriority w:val="99"/>
    <w:rsid w:val="00B7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B766E4"/>
    <w:rPr>
      <w:rFonts w:ascii="Courier New" w:eastAsia="Times New Roman" w:hAnsi="Courier New" w:cs="Courier New"/>
      <w:sz w:val="20"/>
      <w:szCs w:val="20"/>
      <w:lang w:val="ru-RU" w:eastAsia="ru-RU"/>
    </w:rPr>
  </w:style>
  <w:style w:type="character" w:customStyle="1" w:styleId="st">
    <w:name w:val="st"/>
    <w:basedOn w:val="a0"/>
    <w:rsid w:val="00B766E4"/>
  </w:style>
  <w:style w:type="paragraph" w:customStyle="1" w:styleId="10">
    <w:name w:val="Абзац списку1"/>
    <w:basedOn w:val="a"/>
    <w:qFormat/>
    <w:rsid w:val="00B766E4"/>
    <w:pPr>
      <w:spacing w:after="200" w:line="276" w:lineRule="auto"/>
      <w:ind w:left="720"/>
      <w:contextualSpacing/>
    </w:pPr>
    <w:rPr>
      <w:rFonts w:ascii="Calibri" w:eastAsia="Calibri" w:hAnsi="Calibri"/>
      <w:sz w:val="22"/>
      <w:szCs w:val="22"/>
      <w:lang w:val="ru-RU" w:eastAsia="en-US"/>
    </w:rPr>
  </w:style>
  <w:style w:type="character" w:styleId="aa">
    <w:name w:val="Emphasis"/>
    <w:basedOn w:val="a0"/>
    <w:uiPriority w:val="20"/>
    <w:qFormat/>
    <w:rsid w:val="00B766E4"/>
    <w:rPr>
      <w:i/>
      <w:iCs/>
    </w:rPr>
  </w:style>
  <w:style w:type="character" w:styleId="ab">
    <w:name w:val="Hyperlink"/>
    <w:basedOn w:val="a0"/>
    <w:uiPriority w:val="99"/>
    <w:unhideWhenUsed/>
    <w:rsid w:val="007F29FD"/>
    <w:rPr>
      <w:color w:val="0563C1" w:themeColor="hyperlink"/>
      <w:u w:val="single"/>
    </w:rPr>
  </w:style>
  <w:style w:type="paragraph" w:customStyle="1" w:styleId="rvps2">
    <w:name w:val="rvps2"/>
    <w:basedOn w:val="a"/>
    <w:rsid w:val="00C47831"/>
    <w:pPr>
      <w:spacing w:before="100" w:beforeAutospacing="1" w:after="100" w:afterAutospacing="1"/>
    </w:pPr>
    <w:rPr>
      <w:sz w:val="24"/>
      <w:szCs w:val="24"/>
      <w:lang w:eastAsia="uk-UA"/>
    </w:rPr>
  </w:style>
  <w:style w:type="paragraph" w:customStyle="1" w:styleId="rvps7">
    <w:name w:val="rvps7"/>
    <w:basedOn w:val="a"/>
    <w:rsid w:val="00C47831"/>
    <w:pPr>
      <w:spacing w:before="100" w:beforeAutospacing="1" w:after="100" w:afterAutospacing="1"/>
    </w:pPr>
    <w:rPr>
      <w:sz w:val="24"/>
      <w:szCs w:val="24"/>
      <w:lang w:eastAsia="uk-UA"/>
    </w:rPr>
  </w:style>
  <w:style w:type="character" w:customStyle="1" w:styleId="rvts9">
    <w:name w:val="rvts9"/>
    <w:basedOn w:val="a0"/>
    <w:rsid w:val="00C47831"/>
  </w:style>
  <w:style w:type="character" w:customStyle="1" w:styleId="rvts78">
    <w:name w:val="rvts78"/>
    <w:basedOn w:val="a0"/>
    <w:rsid w:val="00982321"/>
  </w:style>
  <w:style w:type="character" w:customStyle="1" w:styleId="rvts0">
    <w:name w:val="rvts0"/>
    <w:basedOn w:val="a0"/>
    <w:rsid w:val="00982321"/>
  </w:style>
  <w:style w:type="paragraph" w:customStyle="1" w:styleId="ac">
    <w:name w:val="Нормальний текст"/>
    <w:basedOn w:val="a"/>
    <w:rsid w:val="00D7212E"/>
    <w:pPr>
      <w:spacing w:before="120"/>
      <w:ind w:firstLine="567"/>
      <w:jc w:val="both"/>
    </w:pPr>
    <w:rPr>
      <w:rFonts w:ascii="Antiqua" w:hAnsi="Antiqua"/>
      <w:sz w:val="26"/>
      <w:szCs w:val="20"/>
    </w:rPr>
  </w:style>
  <w:style w:type="paragraph" w:styleId="ad">
    <w:name w:val="Body Text"/>
    <w:basedOn w:val="a"/>
    <w:link w:val="ae"/>
    <w:rsid w:val="005A0332"/>
    <w:pPr>
      <w:jc w:val="both"/>
    </w:pPr>
    <w:rPr>
      <w:sz w:val="20"/>
      <w:szCs w:val="20"/>
    </w:rPr>
  </w:style>
  <w:style w:type="character" w:customStyle="1" w:styleId="ae">
    <w:name w:val="Основний текст Знак"/>
    <w:basedOn w:val="a0"/>
    <w:link w:val="ad"/>
    <w:rsid w:val="005A0332"/>
    <w:rPr>
      <w:rFonts w:ascii="Times New Roman" w:eastAsia="Times New Roman" w:hAnsi="Times New Roman" w:cs="Times New Roman"/>
      <w:sz w:val="20"/>
      <w:szCs w:val="20"/>
      <w:lang w:eastAsia="ru-RU"/>
    </w:rPr>
  </w:style>
  <w:style w:type="paragraph" w:styleId="af">
    <w:name w:val="Normal (Web)"/>
    <w:basedOn w:val="a"/>
    <w:uiPriority w:val="99"/>
    <w:unhideWhenUsed/>
    <w:rsid w:val="00F5715E"/>
    <w:pPr>
      <w:spacing w:before="100" w:beforeAutospacing="1" w:after="100" w:afterAutospacing="1"/>
    </w:pPr>
    <w:rPr>
      <w:sz w:val="24"/>
      <w:szCs w:val="24"/>
      <w:lang w:eastAsia="uk-UA"/>
    </w:rPr>
  </w:style>
  <w:style w:type="paragraph" w:styleId="af0">
    <w:name w:val="List Paragraph"/>
    <w:basedOn w:val="a"/>
    <w:uiPriority w:val="34"/>
    <w:qFormat/>
    <w:rsid w:val="00FB0047"/>
    <w:pPr>
      <w:ind w:left="720"/>
      <w:contextualSpacing/>
    </w:pPr>
  </w:style>
  <w:style w:type="paragraph" w:styleId="af1">
    <w:name w:val="header"/>
    <w:basedOn w:val="a"/>
    <w:link w:val="af2"/>
    <w:unhideWhenUsed/>
    <w:rsid w:val="00097412"/>
    <w:pPr>
      <w:tabs>
        <w:tab w:val="center" w:pos="4819"/>
        <w:tab w:val="right" w:pos="9639"/>
      </w:tabs>
    </w:pPr>
  </w:style>
  <w:style w:type="character" w:customStyle="1" w:styleId="af2">
    <w:name w:val="Верхній колонтитул Знак"/>
    <w:basedOn w:val="a0"/>
    <w:link w:val="af1"/>
    <w:uiPriority w:val="99"/>
    <w:rsid w:val="00097412"/>
    <w:rPr>
      <w:rFonts w:ascii="Times New Roman" w:eastAsia="Times New Roman" w:hAnsi="Times New Roman" w:cs="Times New Roman"/>
      <w:sz w:val="28"/>
      <w:szCs w:val="28"/>
      <w:lang w:eastAsia="ru-RU"/>
    </w:rPr>
  </w:style>
  <w:style w:type="paragraph" w:styleId="af3">
    <w:name w:val="Balloon Text"/>
    <w:basedOn w:val="a"/>
    <w:link w:val="af4"/>
    <w:uiPriority w:val="99"/>
    <w:semiHidden/>
    <w:unhideWhenUsed/>
    <w:rsid w:val="002C2D4F"/>
    <w:rPr>
      <w:rFonts w:ascii="Segoe UI" w:hAnsi="Segoe UI" w:cs="Segoe UI"/>
      <w:sz w:val="18"/>
      <w:szCs w:val="18"/>
    </w:rPr>
  </w:style>
  <w:style w:type="character" w:customStyle="1" w:styleId="af4">
    <w:name w:val="Текст у виносці Знак"/>
    <w:basedOn w:val="a0"/>
    <w:link w:val="af3"/>
    <w:uiPriority w:val="99"/>
    <w:semiHidden/>
    <w:rsid w:val="002C2D4F"/>
    <w:rPr>
      <w:rFonts w:ascii="Segoe UI" w:eastAsia="Times New Roman" w:hAnsi="Segoe UI" w:cs="Segoe UI"/>
      <w:sz w:val="18"/>
      <w:szCs w:val="18"/>
      <w:lang w:eastAsia="ru-RU"/>
    </w:rPr>
  </w:style>
  <w:style w:type="character" w:customStyle="1" w:styleId="12">
    <w:name w:val="Основной текст (12)_"/>
    <w:basedOn w:val="a0"/>
    <w:link w:val="120"/>
    <w:rsid w:val="00B96E29"/>
    <w:rPr>
      <w:rFonts w:ascii="Times New Roman" w:eastAsia="Times New Roman" w:hAnsi="Times New Roman" w:cs="Times New Roman"/>
      <w:sz w:val="28"/>
      <w:szCs w:val="28"/>
      <w:shd w:val="clear" w:color="auto" w:fill="FFFFFF"/>
    </w:rPr>
  </w:style>
  <w:style w:type="paragraph" w:customStyle="1" w:styleId="120">
    <w:name w:val="Основной текст (12)"/>
    <w:basedOn w:val="a"/>
    <w:link w:val="12"/>
    <w:rsid w:val="00B96E29"/>
    <w:pPr>
      <w:widowControl w:val="0"/>
      <w:shd w:val="clear" w:color="auto" w:fill="FFFFFF"/>
      <w:spacing w:line="310" w:lineRule="exact"/>
      <w:jc w:val="right"/>
    </w:pPr>
    <w:rPr>
      <w:lang w:eastAsia="en-US"/>
    </w:rPr>
  </w:style>
  <w:style w:type="paragraph" w:customStyle="1" w:styleId="Default">
    <w:name w:val="Default"/>
    <w:rsid w:val="00B22F58"/>
    <w:pPr>
      <w:autoSpaceDE w:val="0"/>
      <w:autoSpaceDN w:val="0"/>
      <w:adjustRightInd w:val="0"/>
      <w:spacing w:after="0" w:line="240" w:lineRule="auto"/>
    </w:pPr>
    <w:rPr>
      <w:rFonts w:ascii="Georgia" w:hAnsi="Georgia" w:cs="Georgia"/>
      <w:color w:val="000000"/>
      <w:sz w:val="24"/>
      <w:szCs w:val="24"/>
    </w:rPr>
  </w:style>
  <w:style w:type="character" w:customStyle="1" w:styleId="rvts23">
    <w:name w:val="rvts23"/>
    <w:basedOn w:val="a0"/>
    <w:rsid w:val="00BD680E"/>
  </w:style>
  <w:style w:type="paragraph" w:customStyle="1" w:styleId="11">
    <w:name w:val="Звичайний1"/>
    <w:basedOn w:val="a"/>
    <w:rsid w:val="00CB6C1C"/>
    <w:pPr>
      <w:spacing w:before="100" w:beforeAutospacing="1" w:after="100" w:afterAutospacing="1"/>
    </w:pPr>
    <w:rPr>
      <w:sz w:val="24"/>
      <w:szCs w:val="24"/>
      <w:lang w:eastAsia="uk-UA"/>
    </w:rPr>
  </w:style>
  <w:style w:type="paragraph" w:customStyle="1" w:styleId="sti-art">
    <w:name w:val="sti-art"/>
    <w:basedOn w:val="a"/>
    <w:rsid w:val="00475BB4"/>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10112">
      <w:bodyDiv w:val="1"/>
      <w:marLeft w:val="0"/>
      <w:marRight w:val="0"/>
      <w:marTop w:val="0"/>
      <w:marBottom w:val="0"/>
      <w:divBdr>
        <w:top w:val="none" w:sz="0" w:space="0" w:color="auto"/>
        <w:left w:val="none" w:sz="0" w:space="0" w:color="auto"/>
        <w:bottom w:val="none" w:sz="0" w:space="0" w:color="auto"/>
        <w:right w:val="none" w:sz="0" w:space="0" w:color="auto"/>
      </w:divBdr>
    </w:div>
    <w:div w:id="231702003">
      <w:bodyDiv w:val="1"/>
      <w:marLeft w:val="0"/>
      <w:marRight w:val="0"/>
      <w:marTop w:val="0"/>
      <w:marBottom w:val="0"/>
      <w:divBdr>
        <w:top w:val="none" w:sz="0" w:space="0" w:color="auto"/>
        <w:left w:val="none" w:sz="0" w:space="0" w:color="auto"/>
        <w:bottom w:val="none" w:sz="0" w:space="0" w:color="auto"/>
        <w:right w:val="none" w:sz="0" w:space="0" w:color="auto"/>
      </w:divBdr>
    </w:div>
    <w:div w:id="270666122">
      <w:bodyDiv w:val="1"/>
      <w:marLeft w:val="0"/>
      <w:marRight w:val="0"/>
      <w:marTop w:val="0"/>
      <w:marBottom w:val="0"/>
      <w:divBdr>
        <w:top w:val="none" w:sz="0" w:space="0" w:color="auto"/>
        <w:left w:val="none" w:sz="0" w:space="0" w:color="auto"/>
        <w:bottom w:val="none" w:sz="0" w:space="0" w:color="auto"/>
        <w:right w:val="none" w:sz="0" w:space="0" w:color="auto"/>
      </w:divBdr>
    </w:div>
    <w:div w:id="453982089">
      <w:bodyDiv w:val="1"/>
      <w:marLeft w:val="0"/>
      <w:marRight w:val="0"/>
      <w:marTop w:val="0"/>
      <w:marBottom w:val="0"/>
      <w:divBdr>
        <w:top w:val="none" w:sz="0" w:space="0" w:color="auto"/>
        <w:left w:val="none" w:sz="0" w:space="0" w:color="auto"/>
        <w:bottom w:val="none" w:sz="0" w:space="0" w:color="auto"/>
        <w:right w:val="none" w:sz="0" w:space="0" w:color="auto"/>
      </w:divBdr>
    </w:div>
    <w:div w:id="613174409">
      <w:bodyDiv w:val="1"/>
      <w:marLeft w:val="0"/>
      <w:marRight w:val="0"/>
      <w:marTop w:val="0"/>
      <w:marBottom w:val="0"/>
      <w:divBdr>
        <w:top w:val="none" w:sz="0" w:space="0" w:color="auto"/>
        <w:left w:val="none" w:sz="0" w:space="0" w:color="auto"/>
        <w:bottom w:val="none" w:sz="0" w:space="0" w:color="auto"/>
        <w:right w:val="none" w:sz="0" w:space="0" w:color="auto"/>
      </w:divBdr>
    </w:div>
    <w:div w:id="689646731">
      <w:bodyDiv w:val="1"/>
      <w:marLeft w:val="0"/>
      <w:marRight w:val="0"/>
      <w:marTop w:val="0"/>
      <w:marBottom w:val="0"/>
      <w:divBdr>
        <w:top w:val="none" w:sz="0" w:space="0" w:color="auto"/>
        <w:left w:val="none" w:sz="0" w:space="0" w:color="auto"/>
        <w:bottom w:val="none" w:sz="0" w:space="0" w:color="auto"/>
        <w:right w:val="none" w:sz="0" w:space="0" w:color="auto"/>
      </w:divBdr>
    </w:div>
    <w:div w:id="710611565">
      <w:bodyDiv w:val="1"/>
      <w:marLeft w:val="0"/>
      <w:marRight w:val="0"/>
      <w:marTop w:val="0"/>
      <w:marBottom w:val="0"/>
      <w:divBdr>
        <w:top w:val="none" w:sz="0" w:space="0" w:color="auto"/>
        <w:left w:val="none" w:sz="0" w:space="0" w:color="auto"/>
        <w:bottom w:val="none" w:sz="0" w:space="0" w:color="auto"/>
        <w:right w:val="none" w:sz="0" w:space="0" w:color="auto"/>
      </w:divBdr>
    </w:div>
    <w:div w:id="796608908">
      <w:bodyDiv w:val="1"/>
      <w:marLeft w:val="0"/>
      <w:marRight w:val="0"/>
      <w:marTop w:val="0"/>
      <w:marBottom w:val="0"/>
      <w:divBdr>
        <w:top w:val="none" w:sz="0" w:space="0" w:color="auto"/>
        <w:left w:val="none" w:sz="0" w:space="0" w:color="auto"/>
        <w:bottom w:val="none" w:sz="0" w:space="0" w:color="auto"/>
        <w:right w:val="none" w:sz="0" w:space="0" w:color="auto"/>
      </w:divBdr>
    </w:div>
    <w:div w:id="1035695420">
      <w:bodyDiv w:val="1"/>
      <w:marLeft w:val="0"/>
      <w:marRight w:val="0"/>
      <w:marTop w:val="0"/>
      <w:marBottom w:val="0"/>
      <w:divBdr>
        <w:top w:val="none" w:sz="0" w:space="0" w:color="auto"/>
        <w:left w:val="none" w:sz="0" w:space="0" w:color="auto"/>
        <w:bottom w:val="none" w:sz="0" w:space="0" w:color="auto"/>
        <w:right w:val="none" w:sz="0" w:space="0" w:color="auto"/>
      </w:divBdr>
    </w:div>
    <w:div w:id="1573419989">
      <w:bodyDiv w:val="1"/>
      <w:marLeft w:val="0"/>
      <w:marRight w:val="0"/>
      <w:marTop w:val="0"/>
      <w:marBottom w:val="0"/>
      <w:divBdr>
        <w:top w:val="none" w:sz="0" w:space="0" w:color="auto"/>
        <w:left w:val="none" w:sz="0" w:space="0" w:color="auto"/>
        <w:bottom w:val="none" w:sz="0" w:space="0" w:color="auto"/>
        <w:right w:val="none" w:sz="0" w:space="0" w:color="auto"/>
      </w:divBdr>
    </w:div>
    <w:div w:id="1824589796">
      <w:bodyDiv w:val="1"/>
      <w:marLeft w:val="0"/>
      <w:marRight w:val="0"/>
      <w:marTop w:val="0"/>
      <w:marBottom w:val="0"/>
      <w:divBdr>
        <w:top w:val="none" w:sz="0" w:space="0" w:color="auto"/>
        <w:left w:val="none" w:sz="0" w:space="0" w:color="auto"/>
        <w:bottom w:val="none" w:sz="0" w:space="0" w:color="auto"/>
        <w:right w:val="none" w:sz="0" w:space="0" w:color="auto"/>
      </w:divBdr>
    </w:div>
    <w:div w:id="1988632472">
      <w:bodyDiv w:val="1"/>
      <w:marLeft w:val="0"/>
      <w:marRight w:val="0"/>
      <w:marTop w:val="0"/>
      <w:marBottom w:val="0"/>
      <w:divBdr>
        <w:top w:val="none" w:sz="0" w:space="0" w:color="auto"/>
        <w:left w:val="none" w:sz="0" w:space="0" w:color="auto"/>
        <w:bottom w:val="none" w:sz="0" w:space="0" w:color="auto"/>
        <w:right w:val="none" w:sz="0" w:space="0" w:color="auto"/>
      </w:divBdr>
    </w:div>
    <w:div w:id="2089766213">
      <w:bodyDiv w:val="1"/>
      <w:marLeft w:val="0"/>
      <w:marRight w:val="0"/>
      <w:marTop w:val="0"/>
      <w:marBottom w:val="0"/>
      <w:divBdr>
        <w:top w:val="none" w:sz="0" w:space="0" w:color="auto"/>
        <w:left w:val="none" w:sz="0" w:space="0" w:color="auto"/>
        <w:bottom w:val="none" w:sz="0" w:space="0" w:color="auto"/>
        <w:right w:val="none" w:sz="0" w:space="0" w:color="auto"/>
      </w:divBdr>
      <w:divsChild>
        <w:div w:id="1689795578">
          <w:marLeft w:val="0"/>
          <w:marRight w:val="0"/>
          <w:marTop w:val="0"/>
          <w:marBottom w:val="0"/>
          <w:divBdr>
            <w:top w:val="none" w:sz="0" w:space="0" w:color="auto"/>
            <w:left w:val="none" w:sz="0" w:space="0" w:color="auto"/>
            <w:bottom w:val="none" w:sz="0" w:space="0" w:color="auto"/>
            <w:right w:val="none" w:sz="0" w:space="0" w:color="auto"/>
          </w:divBdr>
        </w:div>
        <w:div w:id="32537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europarl.europa.eu/doceo/document/TA-9-2021-0050_EN.html" TargetMode="External"/><Relationship Id="rId2" Type="http://schemas.openxmlformats.org/officeDocument/2006/relationships/hyperlink" Target="https://www.ilo.org/dyn/normlex/en/f?p=NORMLEXPUB:12100:0::NO::P12100_INSTRUMENT_ID:312535" TargetMode="External"/><Relationship Id="rId1" Type="http://schemas.openxmlformats.org/officeDocument/2006/relationships/hyperlink" Target="https://www.ilo.org/dyn/normlex/en/f?p=1000:11200:0::NO:11200:P11200_COUNTRY_ID:10286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F4E25-937D-4BAF-888B-9A72EA53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11259</Words>
  <Characters>6419</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2020-02-20T08:08:00Z</dcterms:created>
  <dcterms:modified xsi:type="dcterms:W3CDTF">2021-04-19T10:07:00Z</dcterms:modified>
</cp:coreProperties>
</file>