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44E3" w:rsidRPr="00C0654D" w:rsidRDefault="00E444E3" w:rsidP="00E444E3">
      <w:pPr>
        <w:shd w:val="clear" w:color="auto" w:fill="FFFFFF"/>
        <w:spacing w:after="0" w:line="240" w:lineRule="auto"/>
        <w:ind w:left="4536"/>
        <w:jc w:val="both"/>
        <w:rPr>
          <w:rFonts w:ascii="Times New Roman" w:hAnsi="Times New Roman" w:cs="Times New Roman"/>
          <w:b/>
          <w:bCs/>
          <w:sz w:val="28"/>
          <w:szCs w:val="28"/>
        </w:rPr>
      </w:pPr>
    </w:p>
    <w:p w:rsidR="00E444E3" w:rsidRPr="00C0654D" w:rsidRDefault="00E444E3" w:rsidP="00E444E3">
      <w:pPr>
        <w:shd w:val="clear" w:color="auto" w:fill="FFFFFF"/>
        <w:spacing w:after="0" w:line="240" w:lineRule="auto"/>
        <w:ind w:left="3969"/>
        <w:jc w:val="both"/>
        <w:rPr>
          <w:rFonts w:ascii="Times New Roman" w:hAnsi="Times New Roman" w:cs="Times New Roman"/>
          <w:b/>
          <w:bCs/>
          <w:sz w:val="28"/>
          <w:szCs w:val="28"/>
        </w:rPr>
      </w:pPr>
      <w:r w:rsidRPr="00C0654D">
        <w:rPr>
          <w:rFonts w:ascii="Times New Roman" w:hAnsi="Times New Roman" w:cs="Times New Roman"/>
          <w:b/>
          <w:bCs/>
          <w:sz w:val="28"/>
          <w:szCs w:val="28"/>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E444E3" w:rsidRPr="00C0654D" w:rsidRDefault="00E444E3" w:rsidP="00E444E3">
      <w:pPr>
        <w:shd w:val="clear" w:color="auto" w:fill="FFFFFF"/>
        <w:spacing w:after="0" w:line="240" w:lineRule="auto"/>
        <w:ind w:left="5103"/>
        <w:jc w:val="both"/>
        <w:rPr>
          <w:rFonts w:ascii="Times New Roman" w:hAnsi="Times New Roman" w:cs="Times New Roman"/>
          <w:b/>
          <w:bCs/>
          <w:sz w:val="28"/>
          <w:szCs w:val="28"/>
        </w:rPr>
      </w:pPr>
    </w:p>
    <w:p w:rsidR="00E444E3" w:rsidRPr="00C0654D" w:rsidRDefault="00E444E3" w:rsidP="00E444E3">
      <w:pPr>
        <w:shd w:val="clear" w:color="auto" w:fill="FFFFFF"/>
        <w:spacing w:after="0" w:line="240" w:lineRule="auto"/>
        <w:jc w:val="both"/>
        <w:rPr>
          <w:rFonts w:ascii="Times New Roman" w:hAnsi="Times New Roman" w:cs="Times New Roman"/>
          <w:bCs/>
          <w:i/>
          <w:sz w:val="28"/>
          <w:szCs w:val="28"/>
        </w:rPr>
      </w:pPr>
      <w:r w:rsidRPr="00C0654D">
        <w:rPr>
          <w:rFonts w:ascii="Times New Roman" w:hAnsi="Times New Roman" w:cs="Times New Roman"/>
          <w:bCs/>
          <w:i/>
          <w:sz w:val="28"/>
          <w:szCs w:val="28"/>
        </w:rPr>
        <w:t>Про розгляд законопроекту</w:t>
      </w:r>
    </w:p>
    <w:p w:rsidR="00E444E3" w:rsidRPr="00C0654D" w:rsidRDefault="00E444E3" w:rsidP="00E444E3">
      <w:pPr>
        <w:spacing w:after="120" w:line="240" w:lineRule="auto"/>
        <w:rPr>
          <w:rFonts w:ascii="Times New Roman" w:eastAsia="Times New Roman" w:hAnsi="Times New Roman" w:cs="Times New Roman"/>
          <w:bCs/>
          <w:i/>
          <w:sz w:val="28"/>
          <w:szCs w:val="28"/>
          <w:lang w:eastAsia="ru-RU"/>
        </w:rPr>
      </w:pPr>
      <w:r w:rsidRPr="00C0654D">
        <w:rPr>
          <w:rFonts w:ascii="Times New Roman" w:eastAsia="Times New Roman" w:hAnsi="Times New Roman" w:cs="Times New Roman"/>
          <w:bCs/>
          <w:i/>
          <w:sz w:val="28"/>
          <w:szCs w:val="28"/>
          <w:lang w:eastAsia="ru-RU"/>
        </w:rPr>
        <w:t xml:space="preserve">за реєстр. № </w:t>
      </w:r>
      <w:r w:rsidR="009B552E" w:rsidRPr="00C0654D">
        <w:rPr>
          <w:rFonts w:ascii="Times New Roman" w:eastAsia="Times New Roman" w:hAnsi="Times New Roman" w:cs="Times New Roman"/>
          <w:bCs/>
          <w:i/>
          <w:sz w:val="28"/>
          <w:szCs w:val="28"/>
          <w:lang w:eastAsia="ru-RU"/>
        </w:rPr>
        <w:t>5071</w:t>
      </w:r>
    </w:p>
    <w:p w:rsidR="00E444E3" w:rsidRPr="00C0654D" w:rsidRDefault="00E444E3" w:rsidP="00C0654D">
      <w:pPr>
        <w:spacing w:after="0" w:line="240" w:lineRule="auto"/>
        <w:ind w:firstLine="709"/>
        <w:jc w:val="both"/>
        <w:rPr>
          <w:rFonts w:ascii="Times New Roman" w:eastAsia="Times New Roman" w:hAnsi="Times New Roman" w:cs="Times New Roman"/>
          <w:sz w:val="28"/>
          <w:szCs w:val="28"/>
          <w:lang w:eastAsia="ru-RU"/>
        </w:rPr>
      </w:pPr>
    </w:p>
    <w:p w:rsidR="00E444E3" w:rsidRPr="00C0654D" w:rsidRDefault="00E444E3" w:rsidP="00C0654D">
      <w:pPr>
        <w:spacing w:after="0" w:line="240" w:lineRule="auto"/>
        <w:ind w:firstLine="709"/>
        <w:jc w:val="both"/>
        <w:rPr>
          <w:rFonts w:ascii="Times New Roman" w:eastAsia="Times New Roman" w:hAnsi="Times New Roman" w:cs="Times New Roman"/>
          <w:sz w:val="28"/>
          <w:szCs w:val="28"/>
          <w:lang w:eastAsia="ru-RU"/>
        </w:rPr>
      </w:pPr>
      <w:r w:rsidRPr="00C0654D">
        <w:rPr>
          <w:rFonts w:ascii="Times New Roman" w:eastAsia="Times New Roman" w:hAnsi="Times New Roman" w:cs="Times New Roman"/>
          <w:sz w:val="28"/>
          <w:szCs w:val="28"/>
          <w:lang w:eastAsia="ru-RU"/>
        </w:rPr>
        <w:t>Комітет Верховної Ради України з питань бюджету на засіданні 19 травня</w:t>
      </w:r>
      <w:r w:rsidR="00E30CF8">
        <w:rPr>
          <w:rFonts w:ascii="Times New Roman" w:eastAsia="Times New Roman" w:hAnsi="Times New Roman" w:cs="Times New Roman"/>
          <w:sz w:val="28"/>
          <w:szCs w:val="28"/>
          <w:lang w:eastAsia="ru-RU"/>
        </w:rPr>
        <w:t> 2021 року (протокол № 88</w:t>
      </w:r>
      <w:bookmarkStart w:id="0" w:name="_GoBack"/>
      <w:bookmarkEnd w:id="0"/>
      <w:r w:rsidRPr="00C0654D">
        <w:rPr>
          <w:rFonts w:ascii="Times New Roman" w:eastAsia="Times New Roman" w:hAnsi="Times New Roman" w:cs="Times New Roman"/>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9B552E" w:rsidRPr="00C0654D">
        <w:rPr>
          <w:rFonts w:ascii="Times New Roman" w:eastAsia="Times New Roman" w:hAnsi="Times New Roman" w:cs="Times New Roman"/>
          <w:sz w:val="28"/>
          <w:szCs w:val="28"/>
          <w:lang w:eastAsia="ru-RU"/>
        </w:rPr>
        <w:t>п</w:t>
      </w:r>
      <w:r w:rsidR="009B552E" w:rsidRPr="00C0654D">
        <w:rPr>
          <w:rFonts w:ascii="Times New Roman" w:eastAsia="Times New Roman" w:hAnsi="Times New Roman" w:cs="Times New Roman"/>
          <w:sz w:val="28"/>
          <w:szCs w:val="28"/>
        </w:rPr>
        <w:t xml:space="preserve">ро внесення змін до </w:t>
      </w:r>
      <w:r w:rsidR="009B552E" w:rsidRPr="00C0654D">
        <w:rPr>
          <w:rFonts w:ascii="Times New Roman" w:hAnsi="Times New Roman" w:cs="Times New Roman"/>
          <w:sz w:val="28"/>
          <w:szCs w:val="28"/>
        </w:rPr>
        <w:t xml:space="preserve">деяких </w:t>
      </w:r>
      <w:r w:rsidR="009B552E" w:rsidRPr="00C0654D">
        <w:rPr>
          <w:rFonts w:ascii="Times New Roman" w:hAnsi="Times New Roman" w:cs="Times New Roman"/>
          <w:iCs/>
          <w:sz w:val="28"/>
          <w:szCs w:val="28"/>
        </w:rPr>
        <w:t>законодавчих актів України</w:t>
      </w:r>
      <w:r w:rsidR="009B552E" w:rsidRPr="00C0654D">
        <w:rPr>
          <w:rFonts w:ascii="Times New Roman" w:hAnsi="Times New Roman" w:cs="Times New Roman"/>
          <w:i/>
          <w:iCs/>
          <w:sz w:val="28"/>
          <w:szCs w:val="28"/>
        </w:rPr>
        <w:t xml:space="preserve"> </w:t>
      </w:r>
      <w:r w:rsidR="009B552E" w:rsidRPr="00C0654D">
        <w:rPr>
          <w:rFonts w:ascii="Times New Roman" w:hAnsi="Times New Roman" w:cs="Times New Roman"/>
          <w:sz w:val="28"/>
          <w:szCs w:val="28"/>
        </w:rPr>
        <w:t>щодо удосконалення містобудівної діяльності та реформування державного архітектурно-будівельного контролю та нагляду</w:t>
      </w:r>
      <w:r w:rsidR="009B552E" w:rsidRPr="00C0654D">
        <w:rPr>
          <w:rFonts w:ascii="Times New Roman" w:eastAsia="Times New Roman" w:hAnsi="Times New Roman" w:cs="Times New Roman"/>
          <w:sz w:val="28"/>
          <w:szCs w:val="28"/>
          <w:lang w:eastAsia="ru-RU"/>
        </w:rPr>
        <w:t xml:space="preserve"> (реєстр. № 5071</w:t>
      </w:r>
      <w:r w:rsidR="00FF747C" w:rsidRPr="00C0654D">
        <w:rPr>
          <w:rFonts w:ascii="Times New Roman" w:eastAsia="Times New Roman" w:hAnsi="Times New Roman" w:cs="Times New Roman"/>
          <w:sz w:val="28"/>
          <w:szCs w:val="28"/>
          <w:lang w:eastAsia="ru-RU"/>
        </w:rPr>
        <w:t>)</w:t>
      </w:r>
      <w:r w:rsidR="009B552E" w:rsidRPr="00C0654D">
        <w:rPr>
          <w:rFonts w:ascii="Times New Roman" w:eastAsia="Times New Roman" w:hAnsi="Times New Roman" w:cs="Times New Roman"/>
          <w:sz w:val="28"/>
          <w:szCs w:val="28"/>
          <w:lang w:eastAsia="ru-RU"/>
        </w:rPr>
        <w:t xml:space="preserve">, поданий народним депутатом України </w:t>
      </w:r>
      <w:proofErr w:type="spellStart"/>
      <w:r w:rsidR="009B552E" w:rsidRPr="00C0654D">
        <w:rPr>
          <w:rFonts w:ascii="Times New Roman" w:eastAsia="Times New Roman" w:hAnsi="Times New Roman" w:cs="Times New Roman"/>
          <w:sz w:val="28"/>
          <w:szCs w:val="28"/>
          <w:lang w:eastAsia="ru-RU"/>
        </w:rPr>
        <w:t>Дундою</w:t>
      </w:r>
      <w:proofErr w:type="spellEnd"/>
      <w:r w:rsidR="009B552E" w:rsidRPr="00C0654D">
        <w:rPr>
          <w:rFonts w:ascii="Times New Roman" w:eastAsia="Times New Roman" w:hAnsi="Times New Roman" w:cs="Times New Roman"/>
          <w:sz w:val="28"/>
          <w:szCs w:val="28"/>
          <w:lang w:eastAsia="ru-RU"/>
        </w:rPr>
        <w:t> О.А.</w:t>
      </w:r>
      <w:r w:rsidR="00FF747C" w:rsidRPr="00C0654D">
        <w:rPr>
          <w:rFonts w:ascii="Times New Roman" w:eastAsia="Times New Roman" w:hAnsi="Times New Roman" w:cs="Times New Roman"/>
          <w:sz w:val="28"/>
          <w:szCs w:val="28"/>
          <w:lang w:eastAsia="ru-RU"/>
        </w:rPr>
        <w:t>,</w:t>
      </w:r>
      <w:r w:rsidRPr="00C0654D">
        <w:rPr>
          <w:rFonts w:ascii="Times New Roman" w:eastAsia="Times New Roman" w:hAnsi="Times New Roman" w:cs="Times New Roman"/>
          <w:sz w:val="28"/>
          <w:szCs w:val="28"/>
          <w:lang w:eastAsia="ru-RU"/>
        </w:rPr>
        <w:t xml:space="preserve"> і повідомляє про таке.</w:t>
      </w:r>
    </w:p>
    <w:p w:rsidR="00FF747C" w:rsidRPr="00C0654D" w:rsidRDefault="00FF747C" w:rsidP="00C0654D">
      <w:pPr>
        <w:pStyle w:val="ab"/>
        <w:shd w:val="clear" w:color="auto" w:fill="FFFFFF"/>
        <w:tabs>
          <w:tab w:val="left" w:pos="1418"/>
        </w:tabs>
        <w:spacing w:before="0" w:beforeAutospacing="0" w:after="0" w:afterAutospacing="0"/>
        <w:ind w:firstLine="709"/>
        <w:jc w:val="both"/>
        <w:textAlignment w:val="baseline"/>
        <w:rPr>
          <w:color w:val="212121"/>
          <w:sz w:val="28"/>
          <w:szCs w:val="28"/>
          <w:shd w:val="clear" w:color="auto" w:fill="FFFFFF"/>
        </w:rPr>
      </w:pPr>
      <w:r w:rsidRPr="00C0654D">
        <w:rPr>
          <w:color w:val="000000"/>
          <w:sz w:val="28"/>
          <w:szCs w:val="28"/>
        </w:rPr>
        <w:t>Згідно з пояснювальною запискою у законопроекті шляхом внесення змін до законів України «</w:t>
      </w:r>
      <w:r w:rsidRPr="00C0654D">
        <w:rPr>
          <w:sz w:val="28"/>
          <w:szCs w:val="28"/>
        </w:rPr>
        <w:t xml:space="preserve">Про основи містобудування», «Про місцеве самоврядування», «Про архітектурну діяльність», «Про регулювання містобудівної діяльності», «Про відповідальність за правопорушення у сфері містобудівної діяльності», «Про ліцензування видів господарської діяльності» </w:t>
      </w:r>
      <w:r w:rsidRPr="00C0654D">
        <w:rPr>
          <w:color w:val="000000"/>
          <w:sz w:val="28"/>
          <w:szCs w:val="28"/>
        </w:rPr>
        <w:t>пропонується створити законодавчу основу для продовження реформування системи державного архітектурно-будівельного контролю</w:t>
      </w:r>
      <w:r w:rsidRPr="00C0654D">
        <w:rPr>
          <w:color w:val="2E2E2E"/>
          <w:sz w:val="28"/>
          <w:szCs w:val="28"/>
        </w:rPr>
        <w:t>, удосконалення містобудівної діяльності і посилення відповідальності як для суб’єктів містобудування, так і для посадових осіб. З</w:t>
      </w:r>
      <w:r w:rsidRPr="00C0654D">
        <w:rPr>
          <w:color w:val="212121"/>
          <w:sz w:val="28"/>
          <w:szCs w:val="28"/>
          <w:shd w:val="clear" w:color="auto" w:fill="FFFFFF"/>
        </w:rPr>
        <w:t>аконопроектом, зокрема передбачається:</w:t>
      </w:r>
    </w:p>
    <w:p w:rsidR="00FF747C" w:rsidRPr="00C0654D" w:rsidRDefault="00FF747C" w:rsidP="00C0654D">
      <w:pPr>
        <w:spacing w:after="0" w:line="240" w:lineRule="auto"/>
        <w:ind w:firstLine="709"/>
        <w:jc w:val="both"/>
        <w:rPr>
          <w:rFonts w:ascii="Times New Roman" w:eastAsia="Times New Roman" w:hAnsi="Times New Roman" w:cs="Times New Roman"/>
          <w:sz w:val="28"/>
          <w:szCs w:val="28"/>
        </w:rPr>
      </w:pPr>
      <w:r w:rsidRPr="00C0654D">
        <w:rPr>
          <w:rFonts w:ascii="Times New Roman" w:hAnsi="Times New Roman" w:cs="Times New Roman"/>
          <w:color w:val="212121"/>
          <w:sz w:val="28"/>
          <w:szCs w:val="28"/>
          <w:shd w:val="clear" w:color="auto" w:fill="FFFFFF"/>
        </w:rPr>
        <w:t xml:space="preserve">введення поетапного державного будівельного контролю за процесом будівництва, що здійснюється органами місцевого самоврядування щодо усіх об’єктів, які будуються на відповідних територіях, та державного містобудівного нагляду, що здійснює центральний орган державної влади, який забезпечує </w:t>
      </w:r>
      <w:r w:rsidRPr="00C0654D">
        <w:rPr>
          <w:rFonts w:ascii="Times New Roman" w:eastAsia="Times New Roman" w:hAnsi="Times New Roman" w:cs="Times New Roman"/>
          <w:sz w:val="28"/>
          <w:szCs w:val="28"/>
        </w:rPr>
        <w:t>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FF747C" w:rsidRPr="00C0654D" w:rsidRDefault="00FF747C" w:rsidP="00C0654D">
      <w:pPr>
        <w:spacing w:after="0" w:line="240" w:lineRule="auto"/>
        <w:ind w:firstLine="709"/>
        <w:jc w:val="both"/>
        <w:rPr>
          <w:rFonts w:ascii="Times New Roman" w:hAnsi="Times New Roman" w:cs="Times New Roman"/>
          <w:color w:val="212121"/>
          <w:sz w:val="28"/>
          <w:szCs w:val="28"/>
          <w:shd w:val="clear" w:color="auto" w:fill="FFFFFF"/>
        </w:rPr>
      </w:pPr>
      <w:r w:rsidRPr="00C0654D">
        <w:rPr>
          <w:rFonts w:ascii="Times New Roman" w:hAnsi="Times New Roman" w:cs="Times New Roman"/>
          <w:color w:val="212121"/>
          <w:sz w:val="28"/>
          <w:szCs w:val="28"/>
          <w:shd w:val="clear" w:color="auto" w:fill="FFFFFF"/>
        </w:rPr>
        <w:t xml:space="preserve">розширення кола суб'єктів, що надають сервісні послуги у сфері будівництва за умови їх сертифікації, а також обов'язкове страхування відповідальності таких сертифікованих осіб у сфері містобудування (архітекторів, інженерів-проектувальників, технагляду, експертів і </w:t>
      </w:r>
      <w:proofErr w:type="spellStart"/>
      <w:r w:rsidRPr="00C0654D">
        <w:rPr>
          <w:rFonts w:ascii="Times New Roman" w:hAnsi="Times New Roman" w:cs="Times New Roman"/>
          <w:color w:val="212121"/>
          <w:sz w:val="28"/>
          <w:szCs w:val="28"/>
          <w:shd w:val="clear" w:color="auto" w:fill="FFFFFF"/>
        </w:rPr>
        <w:t>т.д</w:t>
      </w:r>
      <w:proofErr w:type="spellEnd"/>
      <w:r w:rsidRPr="00C0654D">
        <w:rPr>
          <w:rFonts w:ascii="Times New Roman" w:hAnsi="Times New Roman" w:cs="Times New Roman"/>
          <w:color w:val="212121"/>
          <w:sz w:val="28"/>
          <w:szCs w:val="28"/>
          <w:shd w:val="clear" w:color="auto" w:fill="FFFFFF"/>
        </w:rPr>
        <w:t>.);</w:t>
      </w:r>
    </w:p>
    <w:p w:rsidR="00FF747C" w:rsidRPr="00C0654D" w:rsidRDefault="00FF747C" w:rsidP="00C0654D">
      <w:pPr>
        <w:spacing w:after="0" w:line="240" w:lineRule="auto"/>
        <w:ind w:firstLine="709"/>
        <w:jc w:val="both"/>
        <w:rPr>
          <w:rFonts w:ascii="Times New Roman" w:hAnsi="Times New Roman" w:cs="Times New Roman"/>
          <w:color w:val="212121"/>
          <w:sz w:val="28"/>
          <w:szCs w:val="28"/>
          <w:shd w:val="clear" w:color="auto" w:fill="FFFFFF"/>
        </w:rPr>
      </w:pPr>
      <w:r w:rsidRPr="00C0654D">
        <w:rPr>
          <w:rFonts w:ascii="Times New Roman" w:hAnsi="Times New Roman" w:cs="Times New Roman"/>
          <w:color w:val="212121"/>
          <w:sz w:val="28"/>
          <w:szCs w:val="28"/>
          <w:shd w:val="clear" w:color="auto" w:fill="FFFFFF"/>
        </w:rPr>
        <w:lastRenderedPageBreak/>
        <w:t xml:space="preserve">до складу Реєстру будівельної діяльності віднести єдині реєстри: експертних організацій, сертифікованих експертів, інженерів технічного нагляду, інженерів-консультантів, суб’єктів господарської діяльності з будівництва об’єктів, що за класом наслідків (відповідальності) належать до об’єктів з незначними (СС1), середніми (СС2) та значними (СС3) наслідками. </w:t>
      </w:r>
    </w:p>
    <w:p w:rsidR="00FF747C" w:rsidRPr="00C0654D" w:rsidRDefault="00FF747C" w:rsidP="00C0654D">
      <w:pPr>
        <w:spacing w:after="0" w:line="240" w:lineRule="auto"/>
        <w:ind w:firstLine="709"/>
        <w:jc w:val="both"/>
        <w:rPr>
          <w:rFonts w:ascii="Times New Roman" w:hAnsi="Times New Roman" w:cs="Times New Roman"/>
          <w:color w:val="212121"/>
          <w:sz w:val="28"/>
          <w:szCs w:val="28"/>
          <w:shd w:val="clear" w:color="auto" w:fill="FFFFFF"/>
        </w:rPr>
      </w:pPr>
      <w:r w:rsidRPr="00C0654D">
        <w:rPr>
          <w:rFonts w:ascii="Times New Roman" w:hAnsi="Times New Roman" w:cs="Times New Roman"/>
          <w:color w:val="212121"/>
          <w:sz w:val="28"/>
          <w:szCs w:val="28"/>
          <w:shd w:val="clear" w:color="auto" w:fill="FFFFFF"/>
        </w:rPr>
        <w:t>Варто відмітити, що ряд положень законопроекту зумовлюють вплив на показники бюджетів, зокрема:</w:t>
      </w:r>
    </w:p>
    <w:p w:rsidR="00FF747C" w:rsidRPr="00C0654D" w:rsidRDefault="00FF747C" w:rsidP="00C0654D">
      <w:pPr>
        <w:spacing w:after="0" w:line="240" w:lineRule="auto"/>
        <w:ind w:firstLine="709"/>
        <w:jc w:val="both"/>
        <w:rPr>
          <w:rFonts w:ascii="Times New Roman" w:hAnsi="Times New Roman" w:cs="Times New Roman"/>
          <w:sz w:val="28"/>
          <w:szCs w:val="28"/>
        </w:rPr>
      </w:pPr>
      <w:r w:rsidRPr="00C0654D">
        <w:rPr>
          <w:rFonts w:ascii="Times New Roman" w:hAnsi="Times New Roman" w:cs="Times New Roman"/>
          <w:sz w:val="28"/>
          <w:szCs w:val="28"/>
        </w:rPr>
        <w:t>1) змінами до Закону України «Про регулювання містобудівної діяльності» (далі – Закон):</w:t>
      </w:r>
    </w:p>
    <w:p w:rsidR="00FF747C" w:rsidRPr="00C0654D" w:rsidRDefault="00FF747C" w:rsidP="00C0654D">
      <w:pPr>
        <w:spacing w:after="0" w:line="240" w:lineRule="auto"/>
        <w:ind w:firstLine="709"/>
        <w:jc w:val="both"/>
        <w:rPr>
          <w:rFonts w:ascii="Times New Roman" w:hAnsi="Times New Roman" w:cs="Times New Roman"/>
          <w:color w:val="212121"/>
          <w:sz w:val="28"/>
          <w:szCs w:val="28"/>
          <w:shd w:val="clear" w:color="auto" w:fill="FFFFFF"/>
        </w:rPr>
      </w:pPr>
      <w:r w:rsidRPr="00C0654D">
        <w:rPr>
          <w:rFonts w:ascii="Times New Roman" w:hAnsi="Times New Roman" w:cs="Times New Roman"/>
          <w:color w:val="212121"/>
          <w:sz w:val="28"/>
          <w:szCs w:val="28"/>
          <w:shd w:val="clear" w:color="auto" w:fill="FFFFFF"/>
        </w:rPr>
        <w:t xml:space="preserve">– встановлюється, що обласні, Київська та Севастопольська міські державні адміністрації, виконавчі органи сільських, селищних, міських рад утворюють структурні підрозділи з питань містобудування та архітектури, а також Київська та Севастопольська міські державні адміністрації, виконавчі органи сільських, селищних, міських рад – структурні підрозділи з питань державного будівельного контролю. </w:t>
      </w:r>
    </w:p>
    <w:p w:rsidR="00FF747C" w:rsidRPr="00C0654D" w:rsidRDefault="00FF747C" w:rsidP="00C0654D">
      <w:pPr>
        <w:spacing w:after="0" w:line="240" w:lineRule="auto"/>
        <w:ind w:firstLine="709"/>
        <w:jc w:val="both"/>
        <w:rPr>
          <w:rFonts w:ascii="Times New Roman" w:hAnsi="Times New Roman" w:cs="Times New Roman"/>
          <w:color w:val="212121"/>
          <w:sz w:val="28"/>
          <w:szCs w:val="28"/>
          <w:shd w:val="clear" w:color="auto" w:fill="FFFFFF"/>
        </w:rPr>
      </w:pPr>
      <w:r w:rsidRPr="00C0654D">
        <w:rPr>
          <w:rFonts w:ascii="Times New Roman" w:hAnsi="Times New Roman" w:cs="Times New Roman"/>
          <w:color w:val="212121"/>
          <w:sz w:val="28"/>
          <w:szCs w:val="28"/>
          <w:shd w:val="clear" w:color="auto" w:fill="FFFFFF"/>
        </w:rPr>
        <w:t>Зважаючи на положення статті 7 чинної редакції Закону, згідно з якими у разі, якщо сільські, селищні, міські ради не утворили виконавчі органи з питань державного архітектурно-будівельного контролю, повноваження таких органів виконує центральний орган виконавчої влади, що реалізує державну політику з питань державного архітектурно-будівельного контролю та нагляду, через відповідних головних інспекторів будівельного нагляду, реалізація обов’язкової вимоги про утворення структурних підрозділів виконавчих органів сільських, селищних, міських рад може призвести до необхідності збільшення видатків відповідних місцевих бюджетів на забезпечення діяльності таких підрозділів;</w:t>
      </w:r>
    </w:p>
    <w:p w:rsidR="00FF747C" w:rsidRPr="00C0654D" w:rsidRDefault="00FF747C" w:rsidP="00C0654D">
      <w:pPr>
        <w:tabs>
          <w:tab w:val="left" w:pos="870"/>
        </w:tabs>
        <w:spacing w:after="0" w:line="240" w:lineRule="auto"/>
        <w:ind w:firstLine="709"/>
        <w:contextualSpacing/>
        <w:jc w:val="both"/>
        <w:rPr>
          <w:rFonts w:ascii="Times New Roman" w:eastAsia="Times New Roman" w:hAnsi="Times New Roman" w:cs="Times New Roman"/>
          <w:sz w:val="28"/>
          <w:szCs w:val="28"/>
        </w:rPr>
      </w:pPr>
      <w:r w:rsidRPr="00C0654D">
        <w:rPr>
          <w:rFonts w:ascii="Times New Roman" w:hAnsi="Times New Roman" w:cs="Times New Roman"/>
          <w:sz w:val="28"/>
          <w:szCs w:val="28"/>
        </w:rPr>
        <w:t xml:space="preserve">– визначаються умови </w:t>
      </w:r>
      <w:r w:rsidRPr="00C0654D">
        <w:rPr>
          <w:rFonts w:ascii="Times New Roman" w:eastAsia="Times New Roman" w:hAnsi="Times New Roman" w:cs="Times New Roman"/>
          <w:sz w:val="28"/>
          <w:szCs w:val="28"/>
        </w:rPr>
        <w:t>грошового забезпечення посадових осіб відповідного органу державного будівельного контролю, які повинні задовольняти достатні матеріальні умови для належного виконання ними службових обов’язків з урахуванням специфіки, інтенсивності та особливого характеру роботи, забезпечувати добір до цього структурного підрозділу висококваліфікованих кадрів, стимулювати досягнення високих результатів у службовій діяльності, компенсувати фізичні та інтелектуальні затрати працівників. Так, розмір грошового забезпечення має відповідати заробітній платі відповідних категорій посад державної служби (служби в органах місцевого самоврядування), збільшеної на 75 відсотків від посадового окладу.</w:t>
      </w:r>
    </w:p>
    <w:p w:rsidR="00FF747C" w:rsidRPr="00C0654D" w:rsidRDefault="00FF747C" w:rsidP="00C0654D">
      <w:pPr>
        <w:tabs>
          <w:tab w:val="left" w:pos="870"/>
        </w:tabs>
        <w:spacing w:after="0" w:line="240" w:lineRule="auto"/>
        <w:ind w:firstLine="709"/>
        <w:contextualSpacing/>
        <w:jc w:val="both"/>
        <w:rPr>
          <w:rFonts w:ascii="Times New Roman" w:eastAsia="Times New Roman" w:hAnsi="Times New Roman" w:cs="Times New Roman"/>
          <w:sz w:val="28"/>
          <w:szCs w:val="28"/>
        </w:rPr>
      </w:pPr>
      <w:r w:rsidRPr="00C0654D">
        <w:rPr>
          <w:rFonts w:ascii="Times New Roman" w:eastAsia="Times New Roman" w:hAnsi="Times New Roman" w:cs="Times New Roman"/>
          <w:sz w:val="28"/>
          <w:szCs w:val="28"/>
        </w:rPr>
        <w:t>А також обумовлюється розмір грошового забезпечення Головного інспектора державного містобудівного нагляду (один із заступників Міністра) та посадових осіб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який має відповідати заробітній платі відповідних категорій посад державної служби, збільшеної на десять розмірів прожиткового мінімуму, встановленого для працездатних осіб на 1 січня календарного року.</w:t>
      </w:r>
    </w:p>
    <w:p w:rsidR="00FF747C" w:rsidRPr="00C0654D" w:rsidRDefault="00FF747C" w:rsidP="00C0654D">
      <w:pPr>
        <w:pStyle w:val="HTML"/>
        <w:tabs>
          <w:tab w:val="left" w:pos="709"/>
        </w:tabs>
        <w:ind w:firstLine="709"/>
        <w:jc w:val="both"/>
        <w:rPr>
          <w:rFonts w:ascii="Times New Roman" w:hAnsi="Times New Roman" w:cs="Times New Roman"/>
          <w:sz w:val="28"/>
          <w:szCs w:val="28"/>
          <w:lang w:val="uk-UA"/>
        </w:rPr>
      </w:pPr>
      <w:r w:rsidRPr="00C0654D">
        <w:rPr>
          <w:rFonts w:ascii="Times New Roman" w:hAnsi="Times New Roman" w:cs="Times New Roman"/>
          <w:sz w:val="28"/>
          <w:szCs w:val="28"/>
          <w:lang w:val="uk-UA"/>
        </w:rPr>
        <w:lastRenderedPageBreak/>
        <w:t>Впровадження таких положень потребуватиме додаткових коштів з державного та місцевих бюджетів на оплату праці з нарахуваннями працівників відповідних підрозділів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місцевих державних адміністрацій та органів місцевого самоврядування.</w:t>
      </w:r>
    </w:p>
    <w:p w:rsidR="00FF747C" w:rsidRPr="00C0654D" w:rsidRDefault="00FF747C" w:rsidP="00C0654D">
      <w:pPr>
        <w:pStyle w:val="HTML"/>
        <w:tabs>
          <w:tab w:val="left" w:pos="709"/>
        </w:tabs>
        <w:ind w:firstLine="709"/>
        <w:jc w:val="both"/>
        <w:rPr>
          <w:rFonts w:ascii="Times New Roman" w:hAnsi="Times New Roman" w:cs="Times New Roman"/>
          <w:sz w:val="28"/>
          <w:szCs w:val="28"/>
          <w:lang w:val="uk-UA"/>
        </w:rPr>
      </w:pPr>
      <w:r w:rsidRPr="00C0654D">
        <w:rPr>
          <w:rFonts w:ascii="Times New Roman" w:hAnsi="Times New Roman" w:cs="Times New Roman"/>
          <w:sz w:val="28"/>
          <w:szCs w:val="28"/>
          <w:lang w:val="uk-UA"/>
        </w:rPr>
        <w:t>Крім того, за висновком Міністерства фінансів України положення щодо визначення умов оплати праці не є предметом регулювання Закону, тому їх належить виключити із зазначеного законопроекту. Поряд з тим слід узгодити з чинним законодавством терміни, що вживаються у законопроекті, зокрема «грошове забезпечення»;</w:t>
      </w:r>
    </w:p>
    <w:p w:rsidR="00FF747C" w:rsidRPr="00C0654D" w:rsidRDefault="00FF747C" w:rsidP="00C0654D">
      <w:pPr>
        <w:pStyle w:val="HTML"/>
        <w:tabs>
          <w:tab w:val="left" w:pos="709"/>
        </w:tabs>
        <w:ind w:firstLine="709"/>
        <w:jc w:val="both"/>
        <w:rPr>
          <w:rFonts w:ascii="Times New Roman" w:hAnsi="Times New Roman" w:cs="Times New Roman"/>
          <w:sz w:val="28"/>
          <w:szCs w:val="28"/>
          <w:lang w:val="uk-UA"/>
        </w:rPr>
      </w:pPr>
      <w:r w:rsidRPr="00C0654D">
        <w:rPr>
          <w:rFonts w:ascii="Times New Roman" w:hAnsi="Times New Roman" w:cs="Times New Roman"/>
          <w:sz w:val="28"/>
          <w:szCs w:val="28"/>
          <w:lang w:val="uk-UA"/>
        </w:rPr>
        <w:t xml:space="preserve">– передбачається положення про створення єдиного реєстру експертних організацій, єдиного реєстру сертифікованих експертів, єдиного реєстру інженерів технічного нагляду, єдиного реєстру інженерів-консультантів, єдиного реєстру суб’єктів господарської діяльності з будівництва об’єктів, що за класом наслідків (відповідальності) належать до об’єктів з незначними (СС1), середніми (СС2) та значними (СС3) наслідками, як компонентів єдиної державної електронної системи у сфері будівництва, реалізація якого за висновком Головного науково-експертного управління Апарату Верховної Ради України також потребуватиме додаткових видатків з державного бюджету; </w:t>
      </w:r>
    </w:p>
    <w:p w:rsidR="00FF747C" w:rsidRPr="00C0654D" w:rsidRDefault="00FF747C" w:rsidP="00C0654D">
      <w:pPr>
        <w:pStyle w:val="HTML"/>
        <w:tabs>
          <w:tab w:val="left" w:pos="709"/>
        </w:tabs>
        <w:ind w:firstLine="709"/>
        <w:jc w:val="both"/>
        <w:rPr>
          <w:rFonts w:ascii="Times New Roman" w:hAnsi="Times New Roman" w:cs="Times New Roman"/>
          <w:sz w:val="28"/>
          <w:szCs w:val="28"/>
          <w:lang w:val="uk-UA"/>
        </w:rPr>
      </w:pPr>
      <w:r w:rsidRPr="00C0654D">
        <w:rPr>
          <w:rFonts w:ascii="Times New Roman" w:hAnsi="Times New Roman" w:cs="Times New Roman"/>
          <w:sz w:val="28"/>
          <w:szCs w:val="28"/>
          <w:lang w:val="uk-UA"/>
        </w:rPr>
        <w:t xml:space="preserve">2) змінами до Закону України «Про відповідальність за правопорушення у сфері містобудівної діяльності» пропонується </w:t>
      </w:r>
      <w:r w:rsidRPr="00C0654D">
        <w:rPr>
          <w:rFonts w:ascii="Times New Roman" w:hAnsi="Times New Roman" w:cs="Times New Roman"/>
          <w:color w:val="2E2E2E"/>
          <w:sz w:val="28"/>
          <w:szCs w:val="28"/>
          <w:lang w:val="uk-UA"/>
        </w:rPr>
        <w:t>збільшити в десятки разів розміри штрафних санкцій</w:t>
      </w:r>
      <w:r w:rsidRPr="00C0654D">
        <w:rPr>
          <w:rFonts w:ascii="Times New Roman" w:hAnsi="Times New Roman" w:cs="Times New Roman"/>
          <w:sz w:val="28"/>
          <w:szCs w:val="28"/>
          <w:lang w:val="uk-UA"/>
        </w:rPr>
        <w:t xml:space="preserve"> та встановити нові штрафи за правопорушення у сфері містобудівної діяльності</w:t>
      </w:r>
      <w:r w:rsidRPr="00C0654D">
        <w:rPr>
          <w:rFonts w:ascii="Times New Roman" w:hAnsi="Times New Roman" w:cs="Times New Roman"/>
          <w:color w:val="2E2E2E"/>
          <w:sz w:val="28"/>
          <w:szCs w:val="28"/>
          <w:lang w:val="uk-UA"/>
        </w:rPr>
        <w:t xml:space="preserve"> /максимальний розмір штрафу перевищуватиме 29</w:t>
      </w:r>
      <w:r w:rsidRPr="00C0654D">
        <w:rPr>
          <w:rFonts w:ascii="Times New Roman" w:hAnsi="Times New Roman" w:cs="Times New Roman"/>
          <w:color w:val="2E2E2E"/>
          <w:sz w:val="28"/>
          <w:szCs w:val="28"/>
        </w:rPr>
        <w:t> </w:t>
      </w:r>
      <w:r w:rsidRPr="00C0654D">
        <w:rPr>
          <w:rFonts w:ascii="Times New Roman" w:hAnsi="Times New Roman" w:cs="Times New Roman"/>
          <w:color w:val="2E2E2E"/>
          <w:sz w:val="28"/>
          <w:szCs w:val="28"/>
          <w:lang w:val="uk-UA"/>
        </w:rPr>
        <w:t>510 000 грн.</w:t>
      </w:r>
      <w:r w:rsidRPr="00C0654D">
        <w:rPr>
          <w:rFonts w:ascii="Times New Roman" w:hAnsi="Times New Roman" w:cs="Times New Roman"/>
          <w:sz w:val="28"/>
          <w:szCs w:val="28"/>
          <w:lang w:val="uk-UA"/>
        </w:rPr>
        <w:t xml:space="preserve">/, що у разі виявлення відповідних правопорушень та застосування штрафних санкцій може призвести до збільшення доходів державного та місцевих бюджетів від надходження штрафів. </w:t>
      </w:r>
    </w:p>
    <w:p w:rsidR="00FF747C" w:rsidRPr="00C0654D" w:rsidRDefault="00FF747C" w:rsidP="00C0654D">
      <w:pPr>
        <w:pStyle w:val="HTML"/>
        <w:tabs>
          <w:tab w:val="left" w:pos="709"/>
        </w:tabs>
        <w:ind w:firstLine="709"/>
        <w:jc w:val="both"/>
        <w:rPr>
          <w:rFonts w:ascii="Times New Roman" w:hAnsi="Times New Roman" w:cs="Times New Roman"/>
          <w:sz w:val="28"/>
          <w:szCs w:val="28"/>
          <w:lang w:val="uk-UA"/>
        </w:rPr>
      </w:pPr>
      <w:r w:rsidRPr="00C0654D">
        <w:rPr>
          <w:rFonts w:ascii="Times New Roman" w:hAnsi="Times New Roman" w:cs="Times New Roman"/>
          <w:sz w:val="28"/>
          <w:szCs w:val="28"/>
          <w:lang w:val="uk-UA"/>
        </w:rPr>
        <w:t>Міністерство фінансів України у експертному висновку до законопроекту також зазначає про вплив його положень на дохідну та видаткову частину бюджетів, зауважуючи, що відсутність фінансово-економічних розрахунків до законопроекту унеможливила визначення вартісної величини такого впливу на показники державного та місцевих бюджетів.</w:t>
      </w:r>
    </w:p>
    <w:p w:rsidR="00FF747C" w:rsidRPr="00C0654D" w:rsidRDefault="00FF747C" w:rsidP="00C0654D">
      <w:pPr>
        <w:spacing w:after="0" w:line="240" w:lineRule="auto"/>
        <w:ind w:firstLine="709"/>
        <w:jc w:val="both"/>
        <w:rPr>
          <w:rFonts w:ascii="Times New Roman" w:hAnsi="Times New Roman" w:cs="Times New Roman"/>
          <w:sz w:val="28"/>
          <w:szCs w:val="28"/>
        </w:rPr>
      </w:pPr>
      <w:r w:rsidRPr="00C0654D">
        <w:rPr>
          <w:rFonts w:ascii="Times New Roman" w:hAnsi="Times New Roman" w:cs="Times New Roman"/>
          <w:sz w:val="28"/>
          <w:szCs w:val="28"/>
        </w:rPr>
        <w:t>Відтак, суб’єктом права законодавчої ініціативи в порушення вимог частини першої статті 27 Бюджетного кодексу України та частини третьої статті 91 Регламенту Верховної Ради України,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бюджетів, про що також зауважує Головне науково-експертне управління Апарату Верховної Ради України. Натомість у пояснювальній записці зазначається, що законопроект не потребує додаткових видатків з державного бюджету.</w:t>
      </w:r>
    </w:p>
    <w:p w:rsidR="00FF747C" w:rsidRPr="00C0654D" w:rsidRDefault="00FF747C" w:rsidP="00C0654D">
      <w:pPr>
        <w:spacing w:after="0" w:line="240" w:lineRule="auto"/>
        <w:ind w:firstLine="709"/>
        <w:jc w:val="both"/>
        <w:rPr>
          <w:rFonts w:ascii="Times New Roman" w:hAnsi="Times New Roman" w:cs="Times New Roman"/>
          <w:color w:val="000000"/>
          <w:spacing w:val="1"/>
          <w:sz w:val="28"/>
          <w:szCs w:val="28"/>
        </w:rPr>
      </w:pPr>
      <w:r w:rsidRPr="00C0654D">
        <w:rPr>
          <w:rFonts w:ascii="Times New Roman" w:hAnsi="Times New Roman" w:cs="Times New Roman"/>
          <w:color w:val="000000"/>
          <w:spacing w:val="1"/>
          <w:sz w:val="28"/>
          <w:szCs w:val="28"/>
        </w:rPr>
        <w:t>З урахуванням наведеного термін набрання чинності законом, визначений у законопроекті, не відповідає частині третій статті 27 Бюджетного кодексу України, що встановлює вимоги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FF747C" w:rsidRPr="00C0654D" w:rsidRDefault="00E444E3" w:rsidP="00C0654D">
      <w:pPr>
        <w:spacing w:after="0" w:line="240" w:lineRule="auto"/>
        <w:ind w:firstLine="709"/>
        <w:jc w:val="both"/>
        <w:rPr>
          <w:rFonts w:ascii="Times New Roman" w:eastAsia="Times New Roman" w:hAnsi="Times New Roman" w:cs="Times New Roman"/>
          <w:sz w:val="28"/>
          <w:szCs w:val="28"/>
          <w:lang w:eastAsia="ru-RU"/>
        </w:rPr>
      </w:pPr>
      <w:r w:rsidRPr="00C0654D">
        <w:rPr>
          <w:rFonts w:ascii="Times New Roman" w:eastAsia="Times New Roman" w:hAnsi="Times New Roman" w:cs="Times New Roman"/>
          <w:sz w:val="28"/>
          <w:szCs w:val="28"/>
          <w:lang w:eastAsia="ru-RU"/>
        </w:rPr>
        <w:t>За підсумками розгляду Комітет ухвалив рішення, що законопроект (реєстр. № 5</w:t>
      </w:r>
      <w:r w:rsidR="00FF747C" w:rsidRPr="00C0654D">
        <w:rPr>
          <w:rFonts w:ascii="Times New Roman" w:eastAsia="Times New Roman" w:hAnsi="Times New Roman" w:cs="Times New Roman"/>
          <w:sz w:val="28"/>
          <w:szCs w:val="28"/>
          <w:lang w:eastAsia="ru-RU"/>
        </w:rPr>
        <w:t>071</w:t>
      </w:r>
      <w:r w:rsidRPr="00C0654D">
        <w:rPr>
          <w:rFonts w:ascii="Times New Roman" w:eastAsia="Times New Roman" w:hAnsi="Times New Roman" w:cs="Times New Roman"/>
          <w:sz w:val="28"/>
          <w:szCs w:val="28"/>
          <w:lang w:eastAsia="ru-RU"/>
        </w:rPr>
        <w:t xml:space="preserve">), </w:t>
      </w:r>
      <w:r w:rsidR="00FF747C" w:rsidRPr="00C0654D">
        <w:rPr>
          <w:rFonts w:ascii="Times New Roman" w:eastAsia="Times New Roman" w:hAnsi="Times New Roman" w:cs="Times New Roman"/>
          <w:sz w:val="28"/>
          <w:szCs w:val="28"/>
          <w:lang w:eastAsia="ru-RU"/>
        </w:rPr>
        <w:t xml:space="preserve">поданий народним депутатом України </w:t>
      </w:r>
      <w:proofErr w:type="spellStart"/>
      <w:r w:rsidR="00FF747C" w:rsidRPr="00C0654D">
        <w:rPr>
          <w:rFonts w:ascii="Times New Roman" w:eastAsia="Times New Roman" w:hAnsi="Times New Roman" w:cs="Times New Roman"/>
          <w:sz w:val="28"/>
          <w:szCs w:val="28"/>
          <w:lang w:eastAsia="ru-RU"/>
        </w:rPr>
        <w:t>Дундою</w:t>
      </w:r>
      <w:proofErr w:type="spellEnd"/>
      <w:r w:rsidR="00FF747C" w:rsidRPr="00C0654D">
        <w:rPr>
          <w:rFonts w:ascii="Times New Roman" w:eastAsia="Times New Roman" w:hAnsi="Times New Roman" w:cs="Times New Roman"/>
          <w:sz w:val="28"/>
          <w:szCs w:val="28"/>
          <w:lang w:eastAsia="ru-RU"/>
        </w:rPr>
        <w:t> О.А., має вплив на показники бюджетів (призведе до збільшення видатків державного та місцевих бюджетів, а також до збільшення їх доходів залежно від виявлених правопорушень</w:t>
      </w:r>
      <w:r w:rsidR="00FF747C" w:rsidRPr="00C0654D">
        <w:rPr>
          <w:rFonts w:ascii="Times New Roman" w:eastAsia="Times New Roman" w:hAnsi="Times New Roman" w:cs="Times New Roman"/>
          <w:spacing w:val="-2"/>
          <w:sz w:val="28"/>
          <w:szCs w:val="28"/>
          <w:lang w:eastAsia="ru-RU"/>
        </w:rPr>
        <w:t>).</w:t>
      </w:r>
      <w:r w:rsidR="00FF747C" w:rsidRPr="00C0654D">
        <w:rPr>
          <w:rFonts w:ascii="Times New Roman" w:eastAsia="Times New Roman" w:hAnsi="Times New Roman" w:cs="Times New Roman"/>
          <w:sz w:val="28"/>
          <w:szCs w:val="28"/>
          <w:lang w:eastAsia="ru-RU"/>
        </w:rPr>
        <w:t xml:space="preserve">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E444E3" w:rsidRPr="00C0654D" w:rsidRDefault="00E444E3" w:rsidP="00FF747C">
      <w:pPr>
        <w:spacing w:after="0" w:line="240" w:lineRule="auto"/>
        <w:ind w:firstLine="709"/>
        <w:jc w:val="both"/>
        <w:rPr>
          <w:rFonts w:ascii="Times New Roman" w:hAnsi="Times New Roman" w:cs="Times New Roman"/>
          <w:b/>
          <w:sz w:val="28"/>
          <w:szCs w:val="28"/>
        </w:rPr>
      </w:pPr>
    </w:p>
    <w:p w:rsidR="00E444E3" w:rsidRPr="00C0654D" w:rsidRDefault="00E444E3" w:rsidP="00E444E3">
      <w:pPr>
        <w:spacing w:after="0" w:line="240" w:lineRule="auto"/>
        <w:jc w:val="both"/>
        <w:rPr>
          <w:rFonts w:ascii="Times New Roman" w:hAnsi="Times New Roman" w:cs="Times New Roman"/>
          <w:sz w:val="28"/>
          <w:szCs w:val="28"/>
        </w:rPr>
      </w:pPr>
      <w:r w:rsidRPr="00C0654D">
        <w:rPr>
          <w:rFonts w:ascii="Times New Roman" w:hAnsi="Times New Roman" w:cs="Times New Roman"/>
          <w:b/>
          <w:sz w:val="28"/>
          <w:szCs w:val="28"/>
        </w:rPr>
        <w:t xml:space="preserve">Голова Комітету </w:t>
      </w:r>
      <w:r w:rsidRPr="00C0654D">
        <w:rPr>
          <w:rFonts w:ascii="Times New Roman" w:hAnsi="Times New Roman" w:cs="Times New Roman"/>
          <w:b/>
          <w:sz w:val="28"/>
          <w:szCs w:val="28"/>
        </w:rPr>
        <w:tab/>
      </w:r>
      <w:r w:rsidRPr="00C0654D">
        <w:rPr>
          <w:rFonts w:ascii="Times New Roman" w:hAnsi="Times New Roman" w:cs="Times New Roman"/>
          <w:b/>
          <w:sz w:val="28"/>
          <w:szCs w:val="28"/>
        </w:rPr>
        <w:tab/>
      </w:r>
      <w:r w:rsidRPr="00C0654D">
        <w:rPr>
          <w:rFonts w:ascii="Times New Roman" w:hAnsi="Times New Roman" w:cs="Times New Roman"/>
          <w:b/>
          <w:color w:val="FF0000"/>
          <w:sz w:val="28"/>
          <w:szCs w:val="28"/>
        </w:rPr>
        <w:tab/>
      </w:r>
      <w:r w:rsidRPr="00C0654D">
        <w:rPr>
          <w:rFonts w:ascii="Times New Roman" w:hAnsi="Times New Roman" w:cs="Times New Roman"/>
          <w:b/>
          <w:color w:val="FF0000"/>
          <w:sz w:val="28"/>
          <w:szCs w:val="28"/>
        </w:rPr>
        <w:tab/>
      </w:r>
      <w:r w:rsidRPr="00C0654D">
        <w:rPr>
          <w:rFonts w:ascii="Times New Roman" w:hAnsi="Times New Roman" w:cs="Times New Roman"/>
          <w:b/>
          <w:color w:val="FF0000"/>
          <w:sz w:val="28"/>
          <w:szCs w:val="28"/>
        </w:rPr>
        <w:tab/>
      </w:r>
      <w:r w:rsidRPr="00C0654D">
        <w:rPr>
          <w:rFonts w:ascii="Times New Roman" w:hAnsi="Times New Roman" w:cs="Times New Roman"/>
          <w:b/>
          <w:sz w:val="28"/>
          <w:szCs w:val="28"/>
        </w:rPr>
        <w:tab/>
      </w:r>
      <w:r w:rsidRPr="00C0654D">
        <w:rPr>
          <w:rFonts w:ascii="Times New Roman" w:hAnsi="Times New Roman" w:cs="Times New Roman"/>
          <w:b/>
          <w:sz w:val="28"/>
          <w:szCs w:val="28"/>
        </w:rPr>
        <w:tab/>
      </w:r>
      <w:proofErr w:type="spellStart"/>
      <w:r w:rsidRPr="00C0654D">
        <w:rPr>
          <w:rFonts w:ascii="Times New Roman" w:hAnsi="Times New Roman" w:cs="Times New Roman"/>
          <w:b/>
          <w:sz w:val="28"/>
          <w:szCs w:val="28"/>
        </w:rPr>
        <w:t>Ю.Арістов</w:t>
      </w:r>
      <w:proofErr w:type="spellEnd"/>
    </w:p>
    <w:p w:rsidR="00E444E3" w:rsidRPr="00C0654D" w:rsidRDefault="00E444E3" w:rsidP="00E444E3">
      <w:pPr>
        <w:spacing w:after="0" w:line="240" w:lineRule="auto"/>
        <w:jc w:val="both"/>
        <w:rPr>
          <w:rFonts w:ascii="Times New Roman" w:hAnsi="Times New Roman" w:cs="Times New Roman"/>
          <w:sz w:val="28"/>
          <w:szCs w:val="28"/>
        </w:rPr>
      </w:pPr>
    </w:p>
    <w:p w:rsidR="00E444E3" w:rsidRPr="00C0654D" w:rsidRDefault="00E444E3" w:rsidP="00E444E3">
      <w:pPr>
        <w:spacing w:after="0" w:line="240" w:lineRule="auto"/>
        <w:jc w:val="both"/>
        <w:rPr>
          <w:rFonts w:ascii="Times New Roman" w:hAnsi="Times New Roman" w:cs="Times New Roman"/>
          <w:sz w:val="28"/>
          <w:szCs w:val="28"/>
        </w:rPr>
      </w:pPr>
    </w:p>
    <w:p w:rsidR="00E444E3" w:rsidRPr="00C0654D" w:rsidRDefault="00E444E3" w:rsidP="00E444E3">
      <w:pPr>
        <w:spacing w:after="0" w:line="240" w:lineRule="auto"/>
        <w:jc w:val="both"/>
        <w:rPr>
          <w:rFonts w:ascii="Times New Roman" w:hAnsi="Times New Roman" w:cs="Times New Roman"/>
          <w:sz w:val="28"/>
          <w:szCs w:val="28"/>
        </w:rPr>
      </w:pPr>
    </w:p>
    <w:p w:rsidR="00E444E3" w:rsidRPr="00C0654D" w:rsidRDefault="00E444E3" w:rsidP="00E444E3">
      <w:pPr>
        <w:spacing w:after="0" w:line="240" w:lineRule="auto"/>
        <w:jc w:val="both"/>
        <w:rPr>
          <w:rFonts w:ascii="Times New Roman" w:hAnsi="Times New Roman" w:cs="Times New Roman"/>
        </w:rPr>
      </w:pPr>
      <w:proofErr w:type="spellStart"/>
      <w:r w:rsidRPr="00C0654D">
        <w:rPr>
          <w:rFonts w:ascii="Times New Roman" w:hAnsi="Times New Roman" w:cs="Times New Roman"/>
        </w:rPr>
        <w:t>Вик.Расчислова</w:t>
      </w:r>
      <w:proofErr w:type="spellEnd"/>
      <w:r w:rsidRPr="00C0654D">
        <w:rPr>
          <w:rFonts w:ascii="Times New Roman" w:hAnsi="Times New Roman" w:cs="Times New Roman"/>
        </w:rPr>
        <w:t xml:space="preserve"> Л.В.</w:t>
      </w:r>
    </w:p>
    <w:p w:rsidR="00E444E3" w:rsidRPr="00C0654D" w:rsidRDefault="00E444E3" w:rsidP="00E444E3">
      <w:pPr>
        <w:spacing w:after="0" w:line="240" w:lineRule="auto"/>
        <w:jc w:val="both"/>
        <w:rPr>
          <w:rFonts w:ascii="Times New Roman" w:hAnsi="Times New Roman" w:cs="Times New Roman"/>
        </w:rPr>
      </w:pPr>
      <w:r w:rsidRPr="00C0654D">
        <w:rPr>
          <w:rFonts w:ascii="Times New Roman" w:hAnsi="Times New Roman" w:cs="Times New Roman"/>
        </w:rPr>
        <w:t>255-41-14</w:t>
      </w:r>
    </w:p>
    <w:p w:rsidR="0011215D" w:rsidRPr="00C0654D" w:rsidRDefault="0011215D">
      <w:pPr>
        <w:rPr>
          <w:rFonts w:ascii="Times New Roman" w:hAnsi="Times New Roman" w:cs="Times New Roman"/>
        </w:rPr>
      </w:pPr>
    </w:p>
    <w:sectPr w:rsidR="0011215D" w:rsidRPr="00C0654D" w:rsidSect="00C0654D">
      <w:headerReference w:type="default" r:id="rId6"/>
      <w:headerReference w:type="first" r:id="rId7"/>
      <w:footerReference w:type="first" r:id="rId8"/>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54D" w:rsidRDefault="00C0654D" w:rsidP="00C0654D">
      <w:pPr>
        <w:spacing w:after="0" w:line="240" w:lineRule="auto"/>
      </w:pPr>
      <w:r>
        <w:separator/>
      </w:r>
    </w:p>
  </w:endnote>
  <w:endnote w:type="continuationSeparator" w:id="0">
    <w:p w:rsidR="00C0654D" w:rsidRDefault="00C0654D" w:rsidP="00C06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Bahnschrift Light"/>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30CF8">
        <w:pPr>
          <w:pStyle w:val="a5"/>
          <w:jc w:val="center"/>
        </w:pPr>
      </w:p>
    </w:sdtContent>
  </w:sdt>
  <w:p w:rsidR="00A7635E" w:rsidRDefault="00E30CF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54D" w:rsidRDefault="00C0654D" w:rsidP="00C0654D">
      <w:pPr>
        <w:spacing w:after="0" w:line="240" w:lineRule="auto"/>
      </w:pPr>
      <w:r>
        <w:separator/>
      </w:r>
    </w:p>
  </w:footnote>
  <w:footnote w:type="continuationSeparator" w:id="0">
    <w:p w:rsidR="00C0654D" w:rsidRDefault="00C0654D" w:rsidP="00C06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7506910"/>
      <w:docPartObj>
        <w:docPartGallery w:val="Page Numbers (Top of Page)"/>
        <w:docPartUnique/>
      </w:docPartObj>
    </w:sdtPr>
    <w:sdtEndPr/>
    <w:sdtContent>
      <w:p w:rsidR="00C0654D" w:rsidRDefault="00C0654D">
        <w:pPr>
          <w:pStyle w:val="a3"/>
          <w:jc w:val="center"/>
        </w:pPr>
        <w:r>
          <w:fldChar w:fldCharType="begin"/>
        </w:r>
        <w:r>
          <w:instrText>PAGE   \* MERGEFORMAT</w:instrText>
        </w:r>
        <w:r>
          <w:fldChar w:fldCharType="separate"/>
        </w:r>
        <w:r w:rsidR="00E30CF8">
          <w:rPr>
            <w:noProof/>
          </w:rPr>
          <w:t>4</w:t>
        </w:r>
        <w:r>
          <w:fldChar w:fldCharType="end"/>
        </w:r>
      </w:p>
    </w:sdtContent>
  </w:sdt>
  <w:p w:rsidR="00CE6A4B" w:rsidRDefault="00E30CF8" w:rsidP="00AD7F82">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E30CF8" w:rsidP="00AD7F82">
          <w:pPr>
            <w:pStyle w:val="a3"/>
            <w:rPr>
              <w:rFonts w:ascii="Times New Roman" w:hAnsi="Times New Roman"/>
              <w:color w:val="002060"/>
              <w:sz w:val="32"/>
              <w:szCs w:val="32"/>
            </w:rPr>
          </w:pPr>
        </w:p>
        <w:p w:rsidR="00CE6A4B" w:rsidRPr="00AD7F82" w:rsidRDefault="00E30CF8" w:rsidP="00AD7F82">
          <w:pPr>
            <w:pStyle w:val="a3"/>
            <w:rPr>
              <w:rFonts w:ascii="Times New Roman" w:hAnsi="Times New Roman"/>
              <w:color w:val="002060"/>
              <w:sz w:val="32"/>
              <w:szCs w:val="32"/>
            </w:rPr>
          </w:pPr>
        </w:p>
        <w:p w:rsidR="00CE6A4B" w:rsidRPr="00AD7F82" w:rsidRDefault="00E30CF8" w:rsidP="00AD7F82">
          <w:pPr>
            <w:pStyle w:val="a3"/>
            <w:rPr>
              <w:rFonts w:ascii="Times New Roman" w:hAnsi="Times New Roman"/>
              <w:color w:val="002060"/>
              <w:sz w:val="32"/>
              <w:szCs w:val="32"/>
            </w:rPr>
          </w:pPr>
        </w:p>
        <w:p w:rsidR="00CE6A4B" w:rsidRPr="0021032F" w:rsidRDefault="00C0654D" w:rsidP="0021032F">
          <w:pPr>
            <w:pStyle w:val="a3"/>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59264" behindDoc="0" locked="0" layoutInCell="1" allowOverlap="1" wp14:anchorId="15368C79" wp14:editId="68B7A943">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rPr>
            <w:t>ВЕРХОВНА РАДА УКРАЇНИ</w:t>
          </w:r>
        </w:p>
        <w:p w:rsidR="00CE6A4B" w:rsidRPr="008D7BBE" w:rsidRDefault="00C0654D" w:rsidP="00CA7044">
          <w:pPr>
            <w:pStyle w:val="a3"/>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Pr>
              <w:rFonts w:ascii="Times New Roman" w:hAnsi="Times New Roman"/>
              <w:b/>
              <w:color w:val="1829A8"/>
              <w:spacing w:val="20"/>
              <w:sz w:val="24"/>
              <w:szCs w:val="24"/>
            </w:rPr>
            <w:t xml:space="preserve"> бюджету</w:t>
          </w:r>
        </w:p>
        <w:p w:rsidR="00C27AE9" w:rsidRPr="007B31A3" w:rsidRDefault="00C0654D" w:rsidP="00C434B6">
          <w:pPr>
            <w:pStyle w:val="a3"/>
            <w:spacing w:before="160" w:after="6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w:t>
          </w:r>
          <w:r>
            <w:rPr>
              <w:rFonts w:ascii="Times New Roman" w:hAnsi="Times New Roman"/>
              <w:color w:val="1829A8"/>
              <w:sz w:val="20"/>
              <w:szCs w:val="20"/>
            </w:rPr>
            <w:t xml:space="preserve">, </w:t>
          </w:r>
          <w:proofErr w:type="spellStart"/>
          <w:r>
            <w:rPr>
              <w:rFonts w:ascii="Times New Roman" w:hAnsi="Times New Roman"/>
              <w:color w:val="1829A8"/>
              <w:sz w:val="20"/>
              <w:szCs w:val="20"/>
            </w:rPr>
            <w:t>тел</w:t>
          </w:r>
          <w:proofErr w:type="spellEnd"/>
          <w:r>
            <w:rPr>
              <w:rFonts w:ascii="Times New Roman" w:hAnsi="Times New Roman"/>
              <w:color w:val="1829A8"/>
              <w:sz w:val="20"/>
              <w:szCs w:val="20"/>
            </w:rPr>
            <w:t>.: 255-40-29,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E30CF8" w:rsidP="00811821">
          <w:pPr>
            <w:pStyle w:val="a3"/>
            <w:rPr>
              <w:rFonts w:ascii="Times New Roman" w:hAnsi="Times New Roman"/>
              <w:color w:val="002060"/>
              <w:lang w:val="uk-UA"/>
            </w:rPr>
          </w:pPr>
        </w:p>
      </w:tc>
      <w:tc>
        <w:tcPr>
          <w:tcW w:w="9714" w:type="dxa"/>
        </w:tcPr>
        <w:p w:rsidR="00811821" w:rsidRPr="00053776" w:rsidRDefault="00E30CF8" w:rsidP="00811821">
          <w:pPr>
            <w:pStyle w:val="a3"/>
            <w:rPr>
              <w:rFonts w:ascii="Times New Roman" w:hAnsi="Times New Roman"/>
              <w:color w:val="002060"/>
              <w:lang w:val="uk-UA"/>
            </w:rPr>
          </w:pPr>
        </w:p>
      </w:tc>
      <w:tc>
        <w:tcPr>
          <w:tcW w:w="1086" w:type="dxa"/>
          <w:tcBorders>
            <w:top w:val="nil"/>
          </w:tcBorders>
        </w:tcPr>
        <w:p w:rsidR="00811821" w:rsidRPr="00053776" w:rsidRDefault="00E30CF8" w:rsidP="00811821">
          <w:pPr>
            <w:pStyle w:val="a3"/>
            <w:rPr>
              <w:rFonts w:ascii="Times New Roman" w:hAnsi="Times New Roman"/>
              <w:color w:val="002060"/>
              <w:lang w:val="uk-UA"/>
            </w:rPr>
          </w:pPr>
        </w:p>
      </w:tc>
    </w:tr>
  </w:tbl>
  <w:p w:rsidR="00F91DD3" w:rsidRPr="004F7B8A" w:rsidRDefault="00E30CF8" w:rsidP="004F7B8A">
    <w:pPr>
      <w:pStyle w:val="a3"/>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4E3"/>
    <w:rsid w:val="0011215D"/>
    <w:rsid w:val="009B552E"/>
    <w:rsid w:val="00C0654D"/>
    <w:rsid w:val="00E30CF8"/>
    <w:rsid w:val="00E444E3"/>
    <w:rsid w:val="00FF74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220DB"/>
  <w15:chartTrackingRefBased/>
  <w15:docId w15:val="{9E7CF395-2A56-4586-B0C4-745D10382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44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444E3"/>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444E3"/>
  </w:style>
  <w:style w:type="paragraph" w:styleId="a5">
    <w:name w:val="footer"/>
    <w:basedOn w:val="a"/>
    <w:link w:val="a6"/>
    <w:uiPriority w:val="99"/>
    <w:semiHidden/>
    <w:unhideWhenUsed/>
    <w:rsid w:val="00E444E3"/>
    <w:pPr>
      <w:tabs>
        <w:tab w:val="center" w:pos="4819"/>
        <w:tab w:val="right" w:pos="9639"/>
      </w:tabs>
      <w:spacing w:after="0" w:line="240" w:lineRule="auto"/>
    </w:pPr>
  </w:style>
  <w:style w:type="character" w:customStyle="1" w:styleId="a6">
    <w:name w:val="Нижній колонтитул Знак"/>
    <w:basedOn w:val="a0"/>
    <w:link w:val="a5"/>
    <w:uiPriority w:val="99"/>
    <w:semiHidden/>
    <w:rsid w:val="00E444E3"/>
  </w:style>
  <w:style w:type="table" w:styleId="a7">
    <w:name w:val="Table Grid"/>
    <w:basedOn w:val="a1"/>
    <w:uiPriority w:val="99"/>
    <w:rsid w:val="00E444E3"/>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Назва документа"/>
    <w:basedOn w:val="a"/>
    <w:next w:val="a"/>
    <w:uiPriority w:val="99"/>
    <w:rsid w:val="00E444E3"/>
    <w:pPr>
      <w:keepNext/>
      <w:keepLines/>
      <w:spacing w:before="360" w:after="360" w:line="240" w:lineRule="auto"/>
      <w:jc w:val="center"/>
    </w:pPr>
    <w:rPr>
      <w:rFonts w:ascii="Antiqua" w:eastAsia="Times New Roman" w:hAnsi="Antiqua" w:cs="Times New Roman"/>
      <w:b/>
      <w:sz w:val="26"/>
      <w:szCs w:val="20"/>
      <w:lang w:eastAsia="ru-RU"/>
    </w:rPr>
  </w:style>
  <w:style w:type="paragraph" w:styleId="2">
    <w:name w:val="Body Text 2"/>
    <w:basedOn w:val="a"/>
    <w:link w:val="20"/>
    <w:uiPriority w:val="99"/>
    <w:unhideWhenUsed/>
    <w:rsid w:val="00E444E3"/>
    <w:pPr>
      <w:spacing w:after="120" w:line="480" w:lineRule="auto"/>
    </w:pPr>
    <w:rPr>
      <w:rFonts w:ascii="Times New Roman" w:hAnsi="Times New Roman"/>
      <w:sz w:val="28"/>
      <w:lang w:val="ru-RU"/>
    </w:rPr>
  </w:style>
  <w:style w:type="character" w:customStyle="1" w:styleId="20">
    <w:name w:val="Основний текст 2 Знак"/>
    <w:basedOn w:val="a0"/>
    <w:link w:val="2"/>
    <w:uiPriority w:val="99"/>
    <w:rsid w:val="00E444E3"/>
    <w:rPr>
      <w:rFonts w:ascii="Times New Roman" w:hAnsi="Times New Roman"/>
      <w:sz w:val="28"/>
      <w:lang w:val="ru-RU"/>
    </w:rPr>
  </w:style>
  <w:style w:type="paragraph" w:styleId="a9">
    <w:name w:val="Body Text"/>
    <w:basedOn w:val="a"/>
    <w:link w:val="aa"/>
    <w:uiPriority w:val="99"/>
    <w:unhideWhenUsed/>
    <w:rsid w:val="00E444E3"/>
    <w:pPr>
      <w:spacing w:after="120" w:line="254" w:lineRule="auto"/>
    </w:pPr>
    <w:rPr>
      <w:rFonts w:ascii="Times New Roman" w:hAnsi="Times New Roman"/>
      <w:sz w:val="28"/>
      <w:lang w:val="ru-RU"/>
    </w:rPr>
  </w:style>
  <w:style w:type="character" w:customStyle="1" w:styleId="aa">
    <w:name w:val="Основний текст Знак"/>
    <w:basedOn w:val="a0"/>
    <w:link w:val="a9"/>
    <w:uiPriority w:val="99"/>
    <w:rsid w:val="00E444E3"/>
    <w:rPr>
      <w:rFonts w:ascii="Times New Roman" w:hAnsi="Times New Roman"/>
      <w:sz w:val="28"/>
      <w:lang w:val="ru-RU"/>
    </w:rPr>
  </w:style>
  <w:style w:type="paragraph" w:styleId="HTML">
    <w:name w:val="HTML Preformatted"/>
    <w:basedOn w:val="a"/>
    <w:link w:val="HTML0"/>
    <w:uiPriority w:val="99"/>
    <w:rsid w:val="00FF74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FF747C"/>
    <w:rPr>
      <w:rFonts w:ascii="Courier New" w:eastAsia="Times New Roman" w:hAnsi="Courier New" w:cs="Courier New"/>
      <w:sz w:val="20"/>
      <w:szCs w:val="20"/>
      <w:lang w:val="ru-RU" w:eastAsia="ru-RU"/>
    </w:rPr>
  </w:style>
  <w:style w:type="paragraph" w:styleId="ab">
    <w:name w:val="Normal (Web)"/>
    <w:basedOn w:val="a"/>
    <w:unhideWhenUsed/>
    <w:rsid w:val="00FF747C"/>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5604</Words>
  <Characters>3195</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Василівна Расчислова</dc:creator>
  <cp:keywords/>
  <dc:description/>
  <cp:lastModifiedBy>Людмила Василівна Расчислова</cp:lastModifiedBy>
  <cp:revision>3</cp:revision>
  <cp:lastPrinted>2021-05-17T09:55:00Z</cp:lastPrinted>
  <dcterms:created xsi:type="dcterms:W3CDTF">2021-05-17T09:29:00Z</dcterms:created>
  <dcterms:modified xsi:type="dcterms:W3CDTF">2021-05-19T14:30:00Z</dcterms:modified>
</cp:coreProperties>
</file>