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40D6" w:rsidRPr="00C163CE" w:rsidRDefault="009A40D6" w:rsidP="009A40D6"/>
    <w:p w:rsidR="009A40D6" w:rsidRPr="00C163CE" w:rsidRDefault="009A40D6" w:rsidP="009A40D6">
      <w:pPr>
        <w:spacing w:after="0" w:line="240" w:lineRule="auto"/>
        <w:ind w:left="5664" w:firstLine="708"/>
        <w:jc w:val="center"/>
        <w:rPr>
          <w:rFonts w:ascii="Times New Roman" w:eastAsia="Times" w:hAnsi="Times New Roman"/>
          <w:bCs/>
          <w:sz w:val="20"/>
          <w:szCs w:val="20"/>
          <w:lang w:eastAsia="uk-UA"/>
        </w:rPr>
      </w:pPr>
      <w:r w:rsidRPr="00C163CE">
        <w:rPr>
          <w:rFonts w:ascii="Times New Roman" w:eastAsia="Times" w:hAnsi="Times New Roman"/>
          <w:b/>
          <w:bCs/>
          <w:sz w:val="24"/>
          <w:szCs w:val="24"/>
          <w:lang w:eastAsia="uk-UA"/>
        </w:rPr>
        <w:t xml:space="preserve">     </w:t>
      </w:r>
      <w:r w:rsidRPr="00C163CE">
        <w:rPr>
          <w:rFonts w:ascii="Times New Roman" w:eastAsia="Times" w:hAnsi="Times New Roman"/>
          <w:bCs/>
          <w:sz w:val="20"/>
          <w:szCs w:val="20"/>
          <w:lang w:eastAsia="uk-UA"/>
        </w:rPr>
        <w:t>До реєстр. № 5099</w:t>
      </w:r>
    </w:p>
    <w:p w:rsidR="009A40D6" w:rsidRPr="00C163CE" w:rsidRDefault="009A40D6" w:rsidP="009A40D6">
      <w:pPr>
        <w:spacing w:after="0" w:line="240" w:lineRule="auto"/>
        <w:jc w:val="center"/>
        <w:rPr>
          <w:rFonts w:ascii="Times New Roman" w:eastAsia="Times" w:hAnsi="Times New Roman"/>
          <w:b/>
          <w:bCs/>
          <w:vanish/>
          <w:sz w:val="20"/>
          <w:szCs w:val="20"/>
          <w:lang w:eastAsia="uk-UA"/>
          <w:specVanish/>
        </w:rPr>
      </w:pPr>
      <w:r w:rsidRPr="00C163CE">
        <w:rPr>
          <w:rFonts w:ascii="Times New Roman" w:eastAsia="Times" w:hAnsi="Times New Roman"/>
          <w:b/>
          <w:bCs/>
          <w:sz w:val="20"/>
          <w:szCs w:val="20"/>
          <w:lang w:eastAsia="uk-UA"/>
        </w:rPr>
        <w:tab/>
      </w:r>
      <w:r w:rsidRPr="00C163CE">
        <w:rPr>
          <w:rFonts w:ascii="Times New Roman" w:eastAsia="Times" w:hAnsi="Times New Roman"/>
          <w:b/>
          <w:bCs/>
          <w:sz w:val="20"/>
          <w:szCs w:val="20"/>
          <w:lang w:eastAsia="uk-UA"/>
        </w:rPr>
        <w:tab/>
      </w:r>
      <w:r w:rsidRPr="00C163CE">
        <w:rPr>
          <w:rFonts w:ascii="Times New Roman" w:eastAsia="Times" w:hAnsi="Times New Roman"/>
          <w:b/>
          <w:bCs/>
          <w:sz w:val="20"/>
          <w:szCs w:val="20"/>
          <w:lang w:eastAsia="uk-UA"/>
        </w:rPr>
        <w:tab/>
      </w:r>
      <w:r w:rsidRPr="00C163CE">
        <w:rPr>
          <w:rFonts w:ascii="Times New Roman" w:eastAsia="Times" w:hAnsi="Times New Roman"/>
          <w:b/>
          <w:bCs/>
          <w:sz w:val="20"/>
          <w:szCs w:val="20"/>
          <w:lang w:eastAsia="uk-UA"/>
        </w:rPr>
        <w:tab/>
      </w:r>
      <w:r w:rsidRPr="00C163CE">
        <w:rPr>
          <w:rFonts w:ascii="Times New Roman" w:eastAsia="Times" w:hAnsi="Times New Roman"/>
          <w:b/>
          <w:bCs/>
          <w:sz w:val="20"/>
          <w:szCs w:val="20"/>
          <w:lang w:eastAsia="uk-UA"/>
        </w:rPr>
        <w:tab/>
      </w:r>
      <w:r w:rsidRPr="00C163CE">
        <w:rPr>
          <w:rFonts w:ascii="Times New Roman" w:eastAsia="Times" w:hAnsi="Times New Roman"/>
          <w:b/>
          <w:bCs/>
          <w:sz w:val="20"/>
          <w:szCs w:val="20"/>
          <w:lang w:eastAsia="uk-UA"/>
        </w:rPr>
        <w:tab/>
      </w:r>
      <w:r w:rsidRPr="00C163CE">
        <w:rPr>
          <w:rFonts w:ascii="Times New Roman" w:eastAsia="Times" w:hAnsi="Times New Roman"/>
          <w:b/>
          <w:bCs/>
          <w:sz w:val="20"/>
          <w:szCs w:val="20"/>
          <w:lang w:eastAsia="uk-UA"/>
        </w:rPr>
        <w:tab/>
      </w:r>
      <w:r w:rsidRPr="00C163CE">
        <w:rPr>
          <w:rFonts w:ascii="Times New Roman" w:eastAsia="Times" w:hAnsi="Times New Roman"/>
          <w:b/>
          <w:bCs/>
          <w:sz w:val="20"/>
          <w:szCs w:val="20"/>
          <w:lang w:eastAsia="uk-UA"/>
        </w:rPr>
        <w:tab/>
      </w:r>
      <w:r w:rsidRPr="00C163CE">
        <w:rPr>
          <w:rFonts w:ascii="Times New Roman" w:eastAsia="Times" w:hAnsi="Times New Roman"/>
          <w:b/>
          <w:bCs/>
          <w:sz w:val="20"/>
          <w:szCs w:val="20"/>
          <w:lang w:eastAsia="uk-UA"/>
        </w:rPr>
        <w:tab/>
        <w:t xml:space="preserve">    </w:t>
      </w:r>
    </w:p>
    <w:p w:rsidR="009A40D6" w:rsidRPr="00C163CE" w:rsidRDefault="009A40D6" w:rsidP="009A40D6">
      <w:pPr>
        <w:spacing w:after="0" w:line="240" w:lineRule="auto"/>
        <w:jc w:val="center"/>
        <w:rPr>
          <w:rFonts w:ascii="Times New Roman" w:eastAsia="Times" w:hAnsi="Times New Roman"/>
          <w:bCs/>
          <w:sz w:val="20"/>
          <w:szCs w:val="20"/>
          <w:lang w:eastAsia="uk-UA"/>
        </w:rPr>
      </w:pPr>
      <w:r w:rsidRPr="00C163CE">
        <w:rPr>
          <w:rFonts w:ascii="Times New Roman" w:eastAsia="Times" w:hAnsi="Times New Roman"/>
          <w:bCs/>
          <w:sz w:val="20"/>
          <w:szCs w:val="20"/>
          <w:lang w:eastAsia="uk-UA"/>
        </w:rPr>
        <w:t>(друге читання)</w:t>
      </w:r>
    </w:p>
    <w:p w:rsidR="009A40D6" w:rsidRPr="00C163CE" w:rsidRDefault="009A40D6" w:rsidP="009A40D6">
      <w:pPr>
        <w:spacing w:after="0" w:line="240" w:lineRule="auto"/>
        <w:ind w:left="7080"/>
        <w:jc w:val="both"/>
        <w:rPr>
          <w:rFonts w:ascii="Times New Roman" w:eastAsia="Times New Roman" w:hAnsi="Times New Roman"/>
          <w:b/>
          <w:sz w:val="28"/>
          <w:szCs w:val="28"/>
          <w:lang w:eastAsia="ru-RU"/>
        </w:rPr>
      </w:pPr>
    </w:p>
    <w:p w:rsidR="009A40D6" w:rsidRPr="00C163CE" w:rsidRDefault="009A40D6" w:rsidP="009A40D6">
      <w:pPr>
        <w:spacing w:after="0" w:line="240" w:lineRule="auto"/>
        <w:jc w:val="center"/>
        <w:rPr>
          <w:rFonts w:ascii="Times New Roman" w:eastAsia="Times New Roman" w:hAnsi="Times New Roman"/>
          <w:b/>
          <w:caps/>
          <w:sz w:val="28"/>
          <w:szCs w:val="28"/>
          <w:lang w:eastAsia="ru-RU"/>
        </w:rPr>
      </w:pPr>
    </w:p>
    <w:p w:rsidR="009A40D6" w:rsidRPr="00C163CE" w:rsidRDefault="009A40D6" w:rsidP="009A40D6">
      <w:pPr>
        <w:spacing w:after="0" w:line="240" w:lineRule="auto"/>
        <w:jc w:val="center"/>
        <w:rPr>
          <w:rFonts w:ascii="Times New Roman" w:hAnsi="Times New Roman"/>
          <w:b/>
          <w:sz w:val="28"/>
          <w:szCs w:val="28"/>
        </w:rPr>
      </w:pPr>
      <w:r w:rsidRPr="00C163CE">
        <w:rPr>
          <w:rFonts w:ascii="Times New Roman" w:hAnsi="Times New Roman"/>
          <w:b/>
          <w:sz w:val="28"/>
          <w:szCs w:val="28"/>
        </w:rPr>
        <w:t>ЗАУВАЖЕННЯ</w:t>
      </w:r>
    </w:p>
    <w:p w:rsidR="009A40D6" w:rsidRPr="00C163CE" w:rsidRDefault="009A40D6" w:rsidP="009A40D6">
      <w:pPr>
        <w:spacing w:after="0" w:line="240" w:lineRule="auto"/>
        <w:jc w:val="center"/>
        <w:rPr>
          <w:rFonts w:ascii="Times New Roman" w:eastAsia="Times New Roman" w:hAnsi="Times New Roman"/>
          <w:b/>
          <w:sz w:val="28"/>
          <w:szCs w:val="28"/>
          <w:lang w:eastAsia="ru-RU"/>
        </w:rPr>
      </w:pPr>
      <w:r w:rsidRPr="00C163CE">
        <w:rPr>
          <w:rFonts w:ascii="Times New Roman" w:eastAsia="Times New Roman" w:hAnsi="Times New Roman"/>
          <w:b/>
          <w:sz w:val="28"/>
          <w:szCs w:val="28"/>
          <w:lang w:eastAsia="ru-RU"/>
        </w:rPr>
        <w:t>до проекту Закону України "Про антидопінгову діяльність у спорті"</w:t>
      </w:r>
    </w:p>
    <w:p w:rsidR="009A40D6" w:rsidRPr="00C163CE" w:rsidRDefault="009A40D6" w:rsidP="009A40D6">
      <w:pPr>
        <w:rPr>
          <w:rFonts w:ascii="Times New Roman" w:hAnsi="Times New Roman"/>
          <w:sz w:val="28"/>
          <w:szCs w:val="28"/>
        </w:rPr>
      </w:pP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У Головному юридичному управлінні здійснено юридичну експертизу підготовленого до другого читання Комітетом</w:t>
      </w:r>
      <w:r w:rsidRPr="00C163CE">
        <w:rPr>
          <w:rFonts w:ascii="Times New Roman" w:eastAsia="Times New Roman" w:hAnsi="Times New Roman"/>
          <w:sz w:val="28"/>
          <w:szCs w:val="28"/>
          <w:lang w:eastAsia="ru-RU"/>
        </w:rPr>
        <w:t xml:space="preserve"> Верховної Ради України з питань молоді та спорту проекту</w:t>
      </w:r>
      <w:r w:rsidRPr="00C163CE">
        <w:rPr>
          <w:rFonts w:ascii="Times New Roman" w:hAnsi="Times New Roman"/>
          <w:sz w:val="28"/>
          <w:szCs w:val="28"/>
        </w:rPr>
        <w:t xml:space="preserve"> </w:t>
      </w:r>
      <w:r w:rsidRPr="00C163CE">
        <w:rPr>
          <w:rFonts w:ascii="Times New Roman" w:hAnsi="Times New Roman"/>
          <w:sz w:val="28"/>
          <w:szCs w:val="28"/>
          <w:lang w:eastAsia="ru-RU"/>
        </w:rPr>
        <w:t xml:space="preserve">Закону України </w:t>
      </w:r>
      <w:r w:rsidRPr="00C163CE">
        <w:rPr>
          <w:rFonts w:ascii="Times New Roman" w:hAnsi="Times New Roman"/>
          <w:sz w:val="28"/>
          <w:szCs w:val="28"/>
        </w:rPr>
        <w:t>п</w:t>
      </w:r>
      <w:r w:rsidRPr="00C163CE">
        <w:rPr>
          <w:rFonts w:ascii="Times New Roman" w:eastAsia="Times New Roman" w:hAnsi="Times New Roman"/>
          <w:sz w:val="28"/>
          <w:szCs w:val="28"/>
          <w:lang w:eastAsia="ru-RU"/>
        </w:rPr>
        <w:t>ро антидопінгову діяльність у спорті</w:t>
      </w:r>
      <w:r w:rsidRPr="00C163CE">
        <w:rPr>
          <w:rFonts w:ascii="Times New Roman" w:hAnsi="Times New Roman"/>
          <w:sz w:val="28"/>
          <w:szCs w:val="28"/>
        </w:rPr>
        <w:t xml:space="preserve"> (далі – законопроект) та за наслідками експертизи зазначаємо про те, що окремі його положення не відповідають Конституції, не узгоджуються із законами України та не враховують правову позицію Конституційного Суду України.</w:t>
      </w:r>
    </w:p>
    <w:p w:rsidR="009A40D6" w:rsidRPr="00C163CE" w:rsidRDefault="009A40D6" w:rsidP="009A40D6">
      <w:pPr>
        <w:spacing w:after="120" w:line="240" w:lineRule="auto"/>
        <w:ind w:firstLine="709"/>
        <w:jc w:val="both"/>
        <w:rPr>
          <w:rFonts w:ascii="Times New Roman" w:hAnsi="Times New Roman"/>
          <w:sz w:val="28"/>
          <w:szCs w:val="28"/>
        </w:rPr>
      </w:pPr>
    </w:p>
    <w:p w:rsidR="009A40D6" w:rsidRPr="00C163CE" w:rsidRDefault="009A40D6" w:rsidP="009A40D6">
      <w:pPr>
        <w:spacing w:after="120" w:line="240" w:lineRule="auto"/>
        <w:ind w:firstLine="709"/>
        <w:jc w:val="both"/>
        <w:rPr>
          <w:rFonts w:ascii="Consolas" w:hAnsi="Consolas" w:cstheme="minorBidi"/>
          <w:shd w:val="clear" w:color="auto" w:fill="FFFFFF"/>
        </w:rPr>
      </w:pPr>
      <w:r w:rsidRPr="00C163CE">
        <w:rPr>
          <w:rFonts w:ascii="Times New Roman" w:hAnsi="Times New Roman"/>
          <w:sz w:val="28"/>
          <w:szCs w:val="28"/>
        </w:rPr>
        <w:t xml:space="preserve">1. Насамперед </w:t>
      </w:r>
      <w:r w:rsidR="00AD3E0F">
        <w:rPr>
          <w:rFonts w:ascii="Times New Roman" w:hAnsi="Times New Roman"/>
          <w:sz w:val="28"/>
          <w:szCs w:val="28"/>
        </w:rPr>
        <w:t>слід зауважити</w:t>
      </w:r>
      <w:r w:rsidRPr="00C163CE">
        <w:rPr>
          <w:rFonts w:ascii="Times New Roman" w:hAnsi="Times New Roman"/>
          <w:sz w:val="28"/>
          <w:szCs w:val="28"/>
        </w:rPr>
        <w:t xml:space="preserve">, що відповідно до статті 4 Міжнародної конвенції про боротьбу з допінгом у спорті, ратифікованої Законом України від 03.08.2006 № 68-V «Про ратифікацію Міжнародної конвенції про боротьбу з допінгом у спорті» (далі – Конвенція), </w:t>
      </w:r>
      <w:r w:rsidRPr="00C163CE">
        <w:rPr>
          <w:rFonts w:ascii="Times New Roman" w:hAnsi="Times New Roman"/>
          <w:sz w:val="28"/>
          <w:szCs w:val="28"/>
          <w:u w:val="single"/>
        </w:rPr>
        <w:t>доповнення</w:t>
      </w:r>
      <w:r w:rsidRPr="00C163CE">
        <w:rPr>
          <w:rFonts w:ascii="Times New Roman" w:hAnsi="Times New Roman"/>
          <w:sz w:val="28"/>
          <w:szCs w:val="28"/>
        </w:rPr>
        <w:t xml:space="preserve"> до Конвенції є невід’ємною частиною цієї Конвенції.</w:t>
      </w:r>
      <w:r w:rsidR="00AD3E0F">
        <w:rPr>
          <w:rFonts w:ascii="Times New Roman" w:hAnsi="Times New Roman"/>
          <w:sz w:val="28"/>
          <w:szCs w:val="28"/>
        </w:rPr>
        <w:t xml:space="preserve"> Відповідно до тексту Конвенції</w:t>
      </w:r>
      <w:r w:rsidRPr="00C163CE">
        <w:rPr>
          <w:rFonts w:ascii="Times New Roman" w:hAnsi="Times New Roman"/>
          <w:sz w:val="28"/>
          <w:szCs w:val="28"/>
        </w:rPr>
        <w:t xml:space="preserve"> доповненнями до неї є «Заборонений список – Міжнародний стандарт» та «</w:t>
      </w:r>
      <w:r w:rsidRPr="00C163CE">
        <w:rPr>
          <w:rFonts w:ascii="Times New Roman" w:hAnsi="Times New Roman"/>
          <w:sz w:val="28"/>
          <w:szCs w:val="28"/>
          <w:shd w:val="clear" w:color="auto" w:fill="FFFFFF"/>
        </w:rPr>
        <w:t xml:space="preserve">Стандарти для терапевтичного використання  заборонених речовин». </w:t>
      </w:r>
      <w:r w:rsidR="00AD3E0F">
        <w:rPr>
          <w:rFonts w:ascii="Times New Roman" w:hAnsi="Times New Roman"/>
          <w:sz w:val="28"/>
          <w:szCs w:val="28"/>
        </w:rPr>
        <w:t>Проте</w:t>
      </w:r>
      <w:r w:rsidRPr="00C163CE">
        <w:rPr>
          <w:rFonts w:ascii="Times New Roman" w:hAnsi="Times New Roman"/>
          <w:sz w:val="28"/>
          <w:szCs w:val="28"/>
        </w:rPr>
        <w:t xml:space="preserve"> відповідно до положень цієї ж статті </w:t>
      </w:r>
      <w:r w:rsidRPr="00C163CE">
        <w:rPr>
          <w:rFonts w:ascii="Times New Roman" w:hAnsi="Times New Roman"/>
          <w:sz w:val="28"/>
          <w:szCs w:val="28"/>
          <w:u w:val="single"/>
        </w:rPr>
        <w:t>додатки</w:t>
      </w:r>
      <w:r w:rsidRPr="00C163CE">
        <w:rPr>
          <w:rFonts w:ascii="Times New Roman" w:hAnsi="Times New Roman"/>
          <w:sz w:val="28"/>
          <w:szCs w:val="28"/>
        </w:rPr>
        <w:t xml:space="preserve"> до Конвенції </w:t>
      </w:r>
      <w:r w:rsidRPr="00C163CE">
        <w:rPr>
          <w:rFonts w:ascii="Times New Roman" w:hAnsi="Times New Roman"/>
          <w:sz w:val="28"/>
          <w:szCs w:val="28"/>
          <w:u w:val="single"/>
        </w:rPr>
        <w:t>наводяться для інформативних цілей</w:t>
      </w:r>
      <w:r w:rsidRPr="00C163CE">
        <w:rPr>
          <w:rFonts w:ascii="Times New Roman" w:hAnsi="Times New Roman"/>
          <w:sz w:val="28"/>
          <w:szCs w:val="28"/>
        </w:rPr>
        <w:t xml:space="preserve"> </w:t>
      </w:r>
      <w:r w:rsidRPr="00C163CE">
        <w:rPr>
          <w:rFonts w:ascii="Times New Roman" w:hAnsi="Times New Roman"/>
          <w:sz w:val="28"/>
          <w:szCs w:val="28"/>
          <w:shd w:val="clear" w:color="auto" w:fill="FFFFFF"/>
        </w:rPr>
        <w:t xml:space="preserve">як такі, що </w:t>
      </w:r>
      <w:r w:rsidRPr="00C163CE">
        <w:rPr>
          <w:rFonts w:ascii="Times New Roman" w:hAnsi="Times New Roman"/>
          <w:sz w:val="28"/>
          <w:szCs w:val="28"/>
          <w:u w:val="single"/>
          <w:shd w:val="clear" w:color="auto" w:fill="FFFFFF"/>
        </w:rPr>
        <w:t>не встановлюють для держав-учасниць будь-яких міжнародно-правових зобов'язань</w:t>
      </w:r>
      <w:r w:rsidRPr="00C163CE">
        <w:rPr>
          <w:rFonts w:ascii="Times New Roman" w:hAnsi="Times New Roman"/>
          <w:sz w:val="28"/>
          <w:szCs w:val="28"/>
          <w:shd w:val="clear" w:color="auto" w:fill="FFFFFF"/>
        </w:rPr>
        <w:t xml:space="preserve"> та не є невід'ємними частинами цієї Конвенції. Додатками до Конвенції є Всесвітній антидопінговий кодекс, Міжнародні стандарти для лабораторій та Міжнародні стандарти для тестування. Разом з тим, стаття 4 Конвенції передбачає зобов’язання держав-учасниць дотримуватися </w:t>
      </w:r>
      <w:r w:rsidRPr="00C163CE">
        <w:rPr>
          <w:rFonts w:ascii="Times New Roman" w:hAnsi="Times New Roman"/>
          <w:sz w:val="28"/>
          <w:szCs w:val="28"/>
          <w:u w:val="single"/>
          <w:shd w:val="clear" w:color="auto" w:fill="FFFFFF"/>
        </w:rPr>
        <w:t>принципів</w:t>
      </w:r>
      <w:r w:rsidRPr="00C163CE">
        <w:rPr>
          <w:rFonts w:ascii="Times New Roman" w:hAnsi="Times New Roman"/>
          <w:sz w:val="28"/>
          <w:szCs w:val="28"/>
          <w:shd w:val="clear" w:color="auto" w:fill="FFFFFF"/>
        </w:rPr>
        <w:t xml:space="preserve"> Всесвітнього антидопінгового кодексу як основи для вживання заходів на виконання зобов’язань, викладених у Конвенції.  </w:t>
      </w:r>
    </w:p>
    <w:p w:rsidR="009A40D6" w:rsidRPr="00C163CE" w:rsidRDefault="009A40D6" w:rsidP="009A40D6">
      <w:pPr>
        <w:spacing w:after="120" w:line="240" w:lineRule="auto"/>
        <w:ind w:firstLine="709"/>
        <w:jc w:val="both"/>
        <w:rPr>
          <w:rFonts w:ascii="Times New Roman" w:hAnsi="Times New Roman"/>
          <w:sz w:val="28"/>
          <w:szCs w:val="28"/>
          <w:shd w:val="clear" w:color="auto" w:fill="FFFFFF"/>
        </w:rPr>
      </w:pPr>
      <w:r w:rsidRPr="00C163CE">
        <w:rPr>
          <w:rFonts w:ascii="Times New Roman" w:hAnsi="Times New Roman"/>
          <w:sz w:val="28"/>
          <w:szCs w:val="28"/>
          <w:shd w:val="clear" w:color="auto" w:fill="FFFFFF"/>
        </w:rPr>
        <w:t xml:space="preserve">Відтак, зазначені </w:t>
      </w:r>
      <w:r w:rsidRPr="00C163CE">
        <w:rPr>
          <w:rFonts w:ascii="Times New Roman" w:hAnsi="Times New Roman"/>
          <w:sz w:val="28"/>
          <w:szCs w:val="28"/>
          <w:u w:val="single"/>
          <w:shd w:val="clear" w:color="auto" w:fill="FFFFFF"/>
        </w:rPr>
        <w:t>додатки</w:t>
      </w:r>
      <w:r w:rsidRPr="00C163CE">
        <w:rPr>
          <w:rFonts w:ascii="Times New Roman" w:hAnsi="Times New Roman"/>
          <w:sz w:val="28"/>
          <w:szCs w:val="28"/>
          <w:shd w:val="clear" w:color="auto" w:fill="FFFFFF"/>
        </w:rPr>
        <w:t xml:space="preserve"> до Конвенції не можуть розглядатися як частина Конвенції, згода на обов'язковість якої надана Верховною Радою України, та не є частиною національного законодавства у розумінні Конституції України, Закону України «Про міжнародні договори України», </w:t>
      </w:r>
      <w:r w:rsidRPr="00C163CE">
        <w:rPr>
          <w:rFonts w:ascii="Times New Roman" w:hAnsi="Times New Roman"/>
          <w:sz w:val="28"/>
          <w:szCs w:val="28"/>
          <w:shd w:val="clear" w:color="auto" w:fill="FFFFFF"/>
        </w:rPr>
        <w:lastRenderedPageBreak/>
        <w:t xml:space="preserve">окрім принципів Всесвітнього антидопінгового кодексу, зобов’язання щодо дотримання яких узято Україною відповідно до статті 4 Конвенції. </w:t>
      </w:r>
    </w:p>
    <w:p w:rsidR="009A40D6" w:rsidRPr="00C163CE" w:rsidRDefault="00AD3E0F" w:rsidP="009A40D6">
      <w:pPr>
        <w:spacing w:after="120" w:line="24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Проте</w:t>
      </w:r>
      <w:r w:rsidR="009A40D6" w:rsidRPr="00C163CE">
        <w:rPr>
          <w:rFonts w:ascii="Times New Roman" w:hAnsi="Times New Roman"/>
          <w:sz w:val="28"/>
          <w:szCs w:val="28"/>
          <w:shd w:val="clear" w:color="auto" w:fill="FFFFFF"/>
        </w:rPr>
        <w:t xml:space="preserve"> поряд з посиланнями на </w:t>
      </w:r>
      <w:r w:rsidR="009A40D6" w:rsidRPr="00C163CE">
        <w:rPr>
          <w:rFonts w:ascii="Times New Roman" w:hAnsi="Times New Roman"/>
          <w:sz w:val="28"/>
          <w:szCs w:val="28"/>
          <w:u w:val="single"/>
          <w:shd w:val="clear" w:color="auto" w:fill="FFFFFF"/>
        </w:rPr>
        <w:t>принципи</w:t>
      </w:r>
      <w:r w:rsidR="009A40D6" w:rsidRPr="00C163CE">
        <w:rPr>
          <w:rFonts w:ascii="Times New Roman" w:hAnsi="Times New Roman"/>
          <w:sz w:val="28"/>
          <w:szCs w:val="28"/>
          <w:shd w:val="clear" w:color="auto" w:fill="FFFFFF"/>
        </w:rPr>
        <w:t xml:space="preserve"> Всесвітнього антидопінгового кодексу значна частина посилань законопроекту на Всесвітній антидопінговий кодекс звертаються до нього </w:t>
      </w:r>
      <w:r w:rsidR="009A40D6" w:rsidRPr="00C163CE">
        <w:rPr>
          <w:rFonts w:ascii="Times New Roman" w:hAnsi="Times New Roman"/>
          <w:sz w:val="28"/>
          <w:szCs w:val="28"/>
          <w:u w:val="single"/>
          <w:shd w:val="clear" w:color="auto" w:fill="FFFFFF"/>
        </w:rPr>
        <w:t>у повному обсязі його вимог</w:t>
      </w:r>
      <w:r w:rsidR="009A40D6" w:rsidRPr="00C163CE">
        <w:rPr>
          <w:rFonts w:ascii="Times New Roman" w:hAnsi="Times New Roman"/>
          <w:sz w:val="28"/>
          <w:szCs w:val="28"/>
          <w:shd w:val="clear" w:color="auto" w:fill="FFFFFF"/>
        </w:rPr>
        <w:t xml:space="preserve">. Так, формула «принципи Всесвітнього антидопінгового кодексу» застосовується лише у пункті 1 частини другої статті 7 та частині першій статті 8 законопроекту. </w:t>
      </w:r>
    </w:p>
    <w:p w:rsidR="009A40D6" w:rsidRPr="00C163CE" w:rsidRDefault="009A40D6" w:rsidP="009A40D6">
      <w:pPr>
        <w:spacing w:after="120" w:line="240" w:lineRule="auto"/>
        <w:ind w:firstLine="709"/>
        <w:jc w:val="both"/>
        <w:rPr>
          <w:rFonts w:ascii="Times New Roman" w:hAnsi="Times New Roman"/>
          <w:sz w:val="28"/>
          <w:szCs w:val="28"/>
          <w:shd w:val="clear" w:color="auto" w:fill="FFFFFF"/>
        </w:rPr>
      </w:pPr>
      <w:r w:rsidRPr="00C163CE">
        <w:rPr>
          <w:rFonts w:ascii="Times New Roman" w:hAnsi="Times New Roman"/>
          <w:sz w:val="28"/>
          <w:szCs w:val="28"/>
          <w:shd w:val="clear" w:color="auto" w:fill="FFFFFF"/>
        </w:rPr>
        <w:t>На противагу, формула «вимоги Всесвітнього антидопінгового кодексу», що передбачає звернення до норм Кодексу у повному обсязі, застосовується у частині четвертій статті 4 (виступаючи одним з джерел визначення особливостей діяльності Національного антидопінгового центру – спеціалізованої державної установи) та частині чотирнадцятій статті 11 законопроекту (щодо відповідності рішень колегії Дисциплінарної антидопінгової комісії, Апеляційної антидопінгової комісії вимогам Всесвітнього антидопінгового кодексу).</w:t>
      </w:r>
    </w:p>
    <w:p w:rsidR="009A40D6" w:rsidRPr="00C163CE" w:rsidRDefault="009A40D6" w:rsidP="009A40D6">
      <w:pPr>
        <w:spacing w:after="120" w:line="240" w:lineRule="auto"/>
        <w:ind w:firstLine="709"/>
        <w:jc w:val="both"/>
        <w:rPr>
          <w:rFonts w:ascii="Times New Roman" w:hAnsi="Times New Roman"/>
          <w:sz w:val="28"/>
          <w:szCs w:val="28"/>
          <w:shd w:val="clear" w:color="auto" w:fill="FFFFFF"/>
        </w:rPr>
      </w:pPr>
      <w:r w:rsidRPr="00C163CE">
        <w:rPr>
          <w:rFonts w:ascii="Times New Roman" w:hAnsi="Times New Roman"/>
          <w:sz w:val="28"/>
          <w:szCs w:val="28"/>
          <w:shd w:val="clear" w:color="auto" w:fill="FFFFFF"/>
        </w:rPr>
        <w:t xml:space="preserve">Аналогічно застосовуються формули «відповідність/невідповідність Всесвітньому антидопінговому кодексу», що передбачає посилання на увесь масив норм Кодексу, </w:t>
      </w:r>
      <w:r w:rsidR="00AD3E0F">
        <w:rPr>
          <w:rFonts w:ascii="Times New Roman" w:hAnsi="Times New Roman"/>
          <w:sz w:val="28"/>
          <w:szCs w:val="28"/>
          <w:shd w:val="clear" w:color="auto" w:fill="FFFFFF"/>
        </w:rPr>
        <w:t xml:space="preserve">та </w:t>
      </w:r>
      <w:r w:rsidRPr="00C163CE">
        <w:rPr>
          <w:rFonts w:ascii="Times New Roman" w:hAnsi="Times New Roman"/>
          <w:sz w:val="28"/>
          <w:szCs w:val="28"/>
          <w:shd w:val="clear" w:color="auto" w:fill="FFFFFF"/>
        </w:rPr>
        <w:t xml:space="preserve">«інші види діяльності, визначені Всесвітнім антидопінговим кодексом», що передбачає посилання на детальні положення цього Кодексу. </w:t>
      </w:r>
    </w:p>
    <w:p w:rsidR="009A40D6" w:rsidRPr="00C163CE" w:rsidRDefault="009A40D6" w:rsidP="009A40D6">
      <w:pPr>
        <w:spacing w:after="120" w:line="240" w:lineRule="auto"/>
        <w:ind w:firstLine="708"/>
        <w:jc w:val="both"/>
        <w:rPr>
          <w:rFonts w:ascii="Times New Roman" w:hAnsi="Times New Roman"/>
          <w:sz w:val="28"/>
          <w:szCs w:val="28"/>
          <w:shd w:val="clear" w:color="auto" w:fill="FFFFFF"/>
        </w:rPr>
      </w:pPr>
      <w:r w:rsidRPr="00C163CE">
        <w:rPr>
          <w:rFonts w:ascii="Times New Roman" w:hAnsi="Times New Roman"/>
          <w:sz w:val="28"/>
          <w:szCs w:val="28"/>
          <w:shd w:val="clear" w:color="auto" w:fill="FFFFFF"/>
        </w:rPr>
        <w:t>Запропонований законопроект містить систематичні посилання також на Додатки 2 та 3 до Конвенції, що використовуються при визначенні поняття «офіцер допінг-контролю» статтею 1 законопроекту, повноважень Національного антидопінгового центру (пункт 8 частини сьомої статті 4 законопроекту), зобов’язань спортивних федерацій (пункт 9 частини першої статті 8), засад процедури тест</w:t>
      </w:r>
      <w:r w:rsidR="00AD3E0F">
        <w:rPr>
          <w:rFonts w:ascii="Times New Roman" w:hAnsi="Times New Roman"/>
          <w:sz w:val="28"/>
          <w:szCs w:val="28"/>
          <w:shd w:val="clear" w:color="auto" w:fill="FFFFFF"/>
        </w:rPr>
        <w:t>ування та розслідування (частини друга і</w:t>
      </w:r>
      <w:r w:rsidRPr="00C163CE">
        <w:rPr>
          <w:rFonts w:ascii="Times New Roman" w:hAnsi="Times New Roman"/>
          <w:sz w:val="28"/>
          <w:szCs w:val="28"/>
          <w:shd w:val="clear" w:color="auto" w:fill="FFFFFF"/>
        </w:rPr>
        <w:t xml:space="preserve"> четверта статті 9). </w:t>
      </w:r>
    </w:p>
    <w:p w:rsidR="009A40D6" w:rsidRPr="00C163CE" w:rsidRDefault="009A40D6" w:rsidP="009A40D6">
      <w:pPr>
        <w:spacing w:after="120" w:line="240" w:lineRule="auto"/>
        <w:ind w:firstLine="708"/>
        <w:jc w:val="both"/>
        <w:rPr>
          <w:rFonts w:ascii="Times New Roman" w:hAnsi="Times New Roman"/>
          <w:sz w:val="28"/>
          <w:szCs w:val="28"/>
          <w:shd w:val="clear" w:color="auto" w:fill="FFFFFF"/>
        </w:rPr>
      </w:pPr>
      <w:r w:rsidRPr="00C163CE">
        <w:rPr>
          <w:rFonts w:ascii="Times New Roman" w:hAnsi="Times New Roman"/>
          <w:sz w:val="28"/>
          <w:szCs w:val="28"/>
          <w:shd w:val="clear" w:color="auto" w:fill="FFFFFF"/>
        </w:rPr>
        <w:t xml:space="preserve">Вважаємо, що посилання на документи, </w:t>
      </w:r>
      <w:r w:rsidR="00AD3E0F">
        <w:rPr>
          <w:rFonts w:ascii="Times New Roman" w:hAnsi="Times New Roman"/>
          <w:sz w:val="28"/>
          <w:szCs w:val="28"/>
          <w:shd w:val="clear" w:color="auto" w:fill="FFFFFF"/>
        </w:rPr>
        <w:t>які</w:t>
      </w:r>
      <w:r w:rsidRPr="00C163CE">
        <w:rPr>
          <w:rFonts w:ascii="Times New Roman" w:hAnsi="Times New Roman"/>
          <w:sz w:val="28"/>
          <w:szCs w:val="28"/>
          <w:shd w:val="clear" w:color="auto" w:fill="FFFFFF"/>
        </w:rPr>
        <w:t xml:space="preserve"> мають інформаційний характер, зокрема Всесвітній антидопінговий кодекс, є юридично некоректним, оскільки ці міжнародно-правові документи не є частиною національного законодавства у розумінні статті 9 Конституції України та Закону України «Про міжнародні договори України». Натомість, вбачається за належне сформулювати </w:t>
      </w:r>
      <w:proofErr w:type="spellStart"/>
      <w:r w:rsidRPr="00C163CE">
        <w:rPr>
          <w:rFonts w:ascii="Times New Roman" w:hAnsi="Times New Roman"/>
          <w:sz w:val="28"/>
          <w:szCs w:val="28"/>
          <w:shd w:val="clear" w:color="auto" w:fill="FFFFFF"/>
        </w:rPr>
        <w:t>відсилочні</w:t>
      </w:r>
      <w:proofErr w:type="spellEnd"/>
      <w:r w:rsidRPr="00C163CE">
        <w:rPr>
          <w:rFonts w:ascii="Times New Roman" w:hAnsi="Times New Roman"/>
          <w:sz w:val="28"/>
          <w:szCs w:val="28"/>
          <w:shd w:val="clear" w:color="auto" w:fill="FFFFFF"/>
        </w:rPr>
        <w:t xml:space="preserve"> (</w:t>
      </w:r>
      <w:proofErr w:type="spellStart"/>
      <w:r w:rsidRPr="00C163CE">
        <w:rPr>
          <w:rFonts w:ascii="Times New Roman" w:hAnsi="Times New Roman"/>
          <w:sz w:val="28"/>
          <w:szCs w:val="28"/>
          <w:shd w:val="clear" w:color="auto" w:fill="FFFFFF"/>
        </w:rPr>
        <w:t>бланкетні</w:t>
      </w:r>
      <w:proofErr w:type="spellEnd"/>
      <w:r w:rsidRPr="00C163CE">
        <w:rPr>
          <w:rFonts w:ascii="Times New Roman" w:hAnsi="Times New Roman"/>
          <w:sz w:val="28"/>
          <w:szCs w:val="28"/>
          <w:shd w:val="clear" w:color="auto" w:fill="FFFFFF"/>
        </w:rPr>
        <w:t xml:space="preserve">) норми цього законопроекту шляхом відсилання до принципів Всесвітнього антидопінгового кодексу, адже сторони Конвенції, зокрема Україна, які надали згоду на обов’язковість для них цієї Конвенції, прямо зобов’язалися дотримуватись принципів Всесвітнього антидопінгового кодексу як основи для вжиття заходів для досягнення цілей Конвенції (стаття 4 Конвенції). </w:t>
      </w:r>
    </w:p>
    <w:p w:rsidR="009A40D6" w:rsidRPr="00C163CE" w:rsidRDefault="009A40D6" w:rsidP="009A40D6">
      <w:pPr>
        <w:spacing w:after="120" w:line="240" w:lineRule="auto"/>
        <w:ind w:firstLine="709"/>
        <w:jc w:val="both"/>
        <w:rPr>
          <w:rFonts w:ascii="Times New Roman" w:hAnsi="Times New Roman"/>
          <w:sz w:val="28"/>
          <w:szCs w:val="28"/>
        </w:rPr>
      </w:pP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2. Згідно з назвою та преамбулою законопроекту «Цей Закон визначає правові та організаційні </w:t>
      </w:r>
      <w:r w:rsidRPr="00C163CE">
        <w:rPr>
          <w:rFonts w:ascii="Times New Roman" w:hAnsi="Times New Roman"/>
          <w:sz w:val="28"/>
          <w:szCs w:val="28"/>
          <w:u w:val="single"/>
        </w:rPr>
        <w:t>засади провадження антидопінгової діяльності</w:t>
      </w:r>
      <w:r w:rsidRPr="00C163CE">
        <w:rPr>
          <w:rFonts w:ascii="Times New Roman" w:hAnsi="Times New Roman"/>
          <w:sz w:val="28"/>
          <w:szCs w:val="28"/>
        </w:rPr>
        <w:t xml:space="preserve"> в Україні».</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lastRenderedPageBreak/>
        <w:t>У розумінні Господарського кодексу України провадження діяльності безпосередньо здійснюється суб’єктами господарювання. При цьому держава, органи державної влади та органи місцевого самоврядування не є суб'єктами господарювання (частина перша статті 8 цього Кодексу). У зв’язку з цим питання, які запропоновано врегулювати законопроектом, а саме державне регулювання у відповідній сфері (повноваження органів державної влади та органів місцевого самоврядування), утворення спеціалізованої державної установи Кабінетом Міністрів України та наділення її повноваженнями, утворення дорадчого органу Кабінету Міністрів України, за п</w:t>
      </w:r>
      <w:r w:rsidR="00AD3E0F">
        <w:rPr>
          <w:rFonts w:ascii="Times New Roman" w:hAnsi="Times New Roman"/>
          <w:sz w:val="28"/>
          <w:szCs w:val="28"/>
        </w:rPr>
        <w:t>редметом регулювання не узгоджую</w:t>
      </w:r>
      <w:r w:rsidRPr="00C163CE">
        <w:rPr>
          <w:rFonts w:ascii="Times New Roman" w:hAnsi="Times New Roman"/>
          <w:sz w:val="28"/>
          <w:szCs w:val="28"/>
        </w:rPr>
        <w:t>ться з назвою та преамбулою законопроекту.</w:t>
      </w:r>
    </w:p>
    <w:p w:rsidR="009A40D6" w:rsidRPr="00C163CE" w:rsidRDefault="009A40D6" w:rsidP="009A40D6">
      <w:pPr>
        <w:spacing w:after="120" w:line="240" w:lineRule="auto"/>
        <w:ind w:firstLine="709"/>
        <w:jc w:val="both"/>
        <w:rPr>
          <w:rFonts w:ascii="Times New Roman" w:hAnsi="Times New Roman"/>
          <w:sz w:val="28"/>
          <w:szCs w:val="28"/>
        </w:rPr>
      </w:pPr>
    </w:p>
    <w:p w:rsidR="009A40D6" w:rsidRPr="00C163CE" w:rsidRDefault="009A40D6" w:rsidP="009A40D6">
      <w:pPr>
        <w:spacing w:after="120" w:line="240" w:lineRule="auto"/>
        <w:ind w:firstLine="709"/>
        <w:jc w:val="both"/>
        <w:rPr>
          <w:rFonts w:ascii="Times New Roman" w:hAnsi="Times New Roman"/>
          <w:sz w:val="28"/>
          <w:szCs w:val="28"/>
        </w:rPr>
      </w:pPr>
      <w:r w:rsidRPr="00C163CE">
        <w:rPr>
          <w:rFonts w:ascii="Times New Roman" w:hAnsi="Times New Roman"/>
          <w:sz w:val="28"/>
          <w:szCs w:val="28"/>
        </w:rPr>
        <w:t xml:space="preserve">3. Запропонований пунктом 9 частини першої статті 1 законопроекту підхід до визначення поняття «допінг у спорті» не є достатньо узгодженим з виключним переліком випадків порушень антидопінгового правила, що визнаються допінгом у спорті відповідно до статті 2 Конвенції. </w:t>
      </w:r>
    </w:p>
    <w:p w:rsidR="009A40D6" w:rsidRPr="00C163CE" w:rsidRDefault="009A40D6" w:rsidP="009A40D6">
      <w:pPr>
        <w:spacing w:after="120" w:line="240" w:lineRule="auto"/>
        <w:ind w:firstLine="709"/>
        <w:jc w:val="both"/>
        <w:rPr>
          <w:rFonts w:ascii="Times New Roman" w:hAnsi="Times New Roman"/>
          <w:sz w:val="28"/>
          <w:szCs w:val="28"/>
        </w:rPr>
      </w:pPr>
      <w:r w:rsidRPr="00C163CE">
        <w:rPr>
          <w:rFonts w:ascii="Times New Roman" w:hAnsi="Times New Roman"/>
          <w:sz w:val="28"/>
          <w:szCs w:val="28"/>
        </w:rPr>
        <w:t xml:space="preserve">Так, законопроект включає до випадків порушення антидопінгових правил, що вважатимуться допінгом у спорті, зокрема, «змову чи </w:t>
      </w:r>
      <w:r w:rsidRPr="00C163CE">
        <w:rPr>
          <w:rFonts w:ascii="Times New Roman" w:hAnsi="Times New Roman"/>
          <w:sz w:val="28"/>
          <w:szCs w:val="28"/>
          <w:u w:val="single"/>
        </w:rPr>
        <w:t>спробу змови</w:t>
      </w:r>
      <w:r w:rsidRPr="00C163CE">
        <w:rPr>
          <w:rFonts w:ascii="Times New Roman" w:hAnsi="Times New Roman"/>
          <w:sz w:val="28"/>
          <w:szCs w:val="28"/>
        </w:rPr>
        <w:t xml:space="preserve"> з метою порушення антидопінгових правил», «ненадання інформації про своє місцезнаходження спортсменом, включеним до реєстраційного пулу тестування», «вчинення спортсменом чи іншою особою дій, спрямованих на відмову від повідомлення про </w:t>
      </w:r>
      <w:r w:rsidRPr="00C163CE">
        <w:rPr>
          <w:rFonts w:ascii="Times New Roman" w:hAnsi="Times New Roman"/>
          <w:sz w:val="28"/>
          <w:szCs w:val="28"/>
          <w:u w:val="single"/>
        </w:rPr>
        <w:t>можливе порушення</w:t>
      </w:r>
      <w:r w:rsidRPr="00C163CE">
        <w:rPr>
          <w:rFonts w:ascii="Times New Roman" w:hAnsi="Times New Roman"/>
          <w:sz w:val="28"/>
          <w:szCs w:val="28"/>
        </w:rPr>
        <w:t xml:space="preserve"> антидопінгових правил або невідповідність Всесвітньому антидопінговому кодексу».</w:t>
      </w:r>
    </w:p>
    <w:p w:rsidR="009A40D6" w:rsidRPr="00C163CE" w:rsidRDefault="009A40D6" w:rsidP="009A40D6">
      <w:pPr>
        <w:spacing w:after="120" w:line="240" w:lineRule="auto"/>
        <w:ind w:firstLine="709"/>
        <w:jc w:val="both"/>
        <w:rPr>
          <w:rFonts w:ascii="Times New Roman" w:hAnsi="Times New Roman"/>
          <w:sz w:val="28"/>
          <w:szCs w:val="28"/>
        </w:rPr>
      </w:pPr>
      <w:r w:rsidRPr="00C163CE">
        <w:rPr>
          <w:rFonts w:ascii="Times New Roman" w:hAnsi="Times New Roman"/>
          <w:sz w:val="28"/>
          <w:szCs w:val="28"/>
        </w:rPr>
        <w:t>Запропоновані формули «спроба змови», «</w:t>
      </w:r>
      <w:r w:rsidRPr="00C163CE">
        <w:rPr>
          <w:rFonts w:ascii="Times New Roman" w:hAnsi="Times New Roman"/>
          <w:sz w:val="28"/>
          <w:szCs w:val="28"/>
          <w:u w:val="single"/>
        </w:rPr>
        <w:t>дія,</w:t>
      </w:r>
      <w:r w:rsidRPr="00C163CE">
        <w:rPr>
          <w:rFonts w:ascii="Times New Roman" w:hAnsi="Times New Roman"/>
          <w:sz w:val="28"/>
          <w:szCs w:val="28"/>
        </w:rPr>
        <w:t xml:space="preserve"> </w:t>
      </w:r>
      <w:r w:rsidRPr="00C163CE">
        <w:rPr>
          <w:rFonts w:ascii="Times New Roman" w:hAnsi="Times New Roman"/>
          <w:sz w:val="28"/>
          <w:szCs w:val="28"/>
          <w:u w:val="single"/>
        </w:rPr>
        <w:t>спрямована на відмову від повідомлення про можливе порушення</w:t>
      </w:r>
      <w:r w:rsidRPr="00C163CE">
        <w:rPr>
          <w:rFonts w:ascii="Times New Roman" w:hAnsi="Times New Roman"/>
          <w:sz w:val="28"/>
          <w:szCs w:val="28"/>
        </w:rPr>
        <w:t>» не вбачаються такими, що повною мірою відповідають принципу правової визначеності, ясності, недвозначності та зроз</w:t>
      </w:r>
      <w:r w:rsidR="00AD3E0F">
        <w:rPr>
          <w:rFonts w:ascii="Times New Roman" w:hAnsi="Times New Roman"/>
          <w:sz w:val="28"/>
          <w:szCs w:val="28"/>
        </w:rPr>
        <w:t>умілості норми права. Натомість</w:t>
      </w:r>
      <w:r w:rsidRPr="00C163CE">
        <w:rPr>
          <w:rFonts w:ascii="Times New Roman" w:hAnsi="Times New Roman"/>
          <w:sz w:val="28"/>
          <w:szCs w:val="28"/>
        </w:rPr>
        <w:t xml:space="preserve"> Конвенція при охопленні наведеної частини передбачених порушень оперує більш точними поняттями: «порушення застосовних вимог, які стосуються присутності спортсмена для тестування поза змаганнями, в тому числі ненадання необхідної  інформації стосовно його місцеперебування і неявку для тестування, яке призначається на основі обґрунтованих правил», «застосування чи спроба застосування будь-якої забороненої речовини  чи  забороненого  методу  до будь-якого спортсмена, або допомога, заохочення, сприяння, підбурювання, укриття або співучасть  в будь-якій іншій формі, пов'язані з порушенням чи будь-якою спробою порушення антидопінгового правила». </w:t>
      </w:r>
    </w:p>
    <w:p w:rsidR="009A40D6" w:rsidRPr="00C163CE" w:rsidRDefault="009A40D6" w:rsidP="009A40D6">
      <w:pPr>
        <w:spacing w:after="120" w:line="240" w:lineRule="auto"/>
        <w:ind w:firstLine="709"/>
        <w:jc w:val="both"/>
        <w:rPr>
          <w:rFonts w:ascii="Times New Roman" w:hAnsi="Times New Roman"/>
          <w:sz w:val="28"/>
          <w:szCs w:val="28"/>
        </w:rPr>
      </w:pPr>
      <w:r w:rsidRPr="00C163CE">
        <w:rPr>
          <w:rFonts w:ascii="Times New Roman" w:hAnsi="Times New Roman"/>
          <w:sz w:val="28"/>
          <w:szCs w:val="28"/>
        </w:rPr>
        <w:t xml:space="preserve">Зазначимо, що частиною другою статті 19 Закону України «Про міжнародні договори України» встановлено, що </w:t>
      </w:r>
      <w:r w:rsidRPr="00C163CE">
        <w:rPr>
          <w:rFonts w:ascii="Times New Roman" w:hAnsi="Times New Roman"/>
          <w:sz w:val="28"/>
          <w:szCs w:val="28"/>
          <w:shd w:val="clear" w:color="auto" w:fill="FFFFFF"/>
        </w:rPr>
        <w:t xml:space="preserve">якщо міжнародним договором України, який набрав чинності в установленому порядку, встановлено інші правила, ніж ті, що передбачені у відповідному акті законодавства України, то застосовуються правила міжнародного договору. Відтак, використання у законопроекті, зокрема при визначенні понять у статті 1 законопроекту, інших за охопленням формул, ніж ті, що застосовуються у </w:t>
      </w:r>
      <w:r w:rsidRPr="00C163CE">
        <w:rPr>
          <w:rFonts w:ascii="Times New Roman" w:hAnsi="Times New Roman"/>
          <w:sz w:val="28"/>
          <w:szCs w:val="28"/>
        </w:rPr>
        <w:t xml:space="preserve">Конвенції, не створюватиме правових наслідків. </w:t>
      </w:r>
    </w:p>
    <w:p w:rsidR="009A40D6" w:rsidRPr="00C163CE" w:rsidRDefault="009A40D6" w:rsidP="009A40D6">
      <w:pPr>
        <w:spacing w:after="120" w:line="240" w:lineRule="auto"/>
        <w:ind w:firstLine="709"/>
        <w:jc w:val="both"/>
        <w:rPr>
          <w:rFonts w:ascii="Times New Roman" w:hAnsi="Times New Roman"/>
          <w:sz w:val="28"/>
          <w:szCs w:val="28"/>
        </w:rPr>
      </w:pPr>
      <w:r w:rsidRPr="00C163CE">
        <w:rPr>
          <w:rFonts w:ascii="Times New Roman" w:hAnsi="Times New Roman"/>
          <w:sz w:val="28"/>
          <w:szCs w:val="28"/>
        </w:rPr>
        <w:lastRenderedPageBreak/>
        <w:t>Окремо слід звернути увагу на таке порушення антидопінгових правил, визначене у пункті 9 статті 1 законопроекту, як «вчинення спортсменом чи іншою особою дій, спрямованих на відмову від повідомлення про можливе порушення антидопінгових правил». Це положення законопроекту суперечить статті 63 Конституції України, за якою «особа не несе відповідальності за відмову давати показання або пояснення щодо себе, членів сім'ї чи близьких родичів, коло яких визначається законом».</w:t>
      </w:r>
    </w:p>
    <w:p w:rsidR="009A40D6" w:rsidRPr="00C163CE" w:rsidRDefault="009A40D6" w:rsidP="009A40D6">
      <w:pPr>
        <w:spacing w:after="120" w:line="240" w:lineRule="auto"/>
        <w:ind w:firstLine="709"/>
        <w:jc w:val="both"/>
        <w:rPr>
          <w:rFonts w:ascii="Times New Roman" w:hAnsi="Times New Roman"/>
          <w:sz w:val="28"/>
          <w:szCs w:val="28"/>
        </w:rPr>
      </w:pP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4. Частиною першою статті 3 законопроекту передбачено, що антидопінгові правила розробляються та затверджуються Національним антидопінговим центром (спеціалізованою державною установою</w:t>
      </w:r>
      <w:r w:rsidR="00AD3E0F">
        <w:rPr>
          <w:rFonts w:ascii="Times New Roman" w:hAnsi="Times New Roman"/>
          <w:sz w:val="28"/>
          <w:szCs w:val="28"/>
        </w:rPr>
        <w:t xml:space="preserve"> –</w:t>
      </w:r>
      <w:r w:rsidRPr="00C163CE">
        <w:rPr>
          <w:rFonts w:ascii="Times New Roman" w:hAnsi="Times New Roman"/>
          <w:sz w:val="28"/>
          <w:szCs w:val="28"/>
        </w:rPr>
        <w:t xml:space="preserve"> за визначенням статті 4). При цьому за частиною третьою цієї статті антидопінгові правила є спортивними правилами.</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Однак поняття «спортивні правила» не визначено у законодавстві, а Закон України «Про фізичну культуру і спорт» визначає лише </w:t>
      </w:r>
      <w:r w:rsidRPr="00C163CE">
        <w:rPr>
          <w:rFonts w:ascii="Times New Roman" w:hAnsi="Times New Roman"/>
          <w:sz w:val="28"/>
          <w:szCs w:val="28"/>
          <w:u w:val="single"/>
        </w:rPr>
        <w:t>правила спортивних змагань з видів спорту</w:t>
      </w:r>
      <w:r w:rsidRPr="00C163CE">
        <w:rPr>
          <w:rFonts w:ascii="Times New Roman" w:hAnsi="Times New Roman"/>
          <w:sz w:val="28"/>
          <w:szCs w:val="28"/>
        </w:rPr>
        <w:t>, які затверджуються центральним органом виконавчої влади, що забезпечує формування державної політики у сфері фізичної культури та спорту, з урахуванням пропозицій відповідних всеукраїнських спортивних федерацій (стаття 40).</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Зважаючи, що правила спортивних змагань з видів спорту включають вимоги до учасників змагань, а тому можуть охоплювати і антидопінгові правила. </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Крім того, згідно з статтею 57 Конституції України «Кожному гарантується право знати свої права і обов'язки. Закони та інші </w:t>
      </w:r>
      <w:r w:rsidRPr="00C163CE">
        <w:rPr>
          <w:rFonts w:ascii="Times New Roman" w:hAnsi="Times New Roman"/>
          <w:sz w:val="28"/>
          <w:szCs w:val="28"/>
          <w:u w:val="single"/>
        </w:rPr>
        <w:t>нормативно-правові акти, що визначають права і обов'язки громадян</w:t>
      </w:r>
      <w:r w:rsidRPr="00C163CE">
        <w:rPr>
          <w:rFonts w:ascii="Times New Roman" w:hAnsi="Times New Roman"/>
          <w:sz w:val="28"/>
          <w:szCs w:val="28"/>
        </w:rPr>
        <w:t xml:space="preserve">, мають бути доведені до відома населення». </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Так, нормативно-правові акти, які містять одну або більше норм, що зачіпають права, свободи, законні інтереси і стосуються обов’язків громадян та юридичних осіб, встановлюють новий або змінюють, доповнюють чи скасовують організаційно-правовий механізм їх реалізації підлягають державній реєстрації.</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Відтак, антидопінгові правила мають бути включені до нормативно-правового </w:t>
      </w:r>
      <w:proofErr w:type="spellStart"/>
      <w:r w:rsidRPr="00C163CE">
        <w:rPr>
          <w:rFonts w:ascii="Times New Roman" w:hAnsi="Times New Roman"/>
          <w:sz w:val="28"/>
          <w:szCs w:val="28"/>
        </w:rPr>
        <w:t>акта</w:t>
      </w:r>
      <w:proofErr w:type="spellEnd"/>
      <w:r w:rsidRPr="00C163CE">
        <w:rPr>
          <w:rFonts w:ascii="Times New Roman" w:hAnsi="Times New Roman"/>
          <w:sz w:val="28"/>
          <w:szCs w:val="28"/>
        </w:rPr>
        <w:t xml:space="preserve">, що підлягає державній реєстрації. При цьому слід зазначити, що Національний антидопінговий центр не є суб’єктом </w:t>
      </w:r>
      <w:proofErr w:type="spellStart"/>
      <w:r w:rsidRPr="00C163CE">
        <w:rPr>
          <w:rFonts w:ascii="Times New Roman" w:hAnsi="Times New Roman"/>
          <w:sz w:val="28"/>
          <w:szCs w:val="28"/>
        </w:rPr>
        <w:t>нормотворення</w:t>
      </w:r>
      <w:proofErr w:type="spellEnd"/>
      <w:r w:rsidRPr="00C163CE">
        <w:rPr>
          <w:rFonts w:ascii="Times New Roman" w:hAnsi="Times New Roman"/>
          <w:sz w:val="28"/>
          <w:szCs w:val="28"/>
        </w:rPr>
        <w:t>.</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Зазначене також стосується повноваження Національного антидопінгового центру щодо затвердження вимог до компетенції, кваліфікації допінг-офіцерів, передбаченого пунктом 9 частини сьомої статті 4 законопроекту.</w:t>
      </w:r>
    </w:p>
    <w:p w:rsidR="009A40D6" w:rsidRPr="00C163CE" w:rsidRDefault="009A40D6" w:rsidP="009A40D6">
      <w:pPr>
        <w:spacing w:after="120" w:line="240" w:lineRule="auto"/>
        <w:ind w:firstLine="709"/>
        <w:jc w:val="both"/>
        <w:rPr>
          <w:rFonts w:ascii="Times New Roman" w:hAnsi="Times New Roman"/>
          <w:sz w:val="28"/>
          <w:szCs w:val="28"/>
        </w:rPr>
      </w:pP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5. У статті 4 законопроекту передбачається утворення спеціалізованої державної установи – Національного антидопінгового центру, що </w:t>
      </w:r>
      <w:r w:rsidRPr="00C163CE">
        <w:rPr>
          <w:rFonts w:ascii="Times New Roman" w:hAnsi="Times New Roman"/>
          <w:sz w:val="28"/>
          <w:szCs w:val="28"/>
        </w:rPr>
        <w:lastRenderedPageBreak/>
        <w:t xml:space="preserve">фінансується за рахунок коштів державного бюджету, </w:t>
      </w:r>
      <w:r w:rsidRPr="00C163CE">
        <w:rPr>
          <w:rFonts w:ascii="Times New Roman" w:hAnsi="Times New Roman"/>
          <w:sz w:val="28"/>
          <w:szCs w:val="28"/>
          <w:u w:val="single"/>
        </w:rPr>
        <w:t>інших джерел, не заборонених законом.</w:t>
      </w:r>
      <w:r w:rsidRPr="00C163CE">
        <w:rPr>
          <w:rFonts w:ascii="Times New Roman" w:hAnsi="Times New Roman"/>
          <w:sz w:val="28"/>
          <w:szCs w:val="28"/>
        </w:rPr>
        <w:t xml:space="preserve"> Так, частиною п’ятою цієї статті передбачено, що Національний антидопінговий центр є неупередженим і незалежним від будь-яких третіх сторін у виконанні своїх завдань та </w:t>
      </w:r>
      <w:r w:rsidRPr="00C163CE">
        <w:rPr>
          <w:rFonts w:ascii="Times New Roman" w:hAnsi="Times New Roman"/>
          <w:sz w:val="28"/>
          <w:szCs w:val="28"/>
          <w:u w:val="single"/>
        </w:rPr>
        <w:t xml:space="preserve">незалежним у своїй діяльності, управлінні та ухваленні рішень. </w:t>
      </w:r>
      <w:r w:rsidRPr="00C163CE">
        <w:rPr>
          <w:rFonts w:ascii="Times New Roman" w:hAnsi="Times New Roman"/>
          <w:sz w:val="28"/>
          <w:szCs w:val="28"/>
        </w:rPr>
        <w:t>При цьому Кабінет Міністрів України затверджує Положення про Національний антидопінговий центу та визначає умови оплати праці працівників цієї установи (частини третя - четверта). Відтак, йдеться про утворення державної установи Кабінетом Міністрів України.</w:t>
      </w:r>
    </w:p>
    <w:p w:rsidR="009A40D6" w:rsidRPr="00C163CE" w:rsidRDefault="009A40D6" w:rsidP="009A40D6">
      <w:pPr>
        <w:spacing w:after="120" w:line="240" w:lineRule="auto"/>
        <w:ind w:firstLine="708"/>
        <w:jc w:val="both"/>
        <w:rPr>
          <w:rFonts w:ascii="Times New Roman" w:hAnsi="Times New Roman"/>
          <w:sz w:val="28"/>
          <w:szCs w:val="28"/>
          <w:u w:val="single"/>
        </w:rPr>
      </w:pPr>
      <w:r w:rsidRPr="00C163CE">
        <w:rPr>
          <w:rFonts w:ascii="Times New Roman" w:hAnsi="Times New Roman"/>
          <w:sz w:val="28"/>
          <w:szCs w:val="28"/>
        </w:rPr>
        <w:t xml:space="preserve">Відповідно до частини першої статті 24 Закону України «Про Кабінет Міністрів України» Кабінет Міністрів України </w:t>
      </w:r>
      <w:r w:rsidRPr="00C163CE">
        <w:rPr>
          <w:rFonts w:ascii="Times New Roman" w:hAnsi="Times New Roman"/>
          <w:sz w:val="28"/>
          <w:szCs w:val="28"/>
          <w:u w:val="single"/>
        </w:rPr>
        <w:t>в межах коштів, передбачених у Державному бюджеті України</w:t>
      </w:r>
      <w:r w:rsidRPr="00C163CE">
        <w:rPr>
          <w:rFonts w:ascii="Times New Roman" w:hAnsi="Times New Roman"/>
          <w:sz w:val="28"/>
          <w:szCs w:val="28"/>
        </w:rPr>
        <w:t xml:space="preserve">, може утворювати, реорганізовувати та ліквідовувати відповідно до закону державні господарські об’єднання, підприємства, установи та організації. </w:t>
      </w:r>
      <w:r w:rsidRPr="00C163CE">
        <w:rPr>
          <w:rFonts w:ascii="Times New Roman" w:hAnsi="Times New Roman"/>
          <w:sz w:val="28"/>
          <w:szCs w:val="28"/>
          <w:u w:val="single"/>
        </w:rPr>
        <w:t>Кабінет Міністрів України відповідно до законодавства координує та контролює діяльність зазначених державних господарських об’єднань, підприємств, установ та організацій.</w:t>
      </w:r>
    </w:p>
    <w:p w:rsidR="009A40D6" w:rsidRPr="00C163CE" w:rsidRDefault="009A40D6" w:rsidP="009A40D6">
      <w:pPr>
        <w:spacing w:after="120" w:line="240" w:lineRule="auto"/>
        <w:ind w:firstLine="708"/>
        <w:jc w:val="both"/>
        <w:rPr>
          <w:rFonts w:ascii="Times New Roman" w:hAnsi="Times New Roman"/>
          <w:i/>
          <w:sz w:val="28"/>
          <w:szCs w:val="28"/>
        </w:rPr>
      </w:pPr>
      <w:r w:rsidRPr="00C163CE">
        <w:rPr>
          <w:rFonts w:ascii="Times New Roman" w:hAnsi="Times New Roman"/>
          <w:i/>
          <w:sz w:val="28"/>
          <w:szCs w:val="28"/>
        </w:rPr>
        <w:t>Щодо визначення Кабінетом Міністрів України</w:t>
      </w:r>
      <w:r w:rsidRPr="00C163CE">
        <w:rPr>
          <w:i/>
        </w:rPr>
        <w:t xml:space="preserve"> </w:t>
      </w:r>
      <w:r w:rsidRPr="00C163CE">
        <w:rPr>
          <w:rFonts w:ascii="Times New Roman" w:hAnsi="Times New Roman"/>
          <w:i/>
          <w:sz w:val="28"/>
          <w:szCs w:val="28"/>
        </w:rPr>
        <w:t>умов оплати праці працівників Національного антидопінгового центру</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Відповідно до статті 94 Кодексу законів про працю України питання державного і договірного регулювання оплати праці, прав працівників на оплату праці та їх захисту визначається цим Кодексом, </w:t>
      </w:r>
      <w:r w:rsidRPr="00C163CE">
        <w:rPr>
          <w:rFonts w:ascii="Times New Roman" w:hAnsi="Times New Roman"/>
          <w:sz w:val="28"/>
          <w:szCs w:val="28"/>
          <w:u w:val="single"/>
        </w:rPr>
        <w:t>Законом України «Про оплату праці»</w:t>
      </w:r>
      <w:r w:rsidRPr="00C163CE">
        <w:rPr>
          <w:rFonts w:ascii="Times New Roman" w:hAnsi="Times New Roman"/>
          <w:sz w:val="28"/>
          <w:szCs w:val="28"/>
        </w:rPr>
        <w:t xml:space="preserve"> та іншими нормативно-правовими актами.</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Так, Законом Украї</w:t>
      </w:r>
      <w:r w:rsidR="00AD3E0F">
        <w:rPr>
          <w:rFonts w:ascii="Times New Roman" w:hAnsi="Times New Roman"/>
          <w:sz w:val="28"/>
          <w:szCs w:val="28"/>
        </w:rPr>
        <w:t>ни «Про оплату праці» передбачено</w:t>
      </w:r>
      <w:r w:rsidRPr="00C163CE">
        <w:rPr>
          <w:rFonts w:ascii="Times New Roman" w:hAnsi="Times New Roman"/>
          <w:sz w:val="28"/>
          <w:szCs w:val="28"/>
        </w:rPr>
        <w:t xml:space="preserve">, що держава здійснює регулювання оплати праці працівників підприємств усіх форм власності шляхом встановлення розміру мінімальної заробітної плати та інших державних норм і гарантій, встановлення умов і розмірів оплати праці керівників підприємств, заснованих на державній, комунальній власності, </w:t>
      </w:r>
      <w:r w:rsidRPr="00C163CE">
        <w:rPr>
          <w:rFonts w:ascii="Times New Roman" w:hAnsi="Times New Roman"/>
          <w:sz w:val="28"/>
          <w:szCs w:val="28"/>
          <w:u w:val="single"/>
        </w:rPr>
        <w:t>працівників підприємств, установ та організацій, що фінансуються чи дотуються з бюджету.</w:t>
      </w:r>
      <w:r w:rsidRPr="00C163CE">
        <w:rPr>
          <w:rFonts w:ascii="Times New Roman" w:hAnsi="Times New Roman"/>
          <w:sz w:val="28"/>
          <w:szCs w:val="28"/>
        </w:rPr>
        <w:t xml:space="preserve"> </w:t>
      </w:r>
      <w:r w:rsidRPr="00C163CE">
        <w:rPr>
          <w:rFonts w:ascii="Times New Roman" w:hAnsi="Times New Roman"/>
          <w:sz w:val="28"/>
          <w:szCs w:val="28"/>
          <w:u w:val="single"/>
        </w:rPr>
        <w:t>Умови розміру оплати праці</w:t>
      </w:r>
      <w:r w:rsidRPr="00C163CE">
        <w:rPr>
          <w:rFonts w:ascii="Times New Roman" w:hAnsi="Times New Roman"/>
          <w:sz w:val="28"/>
          <w:szCs w:val="28"/>
        </w:rPr>
        <w:t xml:space="preserve"> працівників установ та організацій, що </w:t>
      </w:r>
      <w:r w:rsidRPr="00C163CE">
        <w:rPr>
          <w:rFonts w:ascii="Times New Roman" w:hAnsi="Times New Roman"/>
          <w:sz w:val="28"/>
          <w:szCs w:val="28"/>
          <w:u w:val="single"/>
        </w:rPr>
        <w:t>фінансуються з бюджету</w:t>
      </w:r>
      <w:r w:rsidRPr="00C163CE">
        <w:rPr>
          <w:rFonts w:ascii="Times New Roman" w:hAnsi="Times New Roman"/>
          <w:sz w:val="28"/>
          <w:szCs w:val="28"/>
        </w:rPr>
        <w:t>, визначаються Кабінетом Міністрів України (стаття 8).  Відтак, про випадки з іншими джерелами фінансування не йде</w:t>
      </w:r>
      <w:r w:rsidR="00AD3E0F">
        <w:rPr>
          <w:rFonts w:ascii="Times New Roman" w:hAnsi="Times New Roman"/>
          <w:sz w:val="28"/>
          <w:szCs w:val="28"/>
        </w:rPr>
        <w:t>ться</w:t>
      </w:r>
      <w:r w:rsidRPr="00C163CE">
        <w:rPr>
          <w:rFonts w:ascii="Times New Roman" w:hAnsi="Times New Roman"/>
          <w:sz w:val="28"/>
          <w:szCs w:val="28"/>
        </w:rPr>
        <w:t>.</w:t>
      </w:r>
    </w:p>
    <w:p w:rsidR="009A40D6" w:rsidRPr="00C163CE" w:rsidRDefault="009A40D6" w:rsidP="009A40D6">
      <w:pPr>
        <w:spacing w:after="120" w:line="240" w:lineRule="auto"/>
        <w:ind w:firstLine="708"/>
        <w:jc w:val="both"/>
        <w:rPr>
          <w:rFonts w:ascii="Times New Roman" w:hAnsi="Times New Roman"/>
          <w:i/>
          <w:sz w:val="28"/>
          <w:szCs w:val="28"/>
        </w:rPr>
      </w:pPr>
      <w:r w:rsidRPr="00C163CE">
        <w:rPr>
          <w:rFonts w:ascii="Times New Roman" w:hAnsi="Times New Roman"/>
          <w:i/>
          <w:sz w:val="28"/>
          <w:szCs w:val="28"/>
        </w:rPr>
        <w:t xml:space="preserve">Щодо наділення Національного антидопінгового центру владними повноваженнями </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У частині сьомій цієї статті законопроект наділяє Національний антидопінговий центр повноваженнями щодо затвердження антидопінгових правил, вимог до компетенції, кваліфікації допінг-офіцерів, видачі дозволів на терапевтичне використання заборонених речовин та методів, а також забезпечення відповідності антидопінгової діяльності вимогам цього Закону, Міжнародної конвенції про боротьбу з допінгом у спорті, Антидопінгової конвенції.</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lastRenderedPageBreak/>
        <w:t>Відтак</w:t>
      </w:r>
      <w:r w:rsidR="00AD3E0F">
        <w:rPr>
          <w:rFonts w:ascii="Times New Roman" w:hAnsi="Times New Roman"/>
          <w:sz w:val="28"/>
          <w:szCs w:val="28"/>
        </w:rPr>
        <w:t>,</w:t>
      </w:r>
      <w:r w:rsidRPr="00C163CE">
        <w:rPr>
          <w:rFonts w:ascii="Times New Roman" w:hAnsi="Times New Roman"/>
          <w:sz w:val="28"/>
          <w:szCs w:val="28"/>
        </w:rPr>
        <w:t xml:space="preserve"> мова йде про державне регулювання з боку</w:t>
      </w:r>
      <w:r w:rsidRPr="00C163CE">
        <w:t xml:space="preserve"> </w:t>
      </w:r>
      <w:r w:rsidRPr="00C163CE">
        <w:rPr>
          <w:rFonts w:ascii="Times New Roman" w:hAnsi="Times New Roman"/>
          <w:sz w:val="28"/>
          <w:szCs w:val="28"/>
        </w:rPr>
        <w:t>Націо</w:t>
      </w:r>
      <w:r w:rsidR="001B67CE">
        <w:rPr>
          <w:rFonts w:ascii="Times New Roman" w:hAnsi="Times New Roman"/>
          <w:sz w:val="28"/>
          <w:szCs w:val="28"/>
        </w:rPr>
        <w:t>нального антидопінгового центру, та по</w:t>
      </w:r>
      <w:r w:rsidR="001B67CE" w:rsidRPr="001B67CE">
        <w:rPr>
          <w:rFonts w:ascii="Times New Roman" w:hAnsi="Times New Roman"/>
          <w:sz w:val="28"/>
          <w:szCs w:val="28"/>
        </w:rPr>
        <w:t xml:space="preserve"> суті передбачає делегування повноважень органів державної влади</w:t>
      </w:r>
      <w:r w:rsidR="001B67CE">
        <w:rPr>
          <w:rFonts w:ascii="Times New Roman" w:hAnsi="Times New Roman"/>
          <w:sz w:val="28"/>
          <w:szCs w:val="28"/>
        </w:rPr>
        <w:t>,</w:t>
      </w:r>
      <w:r w:rsidR="001B67CE" w:rsidRPr="001B67CE">
        <w:rPr>
          <w:rFonts w:ascii="Times New Roman" w:hAnsi="Times New Roman"/>
          <w:sz w:val="28"/>
          <w:szCs w:val="28"/>
        </w:rPr>
        <w:t xml:space="preserve"> що призведе до порушення конституційної моделі організації влади та суперечитиме статті 5 Конституції України, відповідно до якої народ, як єдине джерело влади в Україні, здійснює владу безпосередньо і через органи державної влади та органи місцевого самоврядування</w:t>
      </w:r>
      <w:r w:rsidR="00C7077B">
        <w:rPr>
          <w:rFonts w:ascii="Times New Roman" w:hAnsi="Times New Roman"/>
          <w:sz w:val="28"/>
          <w:szCs w:val="28"/>
        </w:rPr>
        <w:t>.</w:t>
      </w:r>
    </w:p>
    <w:p w:rsidR="009A40D6" w:rsidRPr="00C163CE" w:rsidRDefault="00161D6C" w:rsidP="00161D6C">
      <w:pPr>
        <w:spacing w:after="120" w:line="240" w:lineRule="auto"/>
        <w:ind w:firstLine="709"/>
        <w:jc w:val="both"/>
        <w:rPr>
          <w:rFonts w:ascii="Times New Roman" w:hAnsi="Times New Roman"/>
          <w:sz w:val="28"/>
          <w:szCs w:val="28"/>
        </w:rPr>
      </w:pPr>
      <w:bookmarkStart w:id="0" w:name="_GoBack"/>
      <w:bookmarkEnd w:id="0"/>
      <w:r>
        <w:rPr>
          <w:rFonts w:ascii="Times New Roman" w:hAnsi="Times New Roman"/>
          <w:sz w:val="28"/>
          <w:szCs w:val="28"/>
        </w:rPr>
        <w:t>С</w:t>
      </w:r>
      <w:r w:rsidR="009A40D6" w:rsidRPr="00C163CE">
        <w:rPr>
          <w:rFonts w:ascii="Times New Roman" w:hAnsi="Times New Roman"/>
          <w:sz w:val="28"/>
          <w:szCs w:val="28"/>
        </w:rPr>
        <w:t>татт</w:t>
      </w:r>
      <w:r>
        <w:rPr>
          <w:rFonts w:ascii="Times New Roman" w:hAnsi="Times New Roman"/>
          <w:sz w:val="28"/>
          <w:szCs w:val="28"/>
        </w:rPr>
        <w:t>я</w:t>
      </w:r>
      <w:r w:rsidR="009A40D6" w:rsidRPr="00C163CE">
        <w:rPr>
          <w:rFonts w:ascii="Times New Roman" w:hAnsi="Times New Roman"/>
          <w:sz w:val="28"/>
          <w:szCs w:val="28"/>
        </w:rPr>
        <w:t xml:space="preserve"> 6 Конституції України</w:t>
      </w:r>
      <w:r>
        <w:rPr>
          <w:rFonts w:ascii="Times New Roman" w:hAnsi="Times New Roman"/>
          <w:sz w:val="28"/>
          <w:szCs w:val="28"/>
        </w:rPr>
        <w:t xml:space="preserve"> наголошує, що</w:t>
      </w:r>
      <w:r w:rsidR="009A40D6" w:rsidRPr="00C163CE">
        <w:rPr>
          <w:rFonts w:ascii="Times New Roman" w:hAnsi="Times New Roman"/>
          <w:sz w:val="28"/>
          <w:szCs w:val="28"/>
        </w:rPr>
        <w:t xml:space="preserve"> державна влада в Україні здійснюється на засадах її поділу на законодавчу, виконавчу та судову. Органи законодавчої, виконавчої та судової влади здійснюють свої повноваження у встановлених цією Конституцією межах і відповідно до законів України.</w:t>
      </w:r>
    </w:p>
    <w:p w:rsidR="009A40D6" w:rsidRPr="00C163CE" w:rsidRDefault="009A40D6" w:rsidP="009A40D6">
      <w:pPr>
        <w:spacing w:after="120" w:line="240" w:lineRule="auto"/>
        <w:ind w:firstLine="709"/>
        <w:jc w:val="both"/>
        <w:rPr>
          <w:rFonts w:ascii="Times New Roman" w:hAnsi="Times New Roman"/>
          <w:sz w:val="28"/>
          <w:szCs w:val="28"/>
        </w:rPr>
      </w:pPr>
      <w:r w:rsidRPr="00C163CE">
        <w:rPr>
          <w:rFonts w:ascii="Times New Roman" w:hAnsi="Times New Roman"/>
          <w:sz w:val="28"/>
          <w:szCs w:val="28"/>
        </w:rPr>
        <w:t>Так, Кабінет Міністрів України здійснює виконавчу владу безпосередньо та через міністерства, інші центральні органи виконавчої влади, Раду міністрів Автономної Республіки Крим та місцеві державні адміністрації (частина друга статті 1 Закону України «Про Кабінет Міністрів України»).</w:t>
      </w:r>
    </w:p>
    <w:p w:rsidR="009A40D6" w:rsidRPr="00C163CE" w:rsidRDefault="00AD3E0F" w:rsidP="009A40D6">
      <w:pPr>
        <w:spacing w:after="120" w:line="240" w:lineRule="auto"/>
        <w:ind w:firstLine="709"/>
        <w:jc w:val="both"/>
        <w:rPr>
          <w:rFonts w:ascii="Times New Roman" w:hAnsi="Times New Roman"/>
          <w:sz w:val="28"/>
          <w:szCs w:val="28"/>
        </w:rPr>
      </w:pPr>
      <w:r>
        <w:rPr>
          <w:rFonts w:ascii="Times New Roman" w:hAnsi="Times New Roman"/>
          <w:sz w:val="28"/>
          <w:szCs w:val="28"/>
        </w:rPr>
        <w:t>Отже</w:t>
      </w:r>
      <w:r w:rsidR="009A40D6" w:rsidRPr="00C163CE">
        <w:rPr>
          <w:rFonts w:ascii="Times New Roman" w:hAnsi="Times New Roman"/>
          <w:sz w:val="28"/>
          <w:szCs w:val="28"/>
        </w:rPr>
        <w:t>, державна установа не може здійснювати владних повноважень та не є суб’єктом державного регулювання.</w:t>
      </w:r>
    </w:p>
    <w:p w:rsidR="009A40D6" w:rsidRPr="00C163CE" w:rsidRDefault="009A40D6" w:rsidP="009A40D6">
      <w:pPr>
        <w:spacing w:after="120" w:line="240" w:lineRule="auto"/>
        <w:ind w:firstLine="708"/>
        <w:jc w:val="both"/>
        <w:rPr>
          <w:rFonts w:ascii="Times New Roman" w:hAnsi="Times New Roman"/>
          <w:sz w:val="28"/>
          <w:szCs w:val="28"/>
        </w:rPr>
      </w:pP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Крім того, законопроект наділяє Національний антидопінговий центр функціями щодо</w:t>
      </w:r>
      <w:r w:rsidRPr="00C163CE">
        <w:t xml:space="preserve"> </w:t>
      </w:r>
      <w:r w:rsidRPr="00C163CE">
        <w:rPr>
          <w:rFonts w:ascii="Times New Roman" w:hAnsi="Times New Roman"/>
          <w:sz w:val="28"/>
          <w:szCs w:val="28"/>
          <w:u w:val="single"/>
        </w:rPr>
        <w:t>планування, впровадження, оцінки та перевірки</w:t>
      </w:r>
      <w:r w:rsidRPr="00C163CE">
        <w:rPr>
          <w:rFonts w:ascii="Times New Roman" w:hAnsi="Times New Roman"/>
          <w:sz w:val="28"/>
          <w:szCs w:val="28"/>
        </w:rPr>
        <w:t xml:space="preserve"> інформаційних та </w:t>
      </w:r>
      <w:r w:rsidRPr="00C163CE">
        <w:rPr>
          <w:rFonts w:ascii="Times New Roman" w:hAnsi="Times New Roman"/>
          <w:sz w:val="28"/>
          <w:szCs w:val="28"/>
          <w:u w:val="single"/>
        </w:rPr>
        <w:t>освітніх програм</w:t>
      </w:r>
      <w:r w:rsidRPr="00C163CE">
        <w:rPr>
          <w:rFonts w:ascii="Times New Roman" w:hAnsi="Times New Roman"/>
          <w:sz w:val="28"/>
          <w:szCs w:val="28"/>
        </w:rPr>
        <w:t xml:space="preserve"> із запобігання використанню допінгу у спорті, </w:t>
      </w:r>
      <w:r w:rsidRPr="00C163CE">
        <w:rPr>
          <w:rFonts w:ascii="Times New Roman" w:hAnsi="Times New Roman"/>
          <w:sz w:val="28"/>
          <w:szCs w:val="28"/>
          <w:u w:val="single"/>
        </w:rPr>
        <w:t>затвердження вимог до компетенції, кваліфікації</w:t>
      </w:r>
      <w:r w:rsidRPr="00C163CE">
        <w:rPr>
          <w:rFonts w:ascii="Times New Roman" w:hAnsi="Times New Roman"/>
          <w:sz w:val="28"/>
          <w:szCs w:val="28"/>
        </w:rPr>
        <w:t xml:space="preserve"> допінг-офіцерів, а також здійснення заходів з </w:t>
      </w:r>
      <w:r w:rsidRPr="00C163CE">
        <w:rPr>
          <w:rFonts w:ascii="Times New Roman" w:hAnsi="Times New Roman"/>
          <w:sz w:val="28"/>
          <w:szCs w:val="28"/>
          <w:u w:val="single"/>
        </w:rPr>
        <w:t>навчання, видачі посвідчень</w:t>
      </w:r>
      <w:r w:rsidRPr="00C163CE">
        <w:rPr>
          <w:rFonts w:ascii="Times New Roman" w:hAnsi="Times New Roman"/>
          <w:sz w:val="28"/>
          <w:szCs w:val="28"/>
        </w:rPr>
        <w:t xml:space="preserve"> та уповноваження допінг-офіцерів (частина сьома статті 4).</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Насамперед слід зазначити, що термінологія законопроекту не передбачає визначення </w:t>
      </w:r>
      <w:proofErr w:type="spellStart"/>
      <w:r w:rsidRPr="00C163CE">
        <w:rPr>
          <w:rFonts w:ascii="Times New Roman" w:hAnsi="Times New Roman"/>
          <w:sz w:val="28"/>
          <w:szCs w:val="28"/>
        </w:rPr>
        <w:t>терміна</w:t>
      </w:r>
      <w:proofErr w:type="spellEnd"/>
      <w:r w:rsidRPr="00C163CE">
        <w:rPr>
          <w:rFonts w:ascii="Times New Roman" w:hAnsi="Times New Roman"/>
          <w:sz w:val="28"/>
          <w:szCs w:val="28"/>
        </w:rPr>
        <w:t xml:space="preserve"> «допінг-офіцер», на відміну від чинної редакції Закону України «Про антидопінговий контроль у спорті», який згідно з пунктом 2 розділу </w:t>
      </w:r>
      <w:r w:rsidRPr="00C163CE">
        <w:rPr>
          <w:rFonts w:ascii="Times New Roman" w:hAnsi="Times New Roman"/>
          <w:sz w:val="28"/>
          <w:szCs w:val="28"/>
          <w:lang w:val="en-US"/>
        </w:rPr>
        <w:t>V</w:t>
      </w:r>
      <w:r w:rsidRPr="00C163CE">
        <w:rPr>
          <w:rFonts w:ascii="Times New Roman" w:hAnsi="Times New Roman"/>
          <w:sz w:val="28"/>
          <w:szCs w:val="28"/>
        </w:rPr>
        <w:t xml:space="preserve"> «Прикінцеві положення» законопроекту втрачає чинність. При цьому за термінологією законопроекту наводиться визначення «офіцер допінг-контролю — особа, яка пройшла відповідне навчання та уповноважена антидопінговою організацією на </w:t>
      </w:r>
      <w:r w:rsidRPr="00C163CE">
        <w:rPr>
          <w:rFonts w:ascii="Times New Roman" w:hAnsi="Times New Roman"/>
          <w:sz w:val="28"/>
          <w:szCs w:val="28"/>
          <w:u w:val="single"/>
        </w:rPr>
        <w:t>відбір проб</w:t>
      </w:r>
      <w:r w:rsidRPr="00C163CE">
        <w:rPr>
          <w:rFonts w:ascii="Times New Roman" w:hAnsi="Times New Roman"/>
          <w:sz w:val="28"/>
          <w:szCs w:val="28"/>
        </w:rPr>
        <w:t xml:space="preserve"> відповідно до Міжнародного стандарту з тестування та розслідувань».</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Частиною п</w:t>
      </w:r>
      <w:r w:rsidRPr="00C163CE">
        <w:rPr>
          <w:rFonts w:ascii="Times New Roman" w:hAnsi="Times New Roman"/>
          <w:sz w:val="28"/>
          <w:szCs w:val="28"/>
          <w:lang w:val="ru-RU"/>
        </w:rPr>
        <w:t>’</w:t>
      </w:r>
      <w:proofErr w:type="spellStart"/>
      <w:r w:rsidRPr="00C163CE">
        <w:rPr>
          <w:rFonts w:ascii="Times New Roman" w:hAnsi="Times New Roman"/>
          <w:sz w:val="28"/>
          <w:szCs w:val="28"/>
        </w:rPr>
        <w:t>ятою</w:t>
      </w:r>
      <w:proofErr w:type="spellEnd"/>
      <w:r w:rsidRPr="00C163CE">
        <w:rPr>
          <w:rFonts w:ascii="Times New Roman" w:hAnsi="Times New Roman"/>
          <w:sz w:val="28"/>
          <w:szCs w:val="28"/>
        </w:rPr>
        <w:t xml:space="preserve"> статті 9 законопроекту передбачено, що тестування спортсменів, які є громадянами України чи перебувають на території України на законних підставах, проводиться Національним антидопінговим центром або </w:t>
      </w:r>
      <w:r w:rsidRPr="00C163CE">
        <w:rPr>
          <w:rFonts w:ascii="Times New Roman" w:hAnsi="Times New Roman"/>
          <w:sz w:val="28"/>
          <w:szCs w:val="28"/>
          <w:u w:val="single"/>
        </w:rPr>
        <w:t>будь-якою антидопінговою організацією</w:t>
      </w:r>
      <w:r w:rsidRPr="00C163CE">
        <w:rPr>
          <w:rFonts w:ascii="Times New Roman" w:hAnsi="Times New Roman"/>
          <w:sz w:val="28"/>
          <w:szCs w:val="28"/>
        </w:rPr>
        <w:t xml:space="preserve">. А за термінологією законопроекту тестування включає відбір допінг-проб, який відповідно здійснює офіцер допінг-контролю. При цьому законопроект не визначає статусу офіцера допінг-контролю, як посадової особи </w:t>
      </w:r>
      <w:r w:rsidRPr="00C163CE">
        <w:rPr>
          <w:rFonts w:ascii="Times New Roman" w:hAnsi="Times New Roman"/>
          <w:sz w:val="28"/>
          <w:szCs w:val="28"/>
          <w:u w:val="single"/>
        </w:rPr>
        <w:t>тієї чи іншої організації</w:t>
      </w:r>
      <w:r w:rsidRPr="00C163CE">
        <w:rPr>
          <w:rFonts w:ascii="Times New Roman" w:hAnsi="Times New Roman"/>
          <w:sz w:val="28"/>
          <w:szCs w:val="28"/>
        </w:rPr>
        <w:t xml:space="preserve"> чи ведення нею господарської діяльності, а також не встановлює вимог щодо отримання посвідчення, яке видає Національний антидопінговий центр. Відтак, у зв’язку з правовою невизначеністю та неузгодженістю положень законопроекту виникає ситуація, за якої відповідно офіцер допінг-контролю </w:t>
      </w:r>
      <w:r w:rsidRPr="00C163CE">
        <w:rPr>
          <w:rFonts w:ascii="Times New Roman" w:hAnsi="Times New Roman"/>
          <w:sz w:val="28"/>
          <w:szCs w:val="28"/>
        </w:rPr>
        <w:lastRenderedPageBreak/>
        <w:t xml:space="preserve">може перебувати у трудових відносинах з будь-якою антидопінговою організацією, але має пройти навчання у Національному антидопінговому центрі, а у розрізі повноважень цього центру ще і «отримати посвідчення». При цьому законопроект не встановлює платності чи безоплатності такого навчання.  </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Однак Закон України «Про освіту» наводить визначення </w:t>
      </w:r>
      <w:proofErr w:type="spellStart"/>
      <w:r w:rsidRPr="00C163CE">
        <w:rPr>
          <w:rFonts w:ascii="Times New Roman" w:hAnsi="Times New Roman"/>
          <w:sz w:val="28"/>
          <w:szCs w:val="28"/>
        </w:rPr>
        <w:t>терміна</w:t>
      </w:r>
      <w:proofErr w:type="spellEnd"/>
      <w:r w:rsidRPr="00C163CE">
        <w:rPr>
          <w:rFonts w:ascii="Times New Roman" w:hAnsi="Times New Roman"/>
          <w:sz w:val="28"/>
          <w:szCs w:val="28"/>
        </w:rPr>
        <w:t xml:space="preserve"> «освітня послуга - комплекс визначених законодавством, освітньою програмою та/або договором дій суб’єкта освітньої діяльності, що мають </w:t>
      </w:r>
      <w:r w:rsidRPr="00C163CE">
        <w:rPr>
          <w:rFonts w:ascii="Times New Roman" w:hAnsi="Times New Roman"/>
          <w:sz w:val="28"/>
          <w:szCs w:val="28"/>
          <w:u w:val="single"/>
        </w:rPr>
        <w:t>визначену вартість</w:t>
      </w:r>
      <w:r w:rsidRPr="00C163CE">
        <w:rPr>
          <w:rFonts w:ascii="Times New Roman" w:hAnsi="Times New Roman"/>
          <w:sz w:val="28"/>
          <w:szCs w:val="28"/>
        </w:rPr>
        <w:t xml:space="preserve"> та спрямовані на досягнення здобувачем освіти очікуваних результатів навчання».</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Крім того, слід зазначити, що </w:t>
      </w:r>
      <w:r w:rsidRPr="00C163CE">
        <w:rPr>
          <w:rFonts w:ascii="Times New Roman" w:hAnsi="Times New Roman"/>
          <w:sz w:val="28"/>
          <w:szCs w:val="28"/>
          <w:u w:val="single"/>
        </w:rPr>
        <w:t>процедури присудження (присвоєння), підтвердження кваліфікацій</w:t>
      </w:r>
      <w:r w:rsidRPr="00C163CE">
        <w:rPr>
          <w:rFonts w:ascii="Times New Roman" w:hAnsi="Times New Roman"/>
          <w:sz w:val="28"/>
          <w:szCs w:val="28"/>
        </w:rPr>
        <w:t xml:space="preserve">, а також порядок утворення та діяльності і правовий статус суб’єктів, що здійснюють діяльність з оцінювання і визнання освітніх та/або професійних кваліфікацій, визначаються </w:t>
      </w:r>
      <w:r w:rsidRPr="00C163CE">
        <w:rPr>
          <w:rFonts w:ascii="Times New Roman" w:hAnsi="Times New Roman"/>
          <w:sz w:val="28"/>
          <w:szCs w:val="28"/>
          <w:u w:val="single"/>
        </w:rPr>
        <w:t>спеціальними законами та іншими нормативно-правовими актами</w:t>
      </w:r>
      <w:r w:rsidRPr="00C163CE">
        <w:rPr>
          <w:rFonts w:ascii="Times New Roman" w:hAnsi="Times New Roman"/>
          <w:sz w:val="28"/>
          <w:szCs w:val="28"/>
        </w:rPr>
        <w:t xml:space="preserve"> (частина десята статті 34 Закону України «Про освіту»). </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Щодо ж повноваження Національного антидопінгового центру з планування, впровадження, оцінки та перевірки освітніх програм зазначаємо, що відповідно до частини третьої статті 33 Закону України «Про освіту» освітні програми розробляються закладами освіти, науковими установами, іншими суб’єктами освітньої діяльності та </w:t>
      </w:r>
      <w:r w:rsidRPr="00C163CE">
        <w:rPr>
          <w:rFonts w:ascii="Times New Roman" w:hAnsi="Times New Roman"/>
          <w:sz w:val="28"/>
          <w:szCs w:val="28"/>
          <w:u w:val="single"/>
        </w:rPr>
        <w:t>затверджуються відповідно до цього Закону та спеціальних законів.</w:t>
      </w:r>
    </w:p>
    <w:p w:rsidR="009A40D6" w:rsidRPr="00C163CE" w:rsidRDefault="009A40D6" w:rsidP="009A40D6">
      <w:pPr>
        <w:spacing w:after="120" w:line="240" w:lineRule="auto"/>
        <w:ind w:firstLine="709"/>
        <w:jc w:val="both"/>
        <w:rPr>
          <w:rFonts w:ascii="Times New Roman" w:hAnsi="Times New Roman"/>
          <w:i/>
          <w:sz w:val="28"/>
          <w:szCs w:val="28"/>
        </w:rPr>
      </w:pPr>
      <w:r w:rsidRPr="00C163CE">
        <w:rPr>
          <w:rFonts w:ascii="Times New Roman" w:hAnsi="Times New Roman"/>
          <w:i/>
          <w:sz w:val="28"/>
          <w:szCs w:val="28"/>
        </w:rPr>
        <w:t>Щодо призначення директора Національного антидопінгового центру</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Частиною восьмою статті 4 законопроекту передбачено, що Національний антидопінговий центр очолює директор, який за результатами конкурсу та за поданням Наглядової ради </w:t>
      </w:r>
      <w:r w:rsidRPr="00C163CE">
        <w:rPr>
          <w:rFonts w:ascii="Times New Roman" w:hAnsi="Times New Roman"/>
          <w:sz w:val="28"/>
          <w:szCs w:val="28"/>
          <w:u w:val="single"/>
        </w:rPr>
        <w:t>призначається на посаду керівником центрального органу виконавчої влади, що забезпечує формування та реалізує державну політику у сфері фізичної культури і спорту</w:t>
      </w:r>
      <w:r w:rsidRPr="00C163CE">
        <w:rPr>
          <w:rFonts w:ascii="Times New Roman" w:hAnsi="Times New Roman"/>
          <w:sz w:val="28"/>
          <w:szCs w:val="28"/>
        </w:rPr>
        <w:t xml:space="preserve">, строком на п’ять років, а Положенням про Національний антидопінговий центр затверджується </w:t>
      </w:r>
      <w:r w:rsidRPr="00C163CE">
        <w:rPr>
          <w:rFonts w:ascii="Times New Roman" w:hAnsi="Times New Roman"/>
          <w:sz w:val="28"/>
          <w:szCs w:val="28"/>
          <w:u w:val="single"/>
        </w:rPr>
        <w:t>Кабінетом Міністрів України</w:t>
      </w:r>
      <w:r w:rsidRPr="00C163CE">
        <w:rPr>
          <w:rFonts w:ascii="Times New Roman" w:hAnsi="Times New Roman"/>
          <w:sz w:val="28"/>
          <w:szCs w:val="28"/>
        </w:rPr>
        <w:t xml:space="preserve"> (частина четверта).</w:t>
      </w:r>
    </w:p>
    <w:p w:rsidR="009A40D6" w:rsidRPr="00C163CE" w:rsidRDefault="009A40D6" w:rsidP="009A40D6">
      <w:pPr>
        <w:spacing w:after="120" w:line="240" w:lineRule="auto"/>
        <w:ind w:firstLine="708"/>
        <w:jc w:val="both"/>
        <w:rPr>
          <w:rFonts w:ascii="Times New Roman" w:hAnsi="Times New Roman"/>
          <w:sz w:val="28"/>
          <w:szCs w:val="28"/>
          <w:u w:val="single"/>
        </w:rPr>
      </w:pPr>
      <w:r w:rsidRPr="00C163CE">
        <w:rPr>
          <w:rFonts w:ascii="Times New Roman" w:hAnsi="Times New Roman"/>
          <w:sz w:val="28"/>
          <w:szCs w:val="28"/>
        </w:rPr>
        <w:t xml:space="preserve">Однак відповідно до частини другої статті 8 Закону України «Про центральні органи виконавчої влади» міністр як керівник міністерства призначає на посаду та звільняє з посади керівників підприємств, установ, організацій, </w:t>
      </w:r>
      <w:r w:rsidRPr="00C163CE">
        <w:rPr>
          <w:rFonts w:ascii="Times New Roman" w:hAnsi="Times New Roman"/>
          <w:sz w:val="28"/>
          <w:szCs w:val="28"/>
          <w:u w:val="single"/>
        </w:rPr>
        <w:t>що належать до сфери управління міністерства.</w:t>
      </w:r>
    </w:p>
    <w:p w:rsidR="009A40D6" w:rsidRPr="00C163CE" w:rsidRDefault="009A40D6" w:rsidP="009A40D6">
      <w:pPr>
        <w:spacing w:after="120" w:line="240" w:lineRule="auto"/>
        <w:ind w:firstLine="708"/>
        <w:jc w:val="both"/>
        <w:rPr>
          <w:rFonts w:ascii="Times New Roman" w:hAnsi="Times New Roman"/>
          <w:sz w:val="28"/>
          <w:szCs w:val="28"/>
          <w:u w:val="single"/>
        </w:rPr>
      </w:pPr>
      <w:r w:rsidRPr="00C163CE">
        <w:rPr>
          <w:rFonts w:ascii="Times New Roman" w:hAnsi="Times New Roman"/>
          <w:sz w:val="28"/>
          <w:szCs w:val="28"/>
        </w:rPr>
        <w:t xml:space="preserve">Так, статтею 24 Закону України «Про Кабінет Міністрів України» визначено, що Кабінет Міністрів України затверджує положення та статути державних господарських об’єднань, підприємств, установ та організацій, розмір асигнувань на їх утримання і граничну чисельність працівників, </w:t>
      </w:r>
      <w:r w:rsidRPr="00C163CE">
        <w:rPr>
          <w:rFonts w:ascii="Times New Roman" w:hAnsi="Times New Roman"/>
          <w:sz w:val="28"/>
          <w:szCs w:val="28"/>
          <w:u w:val="single"/>
        </w:rPr>
        <w:t xml:space="preserve">призначає на посаду та звільняє з посади їх керівників і заступників керівників. </w:t>
      </w:r>
    </w:p>
    <w:p w:rsidR="009A40D6" w:rsidRPr="00C163CE" w:rsidRDefault="009A40D6" w:rsidP="009A40D6">
      <w:pPr>
        <w:spacing w:after="120" w:line="240" w:lineRule="auto"/>
        <w:ind w:firstLine="709"/>
        <w:jc w:val="both"/>
        <w:rPr>
          <w:rFonts w:ascii="Times New Roman" w:hAnsi="Times New Roman"/>
          <w:sz w:val="28"/>
          <w:szCs w:val="28"/>
        </w:rPr>
      </w:pP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lastRenderedPageBreak/>
        <w:t xml:space="preserve">6. Частиною першою статті 5 законопроекту передбачено, що нагляд за діяльністю Національного антидопінгового центру здійснює </w:t>
      </w:r>
      <w:r w:rsidRPr="00C163CE">
        <w:rPr>
          <w:rFonts w:ascii="Times New Roman" w:hAnsi="Times New Roman"/>
          <w:sz w:val="28"/>
          <w:szCs w:val="28"/>
          <w:u w:val="single"/>
        </w:rPr>
        <w:t>Наглядова рада, що є дорадчим органом та діє в межах повноважень</w:t>
      </w:r>
      <w:r w:rsidRPr="00C163CE">
        <w:rPr>
          <w:rFonts w:ascii="Times New Roman" w:hAnsi="Times New Roman"/>
          <w:sz w:val="28"/>
          <w:szCs w:val="28"/>
        </w:rPr>
        <w:t>, визначених цим Законом. При цьому стаття 6 законопроекту визначає склад Наглядової ради.</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Звертаємо увагу, що законопроект не визначає</w:t>
      </w:r>
      <w:r w:rsidR="00C316B7">
        <w:rPr>
          <w:rFonts w:ascii="Times New Roman" w:hAnsi="Times New Roman"/>
          <w:sz w:val="28"/>
          <w:szCs w:val="28"/>
        </w:rPr>
        <w:t>,</w:t>
      </w:r>
      <w:r w:rsidRPr="00C163CE">
        <w:rPr>
          <w:rFonts w:ascii="Times New Roman" w:hAnsi="Times New Roman"/>
          <w:sz w:val="28"/>
          <w:szCs w:val="28"/>
        </w:rPr>
        <w:t xml:space="preserve"> який саме орган виконавчої влади утвор</w:t>
      </w:r>
      <w:r w:rsidR="00C316B7">
        <w:rPr>
          <w:rFonts w:ascii="Times New Roman" w:hAnsi="Times New Roman"/>
          <w:sz w:val="28"/>
          <w:szCs w:val="28"/>
        </w:rPr>
        <w:t>ює цей дорадчий орган. Зважаючи</w:t>
      </w:r>
      <w:r w:rsidRPr="00C163CE">
        <w:rPr>
          <w:rFonts w:ascii="Times New Roman" w:hAnsi="Times New Roman"/>
          <w:sz w:val="28"/>
          <w:szCs w:val="28"/>
        </w:rPr>
        <w:t xml:space="preserve"> на положення частини другої статті 6 законопроекту</w:t>
      </w:r>
      <w:r w:rsidR="00C316B7">
        <w:rPr>
          <w:rFonts w:ascii="Times New Roman" w:hAnsi="Times New Roman"/>
          <w:sz w:val="28"/>
          <w:szCs w:val="28"/>
        </w:rPr>
        <w:t>,</w:t>
      </w:r>
      <w:r w:rsidRPr="00C163CE">
        <w:rPr>
          <w:rFonts w:ascii="Times New Roman" w:hAnsi="Times New Roman"/>
          <w:sz w:val="28"/>
          <w:szCs w:val="28"/>
        </w:rPr>
        <w:t xml:space="preserve"> можна зробити висновок, що Наглядова рада це дорадчий орган Кабінету Міністрів України. О</w:t>
      </w:r>
      <w:r w:rsidR="00C316B7">
        <w:rPr>
          <w:rFonts w:ascii="Times New Roman" w:hAnsi="Times New Roman"/>
          <w:sz w:val="28"/>
          <w:szCs w:val="28"/>
        </w:rPr>
        <w:t>днак</w:t>
      </w:r>
      <w:r w:rsidRPr="00C163CE">
        <w:rPr>
          <w:rFonts w:ascii="Times New Roman" w:hAnsi="Times New Roman"/>
          <w:sz w:val="28"/>
          <w:szCs w:val="28"/>
        </w:rPr>
        <w:t xml:space="preserve"> відповідно до статті 48 Закону України «Про Кабінет Міністрів України» Кабінет Міністрів України утворює тимчасові консультативні, дорадчі та інші допоміжні органи </w:t>
      </w:r>
      <w:r w:rsidRPr="00C163CE">
        <w:rPr>
          <w:rFonts w:ascii="Times New Roman" w:hAnsi="Times New Roman"/>
          <w:sz w:val="28"/>
          <w:szCs w:val="28"/>
          <w:u w:val="single"/>
        </w:rPr>
        <w:t>для забезпечення здійснення своїх повноважень,</w:t>
      </w:r>
      <w:r w:rsidRPr="00C163CE">
        <w:rPr>
          <w:rFonts w:ascii="Times New Roman" w:hAnsi="Times New Roman"/>
          <w:sz w:val="28"/>
          <w:szCs w:val="28"/>
        </w:rPr>
        <w:t xml:space="preserve"> при цьому завдання, </w:t>
      </w:r>
      <w:r w:rsidRPr="00C163CE">
        <w:rPr>
          <w:rFonts w:ascii="Times New Roman" w:hAnsi="Times New Roman"/>
          <w:sz w:val="28"/>
          <w:szCs w:val="28"/>
          <w:u w:val="single"/>
        </w:rPr>
        <w:t xml:space="preserve">склад </w:t>
      </w:r>
      <w:r w:rsidRPr="00C163CE">
        <w:rPr>
          <w:rFonts w:ascii="Times New Roman" w:hAnsi="Times New Roman"/>
          <w:sz w:val="28"/>
          <w:szCs w:val="28"/>
        </w:rPr>
        <w:t xml:space="preserve">та організація роботи консультативних, дорадчих та інших допоміжних органів </w:t>
      </w:r>
      <w:r w:rsidRPr="00C163CE">
        <w:rPr>
          <w:rFonts w:ascii="Times New Roman" w:hAnsi="Times New Roman"/>
          <w:sz w:val="28"/>
          <w:szCs w:val="28"/>
          <w:u w:val="single"/>
        </w:rPr>
        <w:t>визначаються Кабінетом Міністрів України.</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Згідно зі статтею 6 Конституції України державна влада в Україні здійснюється на засадах її поділу на законодавчу, виконавчу та судову. Органи законодавчої, виконавчої та судової влади здійснюють свої повноваження у встановлених цією Конституцією межах і відповідно до законів України.</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Конституційний Суд України у Рішенні від 5 жовтня 2005 року № 6 </w:t>
      </w:r>
      <w:proofErr w:type="spellStart"/>
      <w:r w:rsidRPr="00C163CE">
        <w:rPr>
          <w:rFonts w:ascii="Times New Roman" w:hAnsi="Times New Roman"/>
          <w:sz w:val="28"/>
          <w:szCs w:val="28"/>
        </w:rPr>
        <w:t>рп</w:t>
      </w:r>
      <w:proofErr w:type="spellEnd"/>
      <w:r w:rsidRPr="00C163CE">
        <w:rPr>
          <w:rFonts w:ascii="Times New Roman" w:hAnsi="Times New Roman"/>
          <w:sz w:val="28"/>
          <w:szCs w:val="28"/>
        </w:rPr>
        <w:t xml:space="preserve">/2005 </w:t>
      </w:r>
      <w:r w:rsidR="00C316B7">
        <w:rPr>
          <w:rFonts w:ascii="Times New Roman" w:hAnsi="Times New Roman"/>
          <w:sz w:val="28"/>
          <w:szCs w:val="28"/>
        </w:rPr>
        <w:t>зазначив</w:t>
      </w:r>
      <w:r w:rsidRPr="00C163CE">
        <w:rPr>
          <w:rFonts w:ascii="Times New Roman" w:hAnsi="Times New Roman"/>
          <w:sz w:val="28"/>
          <w:szCs w:val="28"/>
        </w:rPr>
        <w:t xml:space="preserve"> таке: "Положення частини четвертої статті 5 Конституції України "ніхто не може узурпувати державну владу" треба розуміти як заборону захоплення державної влади шляхом насилля або в інший неконституційний чи незаконний спосіб органами державної влади та органами місцевого самоврядування, їх посадовими особами, громадянами чи їх об’єднаннями". </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Відтак, конституційні повноваження Верховної Ради України унеможливлюють вирішення законом питання, яке іншим законом віднесено до повноважень іншого ор</w:t>
      </w:r>
      <w:r w:rsidR="00C316B7">
        <w:rPr>
          <w:rFonts w:ascii="Times New Roman" w:hAnsi="Times New Roman"/>
          <w:sz w:val="28"/>
          <w:szCs w:val="28"/>
        </w:rPr>
        <w:t>гану чи посадової особи. А тому</w:t>
      </w:r>
      <w:r w:rsidRPr="00C163CE">
        <w:rPr>
          <w:rFonts w:ascii="Times New Roman" w:hAnsi="Times New Roman"/>
          <w:sz w:val="28"/>
          <w:szCs w:val="28"/>
        </w:rPr>
        <w:t xml:space="preserve"> згадане положення законопроекту не узгоджується також із правовою позицією Конституційного Суду України, викладеною у Рішенні від 3 жовтня 1997 року № 4-зп, за змістом якої конкретна сфера суспільних відносин не може бути водночас врегульована </w:t>
      </w:r>
      <w:proofErr w:type="spellStart"/>
      <w:r w:rsidRPr="00C163CE">
        <w:rPr>
          <w:rFonts w:ascii="Times New Roman" w:hAnsi="Times New Roman"/>
          <w:sz w:val="28"/>
          <w:szCs w:val="28"/>
        </w:rPr>
        <w:t>однопредметними</w:t>
      </w:r>
      <w:proofErr w:type="spellEnd"/>
      <w:r w:rsidRPr="00C163CE">
        <w:rPr>
          <w:rFonts w:ascii="Times New Roman" w:hAnsi="Times New Roman"/>
          <w:sz w:val="28"/>
          <w:szCs w:val="28"/>
        </w:rPr>
        <w:t xml:space="preserve"> нормативними правовими актами однакової сили, які за змістом суперечать один одному.</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Принагідно звертаємо увагу, що такий допоміжний орган Кабінету Міністрів України</w:t>
      </w:r>
      <w:r w:rsidR="00C316B7">
        <w:rPr>
          <w:rFonts w:ascii="Times New Roman" w:hAnsi="Times New Roman"/>
          <w:sz w:val="28"/>
          <w:szCs w:val="28"/>
        </w:rPr>
        <w:t>,</w:t>
      </w:r>
      <w:r w:rsidRPr="00C163CE">
        <w:rPr>
          <w:rFonts w:ascii="Times New Roman" w:hAnsi="Times New Roman"/>
          <w:sz w:val="28"/>
          <w:szCs w:val="28"/>
        </w:rPr>
        <w:t xml:space="preserve"> як «рада»</w:t>
      </w:r>
      <w:r w:rsidR="00C316B7">
        <w:rPr>
          <w:rFonts w:ascii="Times New Roman" w:hAnsi="Times New Roman"/>
          <w:sz w:val="28"/>
          <w:szCs w:val="28"/>
        </w:rPr>
        <w:t>,</w:t>
      </w:r>
      <w:r w:rsidRPr="00C163CE">
        <w:rPr>
          <w:rFonts w:ascii="Times New Roman" w:hAnsi="Times New Roman"/>
          <w:sz w:val="28"/>
          <w:szCs w:val="28"/>
        </w:rPr>
        <w:t xml:space="preserve"> утворюється для вивчення проблемних питань, пов'язаних з реалізацією державної політики у відповідній сфері (Питання консультативних, дорадчих та інших допоміжних органів, утворених Кабінетом Міністрів України, постанова Кабінету Міністр</w:t>
      </w:r>
      <w:r w:rsidR="00C316B7">
        <w:rPr>
          <w:rFonts w:ascii="Times New Roman" w:hAnsi="Times New Roman"/>
          <w:sz w:val="28"/>
          <w:szCs w:val="28"/>
        </w:rPr>
        <w:t>ів України від 17 червня 2009 року</w:t>
      </w:r>
      <w:r w:rsidRPr="00C163CE">
        <w:rPr>
          <w:rFonts w:ascii="Times New Roman" w:hAnsi="Times New Roman"/>
          <w:sz w:val="28"/>
          <w:szCs w:val="28"/>
        </w:rPr>
        <w:t xml:space="preserve"> № 599).</w:t>
      </w:r>
    </w:p>
    <w:p w:rsidR="009A40D6" w:rsidRPr="00C163CE" w:rsidRDefault="009A40D6" w:rsidP="009A40D6">
      <w:pPr>
        <w:spacing w:after="120" w:line="240" w:lineRule="auto"/>
        <w:jc w:val="both"/>
        <w:rPr>
          <w:rFonts w:ascii="Times New Roman" w:hAnsi="Times New Roman"/>
          <w:sz w:val="28"/>
          <w:szCs w:val="28"/>
        </w:rPr>
      </w:pPr>
    </w:p>
    <w:p w:rsidR="009A40D6" w:rsidRPr="00C163CE" w:rsidRDefault="009A40D6" w:rsidP="009A40D6">
      <w:pPr>
        <w:spacing w:after="120" w:line="240" w:lineRule="auto"/>
        <w:ind w:firstLine="709"/>
        <w:jc w:val="both"/>
        <w:rPr>
          <w:rFonts w:ascii="Times New Roman" w:hAnsi="Times New Roman"/>
          <w:sz w:val="28"/>
          <w:szCs w:val="28"/>
        </w:rPr>
      </w:pPr>
      <w:r w:rsidRPr="00C163CE">
        <w:rPr>
          <w:rFonts w:ascii="Times New Roman" w:hAnsi="Times New Roman"/>
          <w:sz w:val="28"/>
          <w:szCs w:val="28"/>
        </w:rPr>
        <w:t xml:space="preserve">7. Як вже зазначалося, у статті 6 законопроекту визначається склад Наглядової ради. Так, згідно з частиною першої цієї статті до її складу входить «народний депутат України, делегований комітетом Верховної Ради України, </w:t>
      </w:r>
      <w:r w:rsidRPr="00C163CE">
        <w:rPr>
          <w:rFonts w:ascii="Times New Roman" w:hAnsi="Times New Roman"/>
          <w:sz w:val="28"/>
          <w:szCs w:val="28"/>
        </w:rPr>
        <w:lastRenderedPageBreak/>
        <w:t xml:space="preserve">до предмета відання якого віднесені питання фізичної культури і спорту». Аналогічні положення містяться у статті 10 законопроекту </w:t>
      </w:r>
      <w:r w:rsidR="00C316B7">
        <w:rPr>
          <w:rFonts w:ascii="Times New Roman" w:hAnsi="Times New Roman"/>
          <w:sz w:val="28"/>
          <w:szCs w:val="28"/>
        </w:rPr>
        <w:t>щодо складу Номінаційного комітету.</w:t>
      </w:r>
      <w:r w:rsidRPr="00C163CE">
        <w:rPr>
          <w:rFonts w:ascii="Times New Roman" w:hAnsi="Times New Roman"/>
          <w:sz w:val="28"/>
          <w:szCs w:val="28"/>
        </w:rPr>
        <w:t xml:space="preserve"> </w:t>
      </w:r>
    </w:p>
    <w:p w:rsidR="009A40D6" w:rsidRPr="00C163CE" w:rsidRDefault="00C316B7" w:rsidP="009A40D6">
      <w:pPr>
        <w:spacing w:after="120" w:line="240" w:lineRule="auto"/>
        <w:ind w:firstLine="709"/>
        <w:jc w:val="both"/>
        <w:rPr>
          <w:rFonts w:ascii="Times New Roman" w:hAnsi="Times New Roman"/>
          <w:sz w:val="28"/>
          <w:szCs w:val="28"/>
        </w:rPr>
      </w:pPr>
      <w:r>
        <w:rPr>
          <w:rFonts w:ascii="Times New Roman" w:hAnsi="Times New Roman"/>
          <w:sz w:val="28"/>
          <w:szCs w:val="28"/>
        </w:rPr>
        <w:t>Проте</w:t>
      </w:r>
      <w:r w:rsidR="009A40D6" w:rsidRPr="00C163CE">
        <w:rPr>
          <w:rFonts w:ascii="Times New Roman" w:hAnsi="Times New Roman"/>
          <w:sz w:val="28"/>
          <w:szCs w:val="28"/>
        </w:rPr>
        <w:t xml:space="preserve"> повноваження народних депутатів України</w:t>
      </w:r>
      <w:r>
        <w:rPr>
          <w:rFonts w:ascii="Times New Roman" w:hAnsi="Times New Roman"/>
          <w:sz w:val="28"/>
          <w:szCs w:val="28"/>
        </w:rPr>
        <w:t>,</w:t>
      </w:r>
      <w:r w:rsidR="009A40D6" w:rsidRPr="00C163CE">
        <w:rPr>
          <w:rFonts w:ascii="Times New Roman" w:hAnsi="Times New Roman"/>
          <w:sz w:val="28"/>
          <w:szCs w:val="28"/>
        </w:rPr>
        <w:t xml:space="preserve"> так само, як і комітетів Верховної Ради України, визначені Конституцією України, законами України «Про статус народного депутата України», «Про Регламент Верховної Ради України», «Про комітети Верховної Ради України» та не передбачають можливостей здійснення народними депутатами України повноважень, якими відповідно до законопроекту наділяються Наглядова рада антидопінгового контролю та Номінаційний комітет.</w:t>
      </w:r>
    </w:p>
    <w:p w:rsidR="009A40D6" w:rsidRPr="00C163CE" w:rsidRDefault="009A40D6" w:rsidP="009A40D6">
      <w:pPr>
        <w:spacing w:after="120" w:line="240" w:lineRule="auto"/>
        <w:ind w:firstLine="709"/>
        <w:jc w:val="both"/>
        <w:rPr>
          <w:rFonts w:ascii="Times New Roman" w:hAnsi="Times New Roman"/>
          <w:sz w:val="28"/>
          <w:szCs w:val="28"/>
        </w:rPr>
      </w:pP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8. Стаття 7 законопроекту за назвою визначає «державну політику у сфері антидопінгової діяльності».</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Звертаємо увагу, що відповідно до статті 85 Конституції України  до повноважень Верховної Ради України належить визначення засад внутрішньої і зовнішньої політики. Так, Закон України «Про засади внутрішньої і зовнішньої політики» у статті 12 наголошує, що «Верховна Рада України як єдиний орган законодавчої влади в Україні здійснює повноваження щодо визначення та реалізації засад внутрішньої і зовнішньої політики шляхом визначення засад внутрішньої і зовнішньої політики, </w:t>
      </w:r>
      <w:r w:rsidRPr="00C163CE">
        <w:rPr>
          <w:rFonts w:ascii="Times New Roman" w:hAnsi="Times New Roman"/>
          <w:sz w:val="28"/>
          <w:szCs w:val="28"/>
          <w:u w:val="single"/>
        </w:rPr>
        <w:t>внесення у разі потреби змін до цього Закону</w:t>
      </w:r>
      <w:r w:rsidRPr="00C163CE">
        <w:rPr>
          <w:rFonts w:ascii="Times New Roman" w:hAnsi="Times New Roman"/>
          <w:sz w:val="28"/>
          <w:szCs w:val="28"/>
        </w:rPr>
        <w:t>, законодавчого регулювання відносин, спрямованого на впровадження засад внутрішньої та зовнішньої політики у відповідних сферах, здійснення кадрової політики в межах, визначених Конституцією України, здійснення парламентського контролю». У зв</w:t>
      </w:r>
      <w:r w:rsidRPr="00C163CE">
        <w:rPr>
          <w:rFonts w:ascii="Times New Roman" w:hAnsi="Times New Roman"/>
          <w:sz w:val="28"/>
          <w:szCs w:val="28"/>
          <w:lang w:val="ru-RU"/>
        </w:rPr>
        <w:t>’</w:t>
      </w:r>
      <w:proofErr w:type="spellStart"/>
      <w:r w:rsidRPr="00C163CE">
        <w:rPr>
          <w:rFonts w:ascii="Times New Roman" w:hAnsi="Times New Roman"/>
          <w:sz w:val="28"/>
          <w:szCs w:val="28"/>
        </w:rPr>
        <w:t>язку</w:t>
      </w:r>
      <w:proofErr w:type="spellEnd"/>
      <w:r w:rsidRPr="00C163CE">
        <w:rPr>
          <w:rFonts w:ascii="Times New Roman" w:hAnsi="Times New Roman"/>
          <w:sz w:val="28"/>
          <w:szCs w:val="28"/>
        </w:rPr>
        <w:t xml:space="preserve"> з цим назва та положення частини другої статті 7 законопроекту не узгоджуються з Законом України «Про засади внутрішньої і зовнішньої політики».</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Крім того, згідно з преамбулою законопроекту «Цей Закон визначає</w:t>
      </w:r>
      <w:r w:rsidRPr="00C163CE">
        <w:t xml:space="preserve"> </w:t>
      </w:r>
      <w:r w:rsidRPr="00C163CE">
        <w:rPr>
          <w:rFonts w:ascii="Times New Roman" w:hAnsi="Times New Roman"/>
          <w:sz w:val="28"/>
          <w:szCs w:val="28"/>
        </w:rPr>
        <w:t xml:space="preserve">правові та організаційні засади провадження антидопінгової діяльності в Україні, повноваження органів державної влади та органів місцевого самоврядування…». </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Враховуючи викладене, метою законопроект</w:t>
      </w:r>
      <w:r w:rsidR="00C316B7">
        <w:rPr>
          <w:rFonts w:ascii="Times New Roman" w:hAnsi="Times New Roman"/>
          <w:sz w:val="28"/>
          <w:szCs w:val="28"/>
        </w:rPr>
        <w:t>у</w:t>
      </w:r>
      <w:r w:rsidRPr="00C163CE">
        <w:rPr>
          <w:rFonts w:ascii="Times New Roman" w:hAnsi="Times New Roman"/>
          <w:sz w:val="28"/>
          <w:szCs w:val="28"/>
        </w:rPr>
        <w:t xml:space="preserve"> є державне регулювання у відповідній сфері, а не визначення засад держаної політики.</w:t>
      </w:r>
    </w:p>
    <w:p w:rsidR="009A40D6" w:rsidRPr="00C163CE" w:rsidRDefault="009A40D6" w:rsidP="009A40D6">
      <w:pPr>
        <w:spacing w:after="120" w:line="240" w:lineRule="auto"/>
        <w:ind w:firstLine="709"/>
        <w:jc w:val="both"/>
        <w:rPr>
          <w:rFonts w:ascii="Times New Roman" w:hAnsi="Times New Roman"/>
          <w:sz w:val="28"/>
          <w:szCs w:val="28"/>
          <w:lang w:val="ru-RU"/>
        </w:rPr>
      </w:pP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9. Частиною третьою статті 7 законопроекту пропонується визначити «повноваження центральних органів виконавчої влади та інших органів у сфері антидопінгової діяльності».</w:t>
      </w:r>
    </w:p>
    <w:p w:rsidR="009A40D6" w:rsidRPr="00C316B7" w:rsidRDefault="00C316B7" w:rsidP="00C316B7">
      <w:pPr>
        <w:spacing w:after="120" w:line="240" w:lineRule="auto"/>
        <w:ind w:firstLine="708"/>
        <w:jc w:val="both"/>
        <w:rPr>
          <w:rFonts w:ascii="Times New Roman" w:hAnsi="Times New Roman"/>
          <w:sz w:val="28"/>
          <w:szCs w:val="28"/>
          <w:u w:val="single"/>
        </w:rPr>
      </w:pPr>
      <w:r>
        <w:rPr>
          <w:rFonts w:ascii="Times New Roman" w:hAnsi="Times New Roman"/>
          <w:sz w:val="28"/>
          <w:szCs w:val="28"/>
        </w:rPr>
        <w:t>9.1.</w:t>
      </w:r>
      <w:r w:rsidR="009A40D6" w:rsidRPr="00C163CE">
        <w:rPr>
          <w:rFonts w:ascii="Times New Roman" w:hAnsi="Times New Roman"/>
          <w:sz w:val="28"/>
          <w:szCs w:val="28"/>
        </w:rPr>
        <w:t xml:space="preserve"> Так, </w:t>
      </w:r>
      <w:r>
        <w:rPr>
          <w:rFonts w:ascii="Times New Roman" w:hAnsi="Times New Roman"/>
          <w:sz w:val="28"/>
          <w:szCs w:val="28"/>
        </w:rPr>
        <w:t>у</w:t>
      </w:r>
      <w:r w:rsidR="009A40D6" w:rsidRPr="00C163CE">
        <w:rPr>
          <w:rFonts w:ascii="Times New Roman" w:hAnsi="Times New Roman"/>
          <w:sz w:val="28"/>
          <w:szCs w:val="28"/>
        </w:rPr>
        <w:t xml:space="preserve"> пунктах 2 і 3 частини третьої запропоновані «повноваження» центральних органів виконавчої влади, які передбачають одноразову дію щодо внесення змін у відповідні акти або інші документи, передбачені законодавством. Відтак, доцільно передбачити відповідне доручення </w:t>
      </w:r>
      <w:r w:rsidR="009A40D6" w:rsidRPr="00C163CE">
        <w:rPr>
          <w:rFonts w:ascii="Times New Roman" w:hAnsi="Times New Roman"/>
          <w:sz w:val="28"/>
          <w:szCs w:val="28"/>
        </w:rPr>
        <w:lastRenderedPageBreak/>
        <w:t xml:space="preserve">зазначеним центральним органам виконавчої влади у розділі </w:t>
      </w:r>
      <w:r w:rsidR="009A40D6" w:rsidRPr="00C163CE">
        <w:rPr>
          <w:rFonts w:ascii="Times New Roman" w:hAnsi="Times New Roman"/>
          <w:sz w:val="28"/>
          <w:szCs w:val="28"/>
          <w:lang w:val="en-US"/>
        </w:rPr>
        <w:t>V</w:t>
      </w:r>
      <w:r w:rsidR="009A40D6" w:rsidRPr="00C163CE">
        <w:rPr>
          <w:rFonts w:ascii="Times New Roman" w:hAnsi="Times New Roman"/>
          <w:sz w:val="28"/>
          <w:szCs w:val="28"/>
          <w:lang w:val="ru-RU"/>
        </w:rPr>
        <w:t xml:space="preserve"> </w:t>
      </w:r>
      <w:r w:rsidR="009A40D6" w:rsidRPr="00C163CE">
        <w:rPr>
          <w:rFonts w:ascii="Times New Roman" w:hAnsi="Times New Roman"/>
          <w:sz w:val="28"/>
          <w:szCs w:val="28"/>
        </w:rPr>
        <w:t>«Прикінцеві положення» законопроекту.</w:t>
      </w:r>
    </w:p>
    <w:p w:rsidR="009A40D6" w:rsidRPr="00C163CE" w:rsidRDefault="009A40D6" w:rsidP="009A40D6">
      <w:pPr>
        <w:spacing w:after="120" w:line="240" w:lineRule="auto"/>
        <w:ind w:firstLine="709"/>
        <w:jc w:val="both"/>
        <w:rPr>
          <w:rFonts w:ascii="Times New Roman" w:hAnsi="Times New Roman"/>
          <w:sz w:val="28"/>
          <w:szCs w:val="28"/>
          <w:lang w:val="ru-RU"/>
        </w:rPr>
      </w:pPr>
    </w:p>
    <w:p w:rsidR="009A40D6" w:rsidRPr="00C163CE" w:rsidRDefault="00C316B7" w:rsidP="009A40D6">
      <w:pPr>
        <w:spacing w:after="120" w:line="240" w:lineRule="auto"/>
        <w:ind w:firstLine="567"/>
        <w:jc w:val="both"/>
        <w:rPr>
          <w:rFonts w:ascii="Times New Roman" w:hAnsi="Times New Roman"/>
          <w:sz w:val="28"/>
        </w:rPr>
      </w:pPr>
      <w:r>
        <w:rPr>
          <w:rFonts w:ascii="Times New Roman" w:hAnsi="Times New Roman"/>
          <w:sz w:val="28"/>
          <w:lang w:val="ru-RU"/>
        </w:rPr>
        <w:t>9.2.</w:t>
      </w:r>
      <w:r w:rsidR="009A40D6" w:rsidRPr="00C163CE">
        <w:rPr>
          <w:rFonts w:ascii="Times New Roman" w:hAnsi="Times New Roman"/>
          <w:sz w:val="28"/>
        </w:rPr>
        <w:t xml:space="preserve"> Відповідно </w:t>
      </w:r>
      <w:proofErr w:type="gramStart"/>
      <w:r w:rsidR="009A40D6" w:rsidRPr="00C163CE">
        <w:rPr>
          <w:rFonts w:ascii="Times New Roman" w:hAnsi="Times New Roman"/>
          <w:sz w:val="28"/>
        </w:rPr>
        <w:t>до пункту</w:t>
      </w:r>
      <w:proofErr w:type="gramEnd"/>
      <w:r w:rsidR="009A40D6" w:rsidRPr="00C163CE">
        <w:rPr>
          <w:rFonts w:ascii="Times New Roman" w:hAnsi="Times New Roman"/>
          <w:sz w:val="28"/>
        </w:rPr>
        <w:t xml:space="preserve"> 4 </w:t>
      </w:r>
      <w:r>
        <w:rPr>
          <w:rFonts w:ascii="Times New Roman" w:hAnsi="Times New Roman"/>
          <w:sz w:val="28"/>
        </w:rPr>
        <w:t>зазначеної</w:t>
      </w:r>
      <w:r w:rsidR="009A40D6" w:rsidRPr="00C163CE">
        <w:rPr>
          <w:rFonts w:ascii="Times New Roman" w:hAnsi="Times New Roman"/>
          <w:sz w:val="28"/>
        </w:rPr>
        <w:t xml:space="preserve"> частини Служба безпеки України та центральний орган виконавчої влади, що реалізує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w:t>
      </w:r>
    </w:p>
    <w:p w:rsidR="009A40D6" w:rsidRPr="00C163CE" w:rsidRDefault="009A40D6" w:rsidP="009A40D6">
      <w:pPr>
        <w:spacing w:after="120" w:line="240" w:lineRule="auto"/>
        <w:ind w:firstLine="567"/>
        <w:jc w:val="both"/>
        <w:rPr>
          <w:rFonts w:ascii="Times New Roman" w:hAnsi="Times New Roman"/>
          <w:sz w:val="28"/>
        </w:rPr>
      </w:pPr>
      <w:r w:rsidRPr="00C163CE">
        <w:rPr>
          <w:rFonts w:ascii="Times New Roman" w:hAnsi="Times New Roman"/>
          <w:sz w:val="28"/>
        </w:rPr>
        <w:t>здійснюють у межах їх компетенції заходи із запобігання, виявлення, припинення та розкриття кримінальних правопорушень, пов’язаних із примусом до вживання чи використання речовин та методів, зазначених у Забороненому списку, злочинною діяльністю у сфері обігу допінгу та іншими протиправними діями, що безпосередньо створюють загрозу інтересам України;</w:t>
      </w:r>
    </w:p>
    <w:p w:rsidR="009A40D6" w:rsidRPr="00C163CE" w:rsidRDefault="009A40D6" w:rsidP="009A40D6">
      <w:pPr>
        <w:spacing w:after="120" w:line="240" w:lineRule="auto"/>
        <w:ind w:firstLine="567"/>
        <w:jc w:val="both"/>
        <w:rPr>
          <w:rFonts w:ascii="Times New Roman" w:hAnsi="Times New Roman"/>
          <w:sz w:val="28"/>
        </w:rPr>
      </w:pPr>
      <w:r w:rsidRPr="00C163CE">
        <w:rPr>
          <w:rFonts w:ascii="Times New Roman" w:hAnsi="Times New Roman"/>
          <w:sz w:val="28"/>
        </w:rPr>
        <w:t>інформують Національний антидопінговий центр про кримінальні провадження та провадження у справах про адміністративні правопорушення, в яких фігурують спортсмени або допоміжний персонал спортсменів та які пов’язані із незаконним обігом заборонених речовин.</w:t>
      </w:r>
    </w:p>
    <w:p w:rsidR="009A40D6" w:rsidRPr="00C163CE" w:rsidRDefault="009A40D6" w:rsidP="009A40D6">
      <w:pPr>
        <w:spacing w:after="120" w:line="240" w:lineRule="auto"/>
        <w:ind w:firstLine="567"/>
        <w:jc w:val="both"/>
        <w:rPr>
          <w:rFonts w:ascii="Times New Roman" w:hAnsi="Times New Roman"/>
          <w:sz w:val="28"/>
        </w:rPr>
      </w:pPr>
      <w:r w:rsidRPr="00C163CE">
        <w:rPr>
          <w:rFonts w:ascii="Times New Roman" w:hAnsi="Times New Roman"/>
          <w:sz w:val="28"/>
        </w:rPr>
        <w:t>Передусім слід зауважити, що відповідно до положень статті 216 КПК України кримінальні правопорушення щодо спонукання неповнолітніх до застосування допінгу віднесені до підслідності слідчих органів Національної поліції України.</w:t>
      </w:r>
    </w:p>
    <w:p w:rsidR="009A40D6" w:rsidRPr="00C163CE" w:rsidRDefault="009A40D6" w:rsidP="009A40D6">
      <w:pPr>
        <w:spacing w:after="120" w:line="240" w:lineRule="auto"/>
        <w:ind w:firstLine="567"/>
        <w:jc w:val="both"/>
        <w:rPr>
          <w:rFonts w:ascii="Times New Roman" w:hAnsi="Times New Roman"/>
          <w:sz w:val="28"/>
        </w:rPr>
      </w:pPr>
      <w:r w:rsidRPr="00C163CE">
        <w:rPr>
          <w:rFonts w:ascii="Times New Roman" w:hAnsi="Times New Roman"/>
          <w:sz w:val="28"/>
        </w:rPr>
        <w:t>Також звертаємо увагу, що відповідно до положень статті 1 КПК України порядок кримінального провадження на території України, зокрема визначення підслідності кримінальних правопорушень, встановлюється лише кримінальним процесуальним законодавством України.</w:t>
      </w:r>
    </w:p>
    <w:p w:rsidR="009A40D6" w:rsidRPr="00C163CE" w:rsidRDefault="009A40D6" w:rsidP="009A40D6">
      <w:pPr>
        <w:spacing w:after="120" w:line="240" w:lineRule="auto"/>
        <w:ind w:firstLine="567"/>
        <w:jc w:val="both"/>
        <w:rPr>
          <w:rFonts w:ascii="Times New Roman" w:hAnsi="Times New Roman"/>
          <w:sz w:val="28"/>
        </w:rPr>
      </w:pPr>
      <w:r w:rsidRPr="00C163CE">
        <w:rPr>
          <w:rFonts w:ascii="Times New Roman" w:hAnsi="Times New Roman"/>
          <w:sz w:val="28"/>
        </w:rPr>
        <w:t xml:space="preserve">Відповідно до статті 2 Закону України «Про службу безпеки України» </w:t>
      </w:r>
      <w:bookmarkStart w:id="1" w:name="n20"/>
      <w:bookmarkEnd w:id="1"/>
      <w:r w:rsidRPr="00C163CE">
        <w:rPr>
          <w:rFonts w:ascii="Times New Roman" w:hAnsi="Times New Roman"/>
          <w:sz w:val="28"/>
        </w:rPr>
        <w:t xml:space="preserve">на Службу безпеки України покладається у межах визначеної законодавством компетенції захист державного суверенітету, конституційного ладу, територіальної цілісності, економічного, науково-технічного і оборонного потенціалу України, законних інтересів держави та прав громадян від </w:t>
      </w:r>
      <w:proofErr w:type="spellStart"/>
      <w:r w:rsidRPr="00C163CE">
        <w:rPr>
          <w:rFonts w:ascii="Times New Roman" w:hAnsi="Times New Roman"/>
          <w:sz w:val="28"/>
        </w:rPr>
        <w:t>розвідувально</w:t>
      </w:r>
      <w:proofErr w:type="spellEnd"/>
      <w:r w:rsidRPr="00C163CE">
        <w:rPr>
          <w:rFonts w:ascii="Times New Roman" w:hAnsi="Times New Roman"/>
          <w:sz w:val="28"/>
        </w:rPr>
        <w:t xml:space="preserve">-підривної діяльності іноземних спеціальних служб, посягань з боку окремих організацій, груп та осіб, а також забезпечення охорони державної таємниці. </w:t>
      </w:r>
    </w:p>
    <w:p w:rsidR="009A40D6" w:rsidRPr="00C163CE" w:rsidRDefault="009A40D6" w:rsidP="009A40D6">
      <w:pPr>
        <w:spacing w:after="120" w:line="240" w:lineRule="auto"/>
        <w:ind w:firstLine="567"/>
        <w:jc w:val="both"/>
        <w:rPr>
          <w:rFonts w:ascii="Times New Roman" w:hAnsi="Times New Roman"/>
          <w:sz w:val="28"/>
        </w:rPr>
      </w:pPr>
      <w:r w:rsidRPr="00C163CE">
        <w:rPr>
          <w:rFonts w:ascii="Times New Roman" w:hAnsi="Times New Roman"/>
          <w:sz w:val="28"/>
        </w:rPr>
        <w:t>Отже запобігання, виявлення, припинення та розкриття кримінальних правопорушень, пов’язаних із примусом до вживання чи використання речовин та методів, зазначених у Забороненому списку, злочинною діяльністю у сфері обігу допінгу</w:t>
      </w:r>
      <w:r w:rsidR="00C316B7">
        <w:rPr>
          <w:rFonts w:ascii="Times New Roman" w:hAnsi="Times New Roman"/>
          <w:sz w:val="28"/>
        </w:rPr>
        <w:t>,</w:t>
      </w:r>
      <w:r w:rsidRPr="00C163CE">
        <w:rPr>
          <w:rFonts w:ascii="Times New Roman" w:hAnsi="Times New Roman"/>
          <w:sz w:val="28"/>
        </w:rPr>
        <w:t xml:space="preserve"> навряд чи мож</w:t>
      </w:r>
      <w:r w:rsidR="00C316B7">
        <w:rPr>
          <w:rFonts w:ascii="Times New Roman" w:hAnsi="Times New Roman"/>
          <w:sz w:val="28"/>
        </w:rPr>
        <w:t>уть стосуватися завдань Служби б</w:t>
      </w:r>
      <w:r w:rsidRPr="00C163CE">
        <w:rPr>
          <w:rFonts w:ascii="Times New Roman" w:hAnsi="Times New Roman"/>
          <w:sz w:val="28"/>
        </w:rPr>
        <w:t>езпеки України.</w:t>
      </w:r>
    </w:p>
    <w:p w:rsidR="009A40D6" w:rsidRPr="00C163CE" w:rsidRDefault="00C316B7" w:rsidP="009A40D6">
      <w:pPr>
        <w:spacing w:after="120" w:line="240" w:lineRule="auto"/>
        <w:ind w:firstLine="567"/>
        <w:jc w:val="both"/>
        <w:rPr>
          <w:rFonts w:ascii="Times New Roman" w:hAnsi="Times New Roman"/>
          <w:sz w:val="28"/>
        </w:rPr>
      </w:pPr>
      <w:r>
        <w:rPr>
          <w:rFonts w:ascii="Times New Roman" w:hAnsi="Times New Roman"/>
          <w:sz w:val="28"/>
        </w:rPr>
        <w:t>У</w:t>
      </w:r>
      <w:r w:rsidR="009A40D6" w:rsidRPr="00C163CE">
        <w:rPr>
          <w:rFonts w:ascii="Times New Roman" w:hAnsi="Times New Roman"/>
          <w:sz w:val="28"/>
        </w:rPr>
        <w:t xml:space="preserve"> частині інформування Національного антидопінгового центру слід зазначити, що передусім із положень законопроекту не вбачається, з якою метою Національний антидопінговий центр накопичуватиме таку інформацію. </w:t>
      </w:r>
    </w:p>
    <w:p w:rsidR="009A40D6" w:rsidRPr="00C163CE" w:rsidRDefault="009A40D6" w:rsidP="009A40D6">
      <w:pPr>
        <w:spacing w:after="120" w:line="240" w:lineRule="auto"/>
        <w:ind w:firstLine="567"/>
        <w:jc w:val="both"/>
        <w:rPr>
          <w:rFonts w:ascii="Times New Roman" w:hAnsi="Times New Roman"/>
          <w:sz w:val="28"/>
        </w:rPr>
      </w:pPr>
      <w:r w:rsidRPr="00C163CE">
        <w:rPr>
          <w:rFonts w:ascii="Times New Roman" w:hAnsi="Times New Roman"/>
          <w:sz w:val="28"/>
        </w:rPr>
        <w:lastRenderedPageBreak/>
        <w:t>Крім того, чітко не вбачається</w:t>
      </w:r>
      <w:r w:rsidR="00C316B7">
        <w:rPr>
          <w:rFonts w:ascii="Times New Roman" w:hAnsi="Times New Roman"/>
          <w:sz w:val="28"/>
        </w:rPr>
        <w:t>,</w:t>
      </w:r>
      <w:r w:rsidRPr="00C163CE">
        <w:rPr>
          <w:rFonts w:ascii="Times New Roman" w:hAnsi="Times New Roman"/>
          <w:sz w:val="28"/>
        </w:rPr>
        <w:t xml:space="preserve"> в яких обсягах відбувається інформування про відповідні кримінальні провадження: лише про факти відкриття проваджень чи про особи учасників таких проваджень? У зв’язку з відсутністю у законопроекті чітко визначеної мети подібного повідомлення Національного антидопінгового центру на практиці зазначена норма може призводити до розголошення таємниці слідства, а також до порушення статті 62 Конституції України (презумпція невинуватості).</w:t>
      </w:r>
    </w:p>
    <w:p w:rsidR="009A40D6" w:rsidRPr="00C163CE" w:rsidRDefault="00C316B7" w:rsidP="009A40D6">
      <w:pPr>
        <w:spacing w:after="120" w:line="240" w:lineRule="auto"/>
        <w:ind w:firstLine="567"/>
        <w:jc w:val="both"/>
        <w:rPr>
          <w:rFonts w:ascii="Times New Roman" w:hAnsi="Times New Roman"/>
          <w:sz w:val="28"/>
        </w:rPr>
      </w:pPr>
      <w:r>
        <w:rPr>
          <w:rFonts w:ascii="Times New Roman" w:hAnsi="Times New Roman"/>
          <w:sz w:val="28"/>
        </w:rPr>
        <w:t>Щодо</w:t>
      </w:r>
      <w:r w:rsidR="009A40D6" w:rsidRPr="00C163CE">
        <w:rPr>
          <w:rFonts w:ascii="Times New Roman" w:hAnsi="Times New Roman"/>
          <w:sz w:val="28"/>
        </w:rPr>
        <w:t xml:space="preserve"> використання слів «в яких фігурують спортсмени або допоміжний персонал спортсменів» слід зазначити, що учасниками кримінального провадження</w:t>
      </w:r>
      <w:r>
        <w:rPr>
          <w:rFonts w:ascii="Times New Roman" w:hAnsi="Times New Roman"/>
          <w:sz w:val="28"/>
        </w:rPr>
        <w:t>,</w:t>
      </w:r>
      <w:r w:rsidR="009A40D6" w:rsidRPr="00C163CE">
        <w:rPr>
          <w:rFonts w:ascii="Times New Roman" w:hAnsi="Times New Roman"/>
          <w:sz w:val="28"/>
        </w:rPr>
        <w:t xml:space="preserve"> крім підозрюваного, обвинуваченого, можуть бути також потерпілий, свідок, експерт тощо.</w:t>
      </w:r>
    </w:p>
    <w:p w:rsidR="009A40D6" w:rsidRPr="00C163CE" w:rsidRDefault="00C316B7" w:rsidP="009A40D6">
      <w:pPr>
        <w:spacing w:after="120" w:line="240" w:lineRule="auto"/>
        <w:ind w:firstLine="567"/>
        <w:jc w:val="both"/>
        <w:rPr>
          <w:rFonts w:ascii="Times New Roman" w:hAnsi="Times New Roman"/>
          <w:sz w:val="28"/>
        </w:rPr>
      </w:pPr>
      <w:r>
        <w:rPr>
          <w:rFonts w:ascii="Times New Roman" w:hAnsi="Times New Roman"/>
          <w:sz w:val="28"/>
        </w:rPr>
        <w:t>Щодо</w:t>
      </w:r>
      <w:r w:rsidR="009A40D6" w:rsidRPr="00C163CE">
        <w:rPr>
          <w:rFonts w:ascii="Times New Roman" w:hAnsi="Times New Roman"/>
          <w:sz w:val="28"/>
        </w:rPr>
        <w:t xml:space="preserve"> використання слів «які пов’язані із незаконним обігом заборонених речовин» слід зазначити, що, наприклад, у статті 268 «Незаконне ввезення на територію України відходів і вторинної сировини» КК України йдеться про речовини, «що належать до категорії небезпечних відходів, які забороняються до ввезення». Отже</w:t>
      </w:r>
      <w:r>
        <w:rPr>
          <w:rFonts w:ascii="Times New Roman" w:hAnsi="Times New Roman"/>
          <w:sz w:val="28"/>
        </w:rPr>
        <w:t>,</w:t>
      </w:r>
      <w:r w:rsidR="009A40D6" w:rsidRPr="00C163CE">
        <w:rPr>
          <w:rFonts w:ascii="Times New Roman" w:hAnsi="Times New Roman"/>
          <w:sz w:val="28"/>
        </w:rPr>
        <w:t xml:space="preserve"> слід було б уточнити редакцію абзацу третього пункту 4 частини третьої статті 7 законопроекту.</w:t>
      </w:r>
    </w:p>
    <w:p w:rsidR="009A40D6" w:rsidRPr="00C163CE" w:rsidRDefault="009A40D6" w:rsidP="009A40D6">
      <w:pPr>
        <w:spacing w:after="120" w:line="240" w:lineRule="auto"/>
        <w:ind w:firstLine="567"/>
        <w:jc w:val="both"/>
        <w:rPr>
          <w:rFonts w:ascii="Times New Roman" w:hAnsi="Times New Roman"/>
          <w:bCs/>
          <w:sz w:val="28"/>
        </w:rPr>
      </w:pPr>
      <w:r w:rsidRPr="00C163CE">
        <w:rPr>
          <w:rFonts w:ascii="Times New Roman" w:hAnsi="Times New Roman"/>
          <w:bCs/>
          <w:sz w:val="28"/>
        </w:rPr>
        <w:t>Таким чином, наведена норма не враховує вимог статті 8 Конституції України, відповідно до змісту якої в Україні визнається і діє принцип верховенства права. При цьому одним з основних фундаментальних елементів цього принципу є юридична визначеність, згідно з якою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від 22.09.2005 № 5-рп, 29.06.2010 №17-рп, 11.10.2011 № 10-рп.</w:t>
      </w:r>
    </w:p>
    <w:p w:rsidR="009A40D6" w:rsidRPr="00C163CE" w:rsidRDefault="009A40D6" w:rsidP="009A40D6">
      <w:pPr>
        <w:spacing w:after="120" w:line="240" w:lineRule="auto"/>
        <w:ind w:firstLine="567"/>
        <w:jc w:val="both"/>
        <w:rPr>
          <w:rFonts w:ascii="Times New Roman" w:hAnsi="Times New Roman"/>
          <w:bCs/>
          <w:sz w:val="28"/>
        </w:rPr>
      </w:pPr>
      <w:r w:rsidRPr="00C163CE">
        <w:rPr>
          <w:rFonts w:ascii="Times New Roman" w:hAnsi="Times New Roman"/>
          <w:bCs/>
          <w:sz w:val="28"/>
        </w:rPr>
        <w:t xml:space="preserve">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«…Закон має бути доступним для зацікавлених осіб та сформованим з </w:t>
      </w:r>
      <w:r w:rsidRPr="00C163CE">
        <w:rPr>
          <w:rFonts w:ascii="Times New Roman" w:hAnsi="Times New Roman"/>
          <w:bCs/>
          <w:sz w:val="28"/>
          <w:u w:val="single"/>
        </w:rPr>
        <w:t>достатньою точністю</w:t>
      </w:r>
      <w:r w:rsidRPr="00C163CE">
        <w:rPr>
          <w:rFonts w:ascii="Times New Roman" w:hAnsi="Times New Roman"/>
          <w:bCs/>
          <w:sz w:val="28"/>
        </w:rPr>
        <w:t xml:space="preserve"> для того, щоб надати їм можливість регулювати свою поведінку аби бути здатними – за потреби, за відповідної консультації – </w:t>
      </w:r>
      <w:r w:rsidRPr="00C163CE">
        <w:rPr>
          <w:rFonts w:ascii="Times New Roman" w:hAnsi="Times New Roman"/>
          <w:bCs/>
          <w:sz w:val="28"/>
          <w:u w:val="single"/>
        </w:rPr>
        <w:t>передбачати</w:t>
      </w:r>
      <w:r w:rsidRPr="00C163CE">
        <w:rPr>
          <w:rFonts w:ascii="Times New Roman" w:hAnsi="Times New Roman"/>
          <w:bCs/>
          <w:sz w:val="28"/>
        </w:rPr>
        <w:t xml:space="preserve"> тією мірою, що є розумною за відповідних обставин, </w:t>
      </w:r>
      <w:r w:rsidRPr="00C163CE">
        <w:rPr>
          <w:rFonts w:ascii="Times New Roman" w:hAnsi="Times New Roman"/>
          <w:bCs/>
          <w:sz w:val="28"/>
          <w:u w:val="single"/>
        </w:rPr>
        <w:t>наслідки</w:t>
      </w:r>
      <w:r w:rsidRPr="00C163CE">
        <w:rPr>
          <w:rFonts w:ascii="Times New Roman" w:hAnsi="Times New Roman"/>
          <w:bCs/>
          <w:sz w:val="28"/>
        </w:rPr>
        <w:t>, які може потягнути за собою його дія» (рішення у справі «</w:t>
      </w:r>
      <w:proofErr w:type="spellStart"/>
      <w:r w:rsidRPr="00C163CE">
        <w:rPr>
          <w:rFonts w:ascii="Times New Roman" w:hAnsi="Times New Roman"/>
          <w:bCs/>
          <w:sz w:val="28"/>
        </w:rPr>
        <w:t>Вєренцов</w:t>
      </w:r>
      <w:proofErr w:type="spellEnd"/>
      <w:r w:rsidRPr="00C163CE">
        <w:rPr>
          <w:rFonts w:ascii="Times New Roman" w:hAnsi="Times New Roman"/>
          <w:bCs/>
          <w:sz w:val="28"/>
        </w:rPr>
        <w:t xml:space="preserve"> проти України, 11 квітня 2013 року). </w:t>
      </w:r>
    </w:p>
    <w:p w:rsidR="009A40D6" w:rsidRPr="00C163CE" w:rsidRDefault="009A40D6" w:rsidP="009A40D6">
      <w:pPr>
        <w:spacing w:after="120" w:line="240" w:lineRule="auto"/>
        <w:ind w:firstLine="567"/>
        <w:jc w:val="both"/>
        <w:rPr>
          <w:rFonts w:ascii="Times New Roman" w:hAnsi="Times New Roman"/>
          <w:bCs/>
          <w:sz w:val="28"/>
        </w:rPr>
      </w:pPr>
    </w:p>
    <w:p w:rsidR="009A40D6" w:rsidRPr="00C163CE" w:rsidRDefault="00C316B7" w:rsidP="009A40D6">
      <w:pPr>
        <w:spacing w:after="120" w:line="240" w:lineRule="auto"/>
        <w:ind w:firstLine="708"/>
        <w:jc w:val="both"/>
        <w:rPr>
          <w:rFonts w:ascii="Times New Roman" w:hAnsi="Times New Roman"/>
          <w:sz w:val="28"/>
          <w:szCs w:val="28"/>
        </w:rPr>
      </w:pPr>
      <w:r>
        <w:rPr>
          <w:rFonts w:ascii="Times New Roman" w:hAnsi="Times New Roman"/>
          <w:bCs/>
          <w:sz w:val="28"/>
        </w:rPr>
        <w:t>9.3.</w:t>
      </w:r>
      <w:r w:rsidR="009A40D6" w:rsidRPr="00C163CE">
        <w:rPr>
          <w:rFonts w:ascii="Times New Roman" w:hAnsi="Times New Roman"/>
          <w:bCs/>
          <w:sz w:val="28"/>
        </w:rPr>
        <w:t xml:space="preserve"> </w:t>
      </w:r>
      <w:r w:rsidR="009A40D6" w:rsidRPr="00C163CE">
        <w:rPr>
          <w:rFonts w:ascii="Times New Roman" w:hAnsi="Times New Roman"/>
          <w:sz w:val="28"/>
          <w:szCs w:val="28"/>
        </w:rPr>
        <w:t xml:space="preserve">У статті 7 законопроекту також міститься положення щодо припинення </w:t>
      </w:r>
      <w:r w:rsidR="009A40D6" w:rsidRPr="00C163CE">
        <w:rPr>
          <w:rFonts w:ascii="Times New Roman" w:hAnsi="Times New Roman"/>
          <w:sz w:val="28"/>
          <w:szCs w:val="28"/>
          <w:u w:val="single"/>
        </w:rPr>
        <w:t>фінансової підтримки спортсмена і допоміжного персоналу спортсмена,</w:t>
      </w:r>
      <w:r w:rsidR="009A40D6" w:rsidRPr="00C163CE">
        <w:rPr>
          <w:rFonts w:ascii="Times New Roman" w:hAnsi="Times New Roman"/>
          <w:sz w:val="28"/>
          <w:szCs w:val="28"/>
        </w:rPr>
        <w:t xml:space="preserve"> відстороненого внаслідок порушення антидопінгових правил, на весь період відсторонення з боку центрального органу виконавчої влади, що забезпечує формування та реалізує державну політику у сфері фізичної </w:t>
      </w:r>
      <w:r w:rsidR="009A40D6" w:rsidRPr="00C163CE">
        <w:rPr>
          <w:rFonts w:ascii="Times New Roman" w:hAnsi="Times New Roman"/>
          <w:sz w:val="28"/>
          <w:szCs w:val="28"/>
        </w:rPr>
        <w:lastRenderedPageBreak/>
        <w:t>культури і спорту (пункт 1 частини третьої), а також місцевих органів виконавчої влади та органів місцевого самоврядування (частина четверта).</w:t>
      </w:r>
    </w:p>
    <w:p w:rsidR="009A40D6" w:rsidRPr="00C163CE" w:rsidRDefault="00C316B7" w:rsidP="009A40D6">
      <w:pPr>
        <w:spacing w:after="120" w:line="240" w:lineRule="auto"/>
        <w:ind w:firstLine="708"/>
        <w:jc w:val="both"/>
        <w:rPr>
          <w:rFonts w:ascii="Times New Roman" w:hAnsi="Times New Roman"/>
          <w:sz w:val="28"/>
          <w:szCs w:val="28"/>
        </w:rPr>
      </w:pPr>
      <w:r>
        <w:rPr>
          <w:rFonts w:ascii="Times New Roman" w:hAnsi="Times New Roman"/>
          <w:sz w:val="28"/>
          <w:szCs w:val="28"/>
        </w:rPr>
        <w:t>Однак</w:t>
      </w:r>
      <w:r w:rsidR="009A40D6" w:rsidRPr="00C163CE">
        <w:rPr>
          <w:rFonts w:ascii="Times New Roman" w:hAnsi="Times New Roman"/>
          <w:sz w:val="28"/>
          <w:szCs w:val="28"/>
        </w:rPr>
        <w:t xml:space="preserve"> Закон України «Про фізичну культуру і спорт» не передбачає фінансової підтримки окремих спортсменів або допоміжного персоналу спортсмена, а Бюджетним кодексом України не передбачено таких видатків з державного та місцевих бюджетів (статті 87, 89 і 90).</w:t>
      </w:r>
    </w:p>
    <w:p w:rsidR="009A40D6" w:rsidRPr="00C163CE" w:rsidRDefault="009A40D6" w:rsidP="009A40D6">
      <w:pPr>
        <w:spacing w:after="120" w:line="240" w:lineRule="auto"/>
        <w:ind w:firstLine="567"/>
        <w:jc w:val="both"/>
        <w:rPr>
          <w:rFonts w:ascii="Times New Roman" w:hAnsi="Times New Roman"/>
          <w:bCs/>
          <w:sz w:val="28"/>
          <w:lang w:val="ru-RU"/>
        </w:rPr>
      </w:pP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rPr>
        <w:t xml:space="preserve">10. </w:t>
      </w:r>
      <w:r w:rsidRPr="00C163CE">
        <w:rPr>
          <w:rFonts w:ascii="Times New Roman" w:hAnsi="Times New Roman"/>
          <w:sz w:val="28"/>
          <w:szCs w:val="28"/>
        </w:rPr>
        <w:t xml:space="preserve">Частиною шостою статті 9 законопроекту передбачено, що будь-який аналіз проб, відібраних Національним антидопінговим центром, повинен проводитися в лабораторіях, акредитованих або іншим чином затверджених Всесвітнім антидопінговим </w:t>
      </w:r>
      <w:proofErr w:type="spellStart"/>
      <w:r w:rsidRPr="00C163CE">
        <w:rPr>
          <w:rFonts w:ascii="Times New Roman" w:hAnsi="Times New Roman"/>
          <w:sz w:val="28"/>
          <w:szCs w:val="28"/>
        </w:rPr>
        <w:t>агенством</w:t>
      </w:r>
      <w:proofErr w:type="spellEnd"/>
      <w:r w:rsidRPr="00C163CE">
        <w:rPr>
          <w:rFonts w:ascii="Times New Roman" w:hAnsi="Times New Roman"/>
          <w:sz w:val="28"/>
          <w:szCs w:val="28"/>
        </w:rPr>
        <w:t>.</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При цьому жод</w:t>
      </w:r>
      <w:r w:rsidR="00C316B7">
        <w:rPr>
          <w:rFonts w:ascii="Times New Roman" w:hAnsi="Times New Roman"/>
          <w:sz w:val="28"/>
          <w:szCs w:val="28"/>
        </w:rPr>
        <w:t>ного положення, яке б регулювало</w:t>
      </w:r>
      <w:r w:rsidRPr="00C163CE">
        <w:rPr>
          <w:rFonts w:ascii="Times New Roman" w:hAnsi="Times New Roman"/>
          <w:sz w:val="28"/>
          <w:szCs w:val="28"/>
        </w:rPr>
        <w:t xml:space="preserve"> діяльність таких лабораторій, законопроектом не передбачено. Це свідчить про незавершеність правового регулювання, а тому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 7-рп/2001).</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Звертаємо увагу, що за визначенням законопроекту антидопінгова діяльність включає допінг-контроль (всі стадії та процеси від планування тестувань до остаточного розгляду апеляцій та застосування санкцій, зокрема </w:t>
      </w:r>
      <w:r w:rsidRPr="00C163CE">
        <w:rPr>
          <w:rFonts w:ascii="Times New Roman" w:hAnsi="Times New Roman"/>
          <w:sz w:val="28"/>
          <w:szCs w:val="28"/>
          <w:u w:val="single"/>
        </w:rPr>
        <w:t>лабораторний аналіз допінг-проб</w:t>
      </w:r>
      <w:r w:rsidRPr="00C163CE">
        <w:rPr>
          <w:rFonts w:ascii="Times New Roman" w:hAnsi="Times New Roman"/>
          <w:sz w:val="28"/>
          <w:szCs w:val="28"/>
        </w:rPr>
        <w:t>). У зв</w:t>
      </w:r>
      <w:r w:rsidRPr="00C163CE">
        <w:rPr>
          <w:rFonts w:ascii="Times New Roman" w:hAnsi="Times New Roman"/>
          <w:sz w:val="28"/>
          <w:szCs w:val="28"/>
          <w:lang w:val="ru-RU"/>
        </w:rPr>
        <w:t>’</w:t>
      </w:r>
      <w:proofErr w:type="spellStart"/>
      <w:r w:rsidRPr="00C163CE">
        <w:rPr>
          <w:rFonts w:ascii="Times New Roman" w:hAnsi="Times New Roman"/>
          <w:sz w:val="28"/>
          <w:szCs w:val="28"/>
        </w:rPr>
        <w:t>язку</w:t>
      </w:r>
      <w:proofErr w:type="spellEnd"/>
      <w:r w:rsidRPr="00C163CE">
        <w:rPr>
          <w:rFonts w:ascii="Times New Roman" w:hAnsi="Times New Roman"/>
          <w:sz w:val="28"/>
          <w:szCs w:val="28"/>
        </w:rPr>
        <w:t xml:space="preserve"> з цим пит</w:t>
      </w:r>
      <w:r w:rsidR="00C316B7">
        <w:rPr>
          <w:rFonts w:ascii="Times New Roman" w:hAnsi="Times New Roman"/>
          <w:sz w:val="28"/>
          <w:szCs w:val="28"/>
        </w:rPr>
        <w:t>ання щодо лабораторного аналізу</w:t>
      </w:r>
      <w:r w:rsidRPr="00C163CE">
        <w:rPr>
          <w:rFonts w:ascii="Times New Roman" w:hAnsi="Times New Roman"/>
          <w:sz w:val="28"/>
          <w:szCs w:val="28"/>
        </w:rPr>
        <w:t xml:space="preserve"> також мають бути врегульовані цим законопроектом.</w:t>
      </w:r>
    </w:p>
    <w:p w:rsidR="009A40D6" w:rsidRPr="00C163CE" w:rsidRDefault="009A40D6" w:rsidP="009A40D6">
      <w:pPr>
        <w:spacing w:after="120" w:line="240" w:lineRule="auto"/>
        <w:ind w:firstLine="567"/>
        <w:jc w:val="both"/>
        <w:rPr>
          <w:rFonts w:ascii="Times New Roman" w:hAnsi="Times New Roman"/>
          <w:sz w:val="28"/>
          <w:lang w:val="ru-RU"/>
        </w:rPr>
      </w:pP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11. Статтею 10 законопроекту передбачено утворенн</w:t>
      </w:r>
      <w:r w:rsidR="00C316B7">
        <w:rPr>
          <w:rFonts w:ascii="Times New Roman" w:hAnsi="Times New Roman"/>
          <w:sz w:val="28"/>
          <w:szCs w:val="28"/>
        </w:rPr>
        <w:t>я Номінаційного комітету. Однак</w:t>
      </w:r>
      <w:r w:rsidRPr="00C163CE">
        <w:rPr>
          <w:rFonts w:ascii="Times New Roman" w:hAnsi="Times New Roman"/>
          <w:sz w:val="28"/>
          <w:szCs w:val="28"/>
        </w:rPr>
        <w:t xml:space="preserve"> ні організаційно-правові форми, ні суб’єкт утворення цього Комітету законопроектом не </w:t>
      </w:r>
      <w:r w:rsidR="00C316B7">
        <w:rPr>
          <w:rFonts w:ascii="Times New Roman" w:hAnsi="Times New Roman"/>
          <w:sz w:val="28"/>
          <w:szCs w:val="28"/>
        </w:rPr>
        <w:t>встановлено</w:t>
      </w:r>
      <w:r w:rsidRPr="00C163CE">
        <w:rPr>
          <w:rFonts w:ascii="Times New Roman" w:hAnsi="Times New Roman"/>
          <w:sz w:val="28"/>
          <w:szCs w:val="28"/>
        </w:rPr>
        <w:t>. При цьому, частиною третьою цієї статті визначено, що склад Номінаційного комітету затверджується Наглядовою радою, а Положення про Номінаційний комітет затверджується Національним антидопінговим центром (частина дев’ята).</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Слід зазначити, що відповідно до положе</w:t>
      </w:r>
      <w:r w:rsidR="00C316B7">
        <w:rPr>
          <w:rFonts w:ascii="Times New Roman" w:hAnsi="Times New Roman"/>
          <w:sz w:val="28"/>
          <w:szCs w:val="28"/>
        </w:rPr>
        <w:t xml:space="preserve">нь законопроекту Наглядова рада – </w:t>
      </w:r>
      <w:r w:rsidRPr="00C163CE">
        <w:rPr>
          <w:rFonts w:ascii="Times New Roman" w:hAnsi="Times New Roman"/>
          <w:sz w:val="28"/>
          <w:szCs w:val="28"/>
        </w:rPr>
        <w:t>це дорадчий орган Кабінету Міністрів України, а Національний антидопінговий центр – спеціалізована державна установа «неупереджена і незалежна».</w:t>
      </w:r>
    </w:p>
    <w:p w:rsidR="009A40D6" w:rsidRPr="00C163CE" w:rsidRDefault="009A40D6" w:rsidP="009A40D6">
      <w:pPr>
        <w:spacing w:after="120" w:line="240" w:lineRule="auto"/>
        <w:ind w:firstLine="708"/>
        <w:jc w:val="both"/>
        <w:rPr>
          <w:rFonts w:ascii="Times New Roman" w:hAnsi="Times New Roman"/>
          <w:sz w:val="28"/>
          <w:szCs w:val="28"/>
          <w:u w:val="single"/>
        </w:rPr>
      </w:pPr>
      <w:r w:rsidRPr="00C163CE">
        <w:rPr>
          <w:rFonts w:ascii="Times New Roman" w:hAnsi="Times New Roman"/>
          <w:sz w:val="28"/>
          <w:szCs w:val="28"/>
        </w:rPr>
        <w:t xml:space="preserve">Звертаємо увагу, що допоміжний орган Кабінету Міністрів України має право утворювати у разі потреби </w:t>
      </w:r>
      <w:r w:rsidRPr="00C163CE">
        <w:rPr>
          <w:rFonts w:ascii="Times New Roman" w:hAnsi="Times New Roman"/>
          <w:sz w:val="28"/>
          <w:szCs w:val="28"/>
          <w:u w:val="single"/>
        </w:rPr>
        <w:t>для  виконання  покладених  на нього завдань пості</w:t>
      </w:r>
      <w:r w:rsidR="00C316B7">
        <w:rPr>
          <w:rFonts w:ascii="Times New Roman" w:hAnsi="Times New Roman"/>
          <w:sz w:val="28"/>
          <w:szCs w:val="28"/>
          <w:u w:val="single"/>
        </w:rPr>
        <w:t>йні або тимчасові робочі групи.</w:t>
      </w:r>
      <w:r w:rsidR="00C316B7">
        <w:rPr>
          <w:rFonts w:ascii="Times New Roman" w:hAnsi="Times New Roman"/>
          <w:sz w:val="28"/>
          <w:szCs w:val="28"/>
        </w:rPr>
        <w:t xml:space="preserve"> Однак</w:t>
      </w:r>
      <w:r w:rsidRPr="00C163CE">
        <w:rPr>
          <w:rFonts w:ascii="Times New Roman" w:hAnsi="Times New Roman"/>
          <w:sz w:val="28"/>
          <w:szCs w:val="28"/>
        </w:rPr>
        <w:t xml:space="preserve"> частина друга статті 5 законопроекту не передбачає відповідних повноважень для Наглядової ради.</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Так</w:t>
      </w:r>
      <w:r w:rsidR="00C316B7">
        <w:rPr>
          <w:rFonts w:ascii="Times New Roman" w:hAnsi="Times New Roman"/>
          <w:sz w:val="28"/>
          <w:szCs w:val="28"/>
        </w:rPr>
        <w:t>,</w:t>
      </w:r>
      <w:r w:rsidRPr="00C163CE">
        <w:rPr>
          <w:rFonts w:ascii="Times New Roman" w:hAnsi="Times New Roman"/>
          <w:sz w:val="28"/>
          <w:szCs w:val="28"/>
        </w:rPr>
        <w:t xml:space="preserve"> зважаючи, що до складу Номінаційного комітету входить особа, делегована центральним органом виконавчої влади, що забезпечує формування та реалізує державну політику у сфері фізичної культури і спорту </w:t>
      </w:r>
      <w:r w:rsidRPr="00C163CE">
        <w:rPr>
          <w:rFonts w:ascii="Times New Roman" w:hAnsi="Times New Roman"/>
          <w:sz w:val="28"/>
          <w:szCs w:val="28"/>
        </w:rPr>
        <w:lastRenderedPageBreak/>
        <w:t xml:space="preserve">(частина друга цієї статті), </w:t>
      </w:r>
      <w:r w:rsidR="00C316B7">
        <w:rPr>
          <w:rFonts w:ascii="Times New Roman" w:hAnsi="Times New Roman"/>
          <w:sz w:val="28"/>
          <w:szCs w:val="28"/>
        </w:rPr>
        <w:t xml:space="preserve">можна зробити висновок, що </w:t>
      </w:r>
      <w:r w:rsidRPr="00C163CE">
        <w:rPr>
          <w:rFonts w:ascii="Times New Roman" w:hAnsi="Times New Roman"/>
          <w:sz w:val="28"/>
          <w:szCs w:val="28"/>
        </w:rPr>
        <w:t>йде</w:t>
      </w:r>
      <w:r w:rsidR="00C316B7">
        <w:rPr>
          <w:rFonts w:ascii="Times New Roman" w:hAnsi="Times New Roman"/>
          <w:sz w:val="28"/>
          <w:szCs w:val="28"/>
        </w:rPr>
        <w:t>ться</w:t>
      </w:r>
      <w:r w:rsidRPr="00C163CE">
        <w:rPr>
          <w:rFonts w:ascii="Times New Roman" w:hAnsi="Times New Roman"/>
          <w:sz w:val="28"/>
          <w:szCs w:val="28"/>
        </w:rPr>
        <w:t xml:space="preserve"> про ще один дорадчий орган Кабінету Міністрів України.</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Відтак, склад і положення цього Комітету мав би затверджувати Кабінет Міністрів України. Аналогічні зауваження стосувалися утворення Наглядової ради.</w:t>
      </w:r>
    </w:p>
    <w:p w:rsidR="009A40D6" w:rsidRPr="00C163CE" w:rsidRDefault="00C316B7" w:rsidP="00C316B7">
      <w:pPr>
        <w:spacing w:after="120" w:line="240" w:lineRule="auto"/>
        <w:ind w:firstLine="708"/>
        <w:jc w:val="both"/>
        <w:rPr>
          <w:rFonts w:ascii="Times New Roman" w:hAnsi="Times New Roman"/>
          <w:sz w:val="28"/>
          <w:szCs w:val="28"/>
        </w:rPr>
      </w:pPr>
      <w:r>
        <w:rPr>
          <w:rFonts w:ascii="Times New Roman" w:hAnsi="Times New Roman"/>
          <w:sz w:val="28"/>
          <w:szCs w:val="28"/>
        </w:rPr>
        <w:t>Також</w:t>
      </w:r>
      <w:r w:rsidR="009A40D6" w:rsidRPr="00C163CE">
        <w:rPr>
          <w:rFonts w:ascii="Times New Roman" w:hAnsi="Times New Roman"/>
          <w:sz w:val="28"/>
          <w:szCs w:val="28"/>
        </w:rPr>
        <w:t xml:space="preserve"> стаття 11 законопроекту передбачає утворення </w:t>
      </w:r>
      <w:r w:rsidR="009A40D6" w:rsidRPr="00C163CE">
        <w:rPr>
          <w:rFonts w:ascii="Times New Roman" w:hAnsi="Times New Roman"/>
          <w:sz w:val="28"/>
          <w:szCs w:val="28"/>
          <w:u w:val="single"/>
        </w:rPr>
        <w:t>Дисциплінарної антидопінгової  комісії та Апеляційної антидопінгової комісії</w:t>
      </w:r>
      <w:r w:rsidR="009A40D6" w:rsidRPr="00C163CE">
        <w:rPr>
          <w:rFonts w:ascii="Times New Roman" w:hAnsi="Times New Roman"/>
          <w:sz w:val="28"/>
          <w:szCs w:val="28"/>
        </w:rPr>
        <w:t>, не визначаючи при цьому організа</w:t>
      </w:r>
      <w:r>
        <w:rPr>
          <w:rFonts w:ascii="Times New Roman" w:hAnsi="Times New Roman"/>
          <w:sz w:val="28"/>
          <w:szCs w:val="28"/>
        </w:rPr>
        <w:t>ційно-правові форми цих комісій, а</w:t>
      </w:r>
      <w:r w:rsidR="009A40D6" w:rsidRPr="00C163CE">
        <w:rPr>
          <w:rFonts w:ascii="Times New Roman" w:hAnsi="Times New Roman"/>
          <w:sz w:val="28"/>
          <w:szCs w:val="28"/>
        </w:rPr>
        <w:t xml:space="preserve"> стаття 12 законопроекту – утворення </w:t>
      </w:r>
      <w:r w:rsidR="009A40D6" w:rsidRPr="00C163CE">
        <w:rPr>
          <w:rFonts w:ascii="Times New Roman" w:hAnsi="Times New Roman"/>
          <w:sz w:val="28"/>
          <w:szCs w:val="28"/>
          <w:u w:val="single"/>
        </w:rPr>
        <w:t>Комітету з терапевтичного використання Національного антидопінгового центру</w:t>
      </w:r>
      <w:r w:rsidR="009A40D6" w:rsidRPr="00C163CE">
        <w:rPr>
          <w:rFonts w:ascii="Times New Roman" w:hAnsi="Times New Roman"/>
          <w:sz w:val="28"/>
          <w:szCs w:val="28"/>
        </w:rPr>
        <w:t xml:space="preserve">. При цьому до повноважень цього Комітету законопроект відносить надання дозволів на терапевтичне використання. </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У відповідності до термінології законопроекту дозвіл на терапевтичне використання – це дозвіл, </w:t>
      </w:r>
      <w:r w:rsidRPr="00C163CE">
        <w:rPr>
          <w:rFonts w:ascii="Times New Roman" w:hAnsi="Times New Roman"/>
          <w:sz w:val="28"/>
          <w:szCs w:val="28"/>
          <w:u w:val="single"/>
        </w:rPr>
        <w:t>наданий антидопінговою організацією</w:t>
      </w:r>
      <w:r w:rsidRPr="00C163CE">
        <w:rPr>
          <w:rFonts w:ascii="Times New Roman" w:hAnsi="Times New Roman"/>
          <w:sz w:val="28"/>
          <w:szCs w:val="28"/>
        </w:rPr>
        <w:t xml:space="preserve"> відповідно до Міжнародного стандарту з терапевтичного використання, що надає можливість спортсмену використовувати заборонену речовину або заборонений метод з терапевтичною метою для лікування наявного та </w:t>
      </w:r>
      <w:proofErr w:type="spellStart"/>
      <w:r w:rsidRPr="00C163CE">
        <w:rPr>
          <w:rFonts w:ascii="Times New Roman" w:hAnsi="Times New Roman"/>
          <w:sz w:val="28"/>
          <w:szCs w:val="28"/>
        </w:rPr>
        <w:t>діагностованого</w:t>
      </w:r>
      <w:proofErr w:type="spellEnd"/>
      <w:r w:rsidRPr="00C163CE">
        <w:rPr>
          <w:rFonts w:ascii="Times New Roman" w:hAnsi="Times New Roman"/>
          <w:sz w:val="28"/>
          <w:szCs w:val="28"/>
        </w:rPr>
        <w:t xml:space="preserve"> медичного стану.</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Таким чином, у статті 12 законопроекту йде</w:t>
      </w:r>
      <w:r w:rsidR="00C316B7">
        <w:rPr>
          <w:rFonts w:ascii="Times New Roman" w:hAnsi="Times New Roman"/>
          <w:sz w:val="28"/>
          <w:szCs w:val="28"/>
        </w:rPr>
        <w:t>ться</w:t>
      </w:r>
      <w:r w:rsidRPr="00C163CE">
        <w:rPr>
          <w:rFonts w:ascii="Times New Roman" w:hAnsi="Times New Roman"/>
          <w:sz w:val="28"/>
          <w:szCs w:val="28"/>
        </w:rPr>
        <w:t xml:space="preserve"> про утворення окремої юридичної особи.</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Відповідно до Цивільного кодексу України держава може створювати юридичні особи публічного права (державні підприємства, навчальні заклади тощо) у випадках та в порядку, встановлених Конституцією України та законом (частина друга статті 167). Порядок утворення та правовий статус юридичних осіб публічного права встановлюються законом (частина третя статті 81).</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Державна організація (установа заклад) утворюється компетентним органом державної влади в розпорядчому порядку на базі відокремленої частини державної власності, як правило, без поділу її на частки, і входить до сфери його управління (Державний класифікатор України «Класифікація організаційно-правових форм господарювання ДК 002:2004», затвердженого наказом Державного комітету України з питань технічного регулювання та споживчої політики від 28.05.2004 № 97).</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Відтак, державна установа не може утворити іншу юридичну особу публічного права.</w:t>
      </w:r>
    </w:p>
    <w:p w:rsidR="005A04F9" w:rsidRPr="00C163CE" w:rsidRDefault="009A40D6" w:rsidP="009A40D6">
      <w:pPr>
        <w:spacing w:after="120" w:line="240" w:lineRule="auto"/>
        <w:ind w:firstLine="708"/>
        <w:jc w:val="both"/>
        <w:rPr>
          <w:rFonts w:ascii="Times New Roman" w:hAnsi="Times New Roman"/>
          <w:i/>
          <w:sz w:val="28"/>
          <w:szCs w:val="28"/>
        </w:rPr>
      </w:pPr>
      <w:r w:rsidRPr="00C163CE">
        <w:rPr>
          <w:rFonts w:ascii="Times New Roman" w:hAnsi="Times New Roman"/>
          <w:i/>
          <w:sz w:val="28"/>
          <w:szCs w:val="28"/>
        </w:rPr>
        <w:t>Що стосується наділення Комітету з терапевтичного використання повноваженням щодо надання дозволів на терапевтичне використання</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i/>
          <w:sz w:val="28"/>
          <w:szCs w:val="28"/>
        </w:rPr>
        <w:t xml:space="preserve"> </w:t>
      </w:r>
      <w:r w:rsidR="00C316B7">
        <w:rPr>
          <w:rFonts w:ascii="Times New Roman" w:hAnsi="Times New Roman"/>
          <w:sz w:val="28"/>
          <w:szCs w:val="28"/>
        </w:rPr>
        <w:t>Насамперед</w:t>
      </w:r>
      <w:r w:rsidRPr="00C163CE">
        <w:rPr>
          <w:rFonts w:ascii="Times New Roman" w:hAnsi="Times New Roman"/>
          <w:sz w:val="28"/>
          <w:szCs w:val="28"/>
        </w:rPr>
        <w:t xml:space="preserve"> слід зазначити, що таким же повноваженням законопроект наділяє Національний антидопінговий центр (пункт 4 частини сьомої статті 4).</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Зважаючи на те, що за визначенням дозвіл на терапевтичне використання є документом, що спрямований на набуття, зміну чи припинення </w:t>
      </w:r>
      <w:r w:rsidRPr="00C163CE">
        <w:rPr>
          <w:rFonts w:ascii="Times New Roman" w:hAnsi="Times New Roman"/>
          <w:sz w:val="28"/>
          <w:szCs w:val="28"/>
        </w:rPr>
        <w:lastRenderedPageBreak/>
        <w:t>прав та/або обов’язків особи, такий дозвіл має надавати суб’єкт владних повноважень (орган державної влади (у тому числі без статусу юридичної особи), орган місцевого самоврядування, їх посадова чи службова особа, інший суб’єкт при здійсненні ними публічно-владних управлінських функцій на підставі законодавства, в тому числі на виконання делегованих повноважень, або наданні адміністративних послуг).</w:t>
      </w:r>
    </w:p>
    <w:p w:rsidR="009A40D6" w:rsidRPr="00C163CE" w:rsidRDefault="009A40D6" w:rsidP="009A40D6">
      <w:pPr>
        <w:spacing w:after="120" w:line="240" w:lineRule="auto"/>
        <w:ind w:firstLine="709"/>
        <w:jc w:val="both"/>
        <w:rPr>
          <w:rFonts w:ascii="Times New Roman" w:hAnsi="Times New Roman"/>
          <w:sz w:val="28"/>
          <w:szCs w:val="28"/>
          <w:lang w:val="ru-RU"/>
        </w:rPr>
      </w:pP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Враховуючи вищевикладене, передбачаючи утворення </w:t>
      </w:r>
      <w:r w:rsidR="009E7A9C">
        <w:rPr>
          <w:rFonts w:ascii="Times New Roman" w:hAnsi="Times New Roman"/>
          <w:sz w:val="28"/>
          <w:szCs w:val="28"/>
        </w:rPr>
        <w:t>значної</w:t>
      </w:r>
      <w:r w:rsidRPr="00C163CE">
        <w:rPr>
          <w:rFonts w:ascii="Times New Roman" w:hAnsi="Times New Roman"/>
          <w:sz w:val="28"/>
          <w:szCs w:val="28"/>
        </w:rPr>
        <w:t xml:space="preserve"> кількості суб’єктів</w:t>
      </w:r>
      <w:r w:rsidR="009E7A9C">
        <w:rPr>
          <w:rFonts w:ascii="Times New Roman" w:hAnsi="Times New Roman"/>
          <w:sz w:val="28"/>
          <w:szCs w:val="28"/>
        </w:rPr>
        <w:t>,</w:t>
      </w:r>
      <w:r w:rsidRPr="00C163CE">
        <w:rPr>
          <w:rFonts w:ascii="Times New Roman" w:hAnsi="Times New Roman"/>
          <w:sz w:val="28"/>
          <w:szCs w:val="28"/>
        </w:rPr>
        <w:t xml:space="preserve"> що «провадять антидопінгову діяльність», законопроект не визначає ні </w:t>
      </w:r>
      <w:proofErr w:type="spellStart"/>
      <w:r w:rsidRPr="00C163CE">
        <w:rPr>
          <w:rFonts w:ascii="Times New Roman" w:hAnsi="Times New Roman"/>
          <w:sz w:val="28"/>
          <w:szCs w:val="28"/>
        </w:rPr>
        <w:t>організаціно</w:t>
      </w:r>
      <w:proofErr w:type="spellEnd"/>
      <w:r w:rsidRPr="00C163CE">
        <w:rPr>
          <w:rFonts w:ascii="Times New Roman" w:hAnsi="Times New Roman"/>
          <w:sz w:val="28"/>
          <w:szCs w:val="28"/>
        </w:rPr>
        <w:t>-правової форми таких суб’єктів, ні правового статусу, ні суб’єктів, що їх утворили. Таким чином</w:t>
      </w:r>
      <w:r w:rsidR="009E7A9C">
        <w:rPr>
          <w:rFonts w:ascii="Times New Roman" w:hAnsi="Times New Roman"/>
          <w:sz w:val="28"/>
          <w:szCs w:val="28"/>
        </w:rPr>
        <w:t>, не</w:t>
      </w:r>
      <w:r w:rsidRPr="00C163CE">
        <w:rPr>
          <w:rFonts w:ascii="Times New Roman" w:hAnsi="Times New Roman"/>
          <w:sz w:val="28"/>
          <w:szCs w:val="28"/>
        </w:rPr>
        <w:t xml:space="preserve">можливо структурно </w:t>
      </w:r>
      <w:proofErr w:type="spellStart"/>
      <w:r w:rsidRPr="00C163CE">
        <w:rPr>
          <w:rFonts w:ascii="Times New Roman" w:hAnsi="Times New Roman"/>
          <w:sz w:val="28"/>
          <w:szCs w:val="28"/>
        </w:rPr>
        <w:t>взаємопов</w:t>
      </w:r>
      <w:proofErr w:type="spellEnd"/>
      <w:r w:rsidRPr="00C163CE">
        <w:rPr>
          <w:rFonts w:ascii="Times New Roman" w:hAnsi="Times New Roman"/>
          <w:sz w:val="28"/>
          <w:szCs w:val="28"/>
          <w:lang w:val="ru-RU"/>
        </w:rPr>
        <w:t>’</w:t>
      </w:r>
      <w:proofErr w:type="spellStart"/>
      <w:r w:rsidRPr="00C163CE">
        <w:rPr>
          <w:rFonts w:ascii="Times New Roman" w:hAnsi="Times New Roman"/>
          <w:sz w:val="28"/>
          <w:szCs w:val="28"/>
        </w:rPr>
        <w:t>язати</w:t>
      </w:r>
      <w:proofErr w:type="spellEnd"/>
      <w:r w:rsidRPr="00C163CE">
        <w:rPr>
          <w:rFonts w:ascii="Times New Roman" w:hAnsi="Times New Roman"/>
          <w:sz w:val="28"/>
          <w:szCs w:val="28"/>
        </w:rPr>
        <w:t xml:space="preserve"> ці </w:t>
      </w:r>
      <w:proofErr w:type="spellStart"/>
      <w:r w:rsidRPr="00C163CE">
        <w:rPr>
          <w:rFonts w:ascii="Times New Roman" w:hAnsi="Times New Roman"/>
          <w:sz w:val="28"/>
          <w:szCs w:val="28"/>
        </w:rPr>
        <w:t>суб</w:t>
      </w:r>
      <w:proofErr w:type="spellEnd"/>
      <w:r w:rsidRPr="00C163CE">
        <w:rPr>
          <w:rFonts w:ascii="Times New Roman" w:hAnsi="Times New Roman"/>
          <w:sz w:val="28"/>
          <w:szCs w:val="28"/>
          <w:lang w:val="ru-RU"/>
        </w:rPr>
        <w:t>’</w:t>
      </w:r>
      <w:proofErr w:type="spellStart"/>
      <w:r w:rsidRPr="00C163CE">
        <w:rPr>
          <w:rFonts w:ascii="Times New Roman" w:hAnsi="Times New Roman"/>
          <w:sz w:val="28"/>
          <w:szCs w:val="28"/>
        </w:rPr>
        <w:t>єкти</w:t>
      </w:r>
      <w:proofErr w:type="spellEnd"/>
      <w:r w:rsidRPr="00C163CE">
        <w:rPr>
          <w:rFonts w:ascii="Times New Roman" w:hAnsi="Times New Roman"/>
          <w:sz w:val="28"/>
          <w:szCs w:val="28"/>
        </w:rPr>
        <w:t>, а також визначити джерело їх фінансування. Це свідчить про незавершеність правового регулювання та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 7-рп/2001).</w:t>
      </w:r>
    </w:p>
    <w:p w:rsidR="009A40D6" w:rsidRPr="00C163CE" w:rsidRDefault="009A40D6" w:rsidP="009A40D6">
      <w:pPr>
        <w:spacing w:after="120" w:line="240" w:lineRule="auto"/>
        <w:jc w:val="both"/>
        <w:rPr>
          <w:rFonts w:ascii="Times New Roman" w:hAnsi="Times New Roman"/>
          <w:sz w:val="28"/>
          <w:szCs w:val="28"/>
        </w:rPr>
      </w:pP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12. Крім того, законопроект містить дискримінаційні положення, які обмежують конституційне право кожного на працю.</w:t>
      </w: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Зокрема</w:t>
      </w:r>
      <w:r w:rsidR="009E7A9C">
        <w:rPr>
          <w:rFonts w:ascii="Times New Roman" w:hAnsi="Times New Roman"/>
          <w:sz w:val="28"/>
          <w:szCs w:val="28"/>
        </w:rPr>
        <w:t>,</w:t>
      </w:r>
      <w:r w:rsidRPr="00C163CE">
        <w:rPr>
          <w:rFonts w:ascii="Times New Roman" w:hAnsi="Times New Roman"/>
          <w:sz w:val="28"/>
          <w:szCs w:val="28"/>
        </w:rPr>
        <w:t xml:space="preserve"> передбачено, що «директором Національного антидопінгового центру може бути громадянин України» (частина восьма статті 4), «до складу Комітету з терапевтичного використання Національного антидопінгового центру входять п'ять фахівців у галузі знань охорони здоров’я, які є громадянами України» (частина перша статті 12). </w:t>
      </w:r>
    </w:p>
    <w:p w:rsidR="001A74B8"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Слід зазначити, що </w:t>
      </w:r>
      <w:r w:rsidR="001A74B8" w:rsidRPr="00C163CE">
        <w:rPr>
          <w:rFonts w:ascii="Times New Roman" w:hAnsi="Times New Roman"/>
          <w:sz w:val="28"/>
          <w:szCs w:val="28"/>
        </w:rPr>
        <w:t xml:space="preserve">відповідно до частини третьої статті 22 Конституції України при прийнятті нових законів або внесенні змін до чинних законів </w:t>
      </w:r>
      <w:r w:rsidR="001A74B8" w:rsidRPr="00C163CE">
        <w:rPr>
          <w:rFonts w:ascii="Times New Roman" w:hAnsi="Times New Roman"/>
          <w:sz w:val="28"/>
          <w:szCs w:val="28"/>
          <w:u w:val="single"/>
        </w:rPr>
        <w:t>не допускається звуження змісту та обсягу існуючих прав і свобод</w:t>
      </w:r>
      <w:r w:rsidR="001A74B8" w:rsidRPr="00C163CE">
        <w:rPr>
          <w:rFonts w:ascii="Times New Roman" w:hAnsi="Times New Roman"/>
          <w:sz w:val="28"/>
          <w:szCs w:val="28"/>
        </w:rPr>
        <w:t>.</w:t>
      </w:r>
    </w:p>
    <w:p w:rsidR="009A40D6" w:rsidRPr="00C163CE" w:rsidRDefault="001A74B8"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Так, </w:t>
      </w:r>
      <w:r w:rsidR="009A40D6" w:rsidRPr="00C163CE">
        <w:rPr>
          <w:rFonts w:ascii="Times New Roman" w:hAnsi="Times New Roman"/>
          <w:sz w:val="28"/>
          <w:szCs w:val="28"/>
        </w:rPr>
        <w:t>статтею 43 Конституції України передбачено, що «</w:t>
      </w:r>
      <w:r w:rsidR="009A40D6" w:rsidRPr="00C163CE">
        <w:rPr>
          <w:rFonts w:ascii="Times New Roman" w:hAnsi="Times New Roman"/>
          <w:sz w:val="28"/>
          <w:szCs w:val="28"/>
          <w:u w:val="single"/>
        </w:rPr>
        <w:t>Кожен має право на працю</w:t>
      </w:r>
      <w:r w:rsidR="009A40D6" w:rsidRPr="00C163CE">
        <w:rPr>
          <w:rFonts w:ascii="Times New Roman" w:hAnsi="Times New Roman"/>
          <w:sz w:val="28"/>
          <w:szCs w:val="28"/>
        </w:rPr>
        <w:t xml:space="preserve">, що включає можливість заробляти собі на життя працею, яку </w:t>
      </w:r>
      <w:r w:rsidR="009A40D6" w:rsidRPr="00C163CE">
        <w:rPr>
          <w:rFonts w:ascii="Times New Roman" w:hAnsi="Times New Roman"/>
          <w:sz w:val="28"/>
          <w:szCs w:val="28"/>
          <w:u w:val="single"/>
        </w:rPr>
        <w:t>він вільно обирає</w:t>
      </w:r>
      <w:r w:rsidR="009A40D6" w:rsidRPr="00C163CE">
        <w:rPr>
          <w:rFonts w:ascii="Times New Roman" w:hAnsi="Times New Roman"/>
          <w:sz w:val="28"/>
          <w:szCs w:val="28"/>
        </w:rPr>
        <w:t xml:space="preserve"> або на яку вільно погоджується». Іноземці та особи без громадянства, що перебувають в Україні на законних підставах, користуються тими самими правами і свободами, а також несуть такі самі обов'язки, як і громадяни України, - за винятками, встановленими Конституцією, законами чи міжнародними договорами України (стаття 26).</w:t>
      </w:r>
    </w:p>
    <w:p w:rsidR="001A74B8" w:rsidRPr="00C163CE" w:rsidRDefault="001A74B8"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Одночасно звертаємо увагу, що у 2019 році до Конституції України були внесені зміни щодо стратегічного курсу держави на набуття повноправного членства України в Європейському Союзі та в Організації Північноатлантичного договору</w:t>
      </w:r>
      <w:r w:rsidR="00CD4B81" w:rsidRPr="00C163CE">
        <w:rPr>
          <w:rFonts w:ascii="Times New Roman" w:hAnsi="Times New Roman"/>
          <w:sz w:val="28"/>
          <w:szCs w:val="28"/>
        </w:rPr>
        <w:t>.</w:t>
      </w:r>
    </w:p>
    <w:p w:rsidR="00CD4B81" w:rsidRPr="00C163CE" w:rsidRDefault="00CD4B81"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Таким чином, зазначені положення законопроекту обмежують конституційне право на працю для іноземців та осіб без громадянства, що перебувають в Україні на законних підставах, незважаючи  на незворотність </w:t>
      </w:r>
      <w:r w:rsidRPr="00C163CE">
        <w:rPr>
          <w:rFonts w:ascii="Times New Roman" w:hAnsi="Times New Roman"/>
          <w:sz w:val="28"/>
          <w:szCs w:val="28"/>
        </w:rPr>
        <w:lastRenderedPageBreak/>
        <w:t>європейського та євроатлантичного курсу України, про що наголошує преамбула Конституції України.</w:t>
      </w:r>
    </w:p>
    <w:p w:rsidR="009A40D6" w:rsidRPr="00C163CE" w:rsidRDefault="009E7A9C" w:rsidP="009A40D6">
      <w:pPr>
        <w:spacing w:after="120" w:line="240" w:lineRule="auto"/>
        <w:ind w:firstLine="708"/>
        <w:jc w:val="both"/>
        <w:rPr>
          <w:rFonts w:ascii="Times New Roman" w:hAnsi="Times New Roman"/>
          <w:sz w:val="28"/>
          <w:szCs w:val="28"/>
        </w:rPr>
      </w:pPr>
      <w:r>
        <w:rPr>
          <w:rFonts w:ascii="Times New Roman" w:hAnsi="Times New Roman"/>
          <w:sz w:val="28"/>
          <w:szCs w:val="28"/>
        </w:rPr>
        <w:t>Щодо</w:t>
      </w:r>
      <w:r w:rsidR="009A40D6" w:rsidRPr="00C163CE">
        <w:rPr>
          <w:rFonts w:ascii="Times New Roman" w:hAnsi="Times New Roman"/>
          <w:sz w:val="28"/>
          <w:szCs w:val="28"/>
        </w:rPr>
        <w:t xml:space="preserve"> інших положень </w:t>
      </w:r>
      <w:r w:rsidR="007E12F9">
        <w:rPr>
          <w:rFonts w:ascii="Times New Roman" w:hAnsi="Times New Roman"/>
          <w:sz w:val="28"/>
          <w:szCs w:val="28"/>
        </w:rPr>
        <w:t xml:space="preserve">законопроекту </w:t>
      </w:r>
      <w:r>
        <w:rPr>
          <w:rFonts w:ascii="Times New Roman" w:hAnsi="Times New Roman"/>
          <w:sz w:val="28"/>
          <w:szCs w:val="28"/>
        </w:rPr>
        <w:t>стосовно</w:t>
      </w:r>
      <w:r w:rsidR="009A40D6" w:rsidRPr="00C163CE">
        <w:rPr>
          <w:rFonts w:ascii="Times New Roman" w:hAnsi="Times New Roman"/>
          <w:sz w:val="28"/>
          <w:szCs w:val="28"/>
        </w:rPr>
        <w:t xml:space="preserve"> громадянства України членів тих чи інших суб’єктів</w:t>
      </w:r>
      <w:r>
        <w:rPr>
          <w:rFonts w:ascii="Times New Roman" w:hAnsi="Times New Roman"/>
          <w:sz w:val="28"/>
          <w:szCs w:val="28"/>
        </w:rPr>
        <w:t>,</w:t>
      </w:r>
      <w:r w:rsidR="009A40D6" w:rsidRPr="00C163CE">
        <w:rPr>
          <w:rFonts w:ascii="Times New Roman" w:hAnsi="Times New Roman"/>
          <w:sz w:val="28"/>
          <w:szCs w:val="28"/>
        </w:rPr>
        <w:t xml:space="preserve"> що «провадять антидопінгову діяльність»</w:t>
      </w:r>
      <w:r>
        <w:rPr>
          <w:rFonts w:ascii="Times New Roman" w:hAnsi="Times New Roman"/>
          <w:sz w:val="28"/>
          <w:szCs w:val="28"/>
        </w:rPr>
        <w:t>,</w:t>
      </w:r>
      <w:r w:rsidR="009A40D6" w:rsidRPr="00C163CE">
        <w:rPr>
          <w:rFonts w:ascii="Times New Roman" w:hAnsi="Times New Roman"/>
          <w:sz w:val="28"/>
          <w:szCs w:val="28"/>
        </w:rPr>
        <w:t xml:space="preserve"> у зв’язку з невизначеністю організаційно-правової форми чи їх належності до суб’єктів владних повноважень та відповідно невизначеності джерел фінансування таких суб’єктів, неможливо однозначно стверджувати про таку невідповідність.</w:t>
      </w:r>
    </w:p>
    <w:p w:rsidR="009A40D6" w:rsidRPr="00C163CE" w:rsidRDefault="009A40D6" w:rsidP="009A40D6">
      <w:pPr>
        <w:spacing w:after="120" w:line="240" w:lineRule="auto"/>
        <w:ind w:firstLine="709"/>
        <w:jc w:val="both"/>
        <w:rPr>
          <w:rFonts w:ascii="Times New Roman" w:hAnsi="Times New Roman"/>
          <w:sz w:val="28"/>
          <w:szCs w:val="28"/>
        </w:rPr>
      </w:pP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 xml:space="preserve">13. Стаття 14 законопроекту, що мала б згідно з назвою визначити перелік порушень антидопінгових правил, містить положення, за якими «факти порушення антидопінгових правил, виявлені Національним антидопінговим центром або іншою антидопінговою організацією, розглядаються Національним антидопінговим центром або зазначеною антидопінговою організацією </w:t>
      </w:r>
      <w:r w:rsidRPr="00C163CE">
        <w:rPr>
          <w:rFonts w:ascii="Times New Roman" w:hAnsi="Times New Roman"/>
          <w:sz w:val="28"/>
          <w:szCs w:val="28"/>
          <w:u w:val="single"/>
        </w:rPr>
        <w:t>відповідно до антидопінгових правил</w:t>
      </w:r>
      <w:r w:rsidRPr="00C163CE">
        <w:rPr>
          <w:rFonts w:ascii="Times New Roman" w:hAnsi="Times New Roman"/>
          <w:sz w:val="28"/>
          <w:szCs w:val="28"/>
        </w:rPr>
        <w:t xml:space="preserve">» та «відповідальність за порушення антидопінгових правил, порядок їх застосування визначається </w:t>
      </w:r>
      <w:r w:rsidRPr="00C163CE">
        <w:rPr>
          <w:rFonts w:ascii="Times New Roman" w:hAnsi="Times New Roman"/>
          <w:sz w:val="28"/>
          <w:szCs w:val="28"/>
          <w:u w:val="single"/>
        </w:rPr>
        <w:t>згідно із антидопінговими правилами</w:t>
      </w:r>
      <w:r w:rsidRPr="00C163CE">
        <w:rPr>
          <w:rFonts w:ascii="Times New Roman" w:hAnsi="Times New Roman"/>
          <w:sz w:val="28"/>
          <w:szCs w:val="28"/>
        </w:rPr>
        <w:t>», що в свою чергу суперечить пункту 22 частини першої статті 92 Конституції України, відповідно до якого виключно законами України визначаються засади цивільно-правової відповідальності; діяння, які є злочинами, адміністративними або дисциплінарними правопорушеннями, та відповідальність за них.</w:t>
      </w:r>
    </w:p>
    <w:p w:rsidR="009A40D6" w:rsidRPr="00C163CE" w:rsidRDefault="009A40D6" w:rsidP="009A40D6">
      <w:pPr>
        <w:spacing w:after="120" w:line="240" w:lineRule="auto"/>
        <w:ind w:firstLine="708"/>
        <w:jc w:val="both"/>
        <w:rPr>
          <w:rFonts w:ascii="Times New Roman" w:hAnsi="Times New Roman"/>
          <w:sz w:val="28"/>
          <w:szCs w:val="28"/>
          <w:lang w:val="ru-RU"/>
        </w:rPr>
      </w:pPr>
      <w:r w:rsidRPr="00C163CE">
        <w:rPr>
          <w:rFonts w:ascii="Times New Roman" w:hAnsi="Times New Roman"/>
          <w:sz w:val="28"/>
          <w:szCs w:val="28"/>
        </w:rPr>
        <w:t>У Рішенні Конституційного Суду України від 30 травня 2001 року № 7-рп/2001 у тлумаченні норми пункту 22 частини першої статті 92 Конституції визначено, що «склад правопорушення як підстава притягнення особи до юридичної відповідальності та заходи державно-примусового впливу за його вчинення  визначаються  виключно  законом,  а  не будь-яким іншим нормативно-правовим актом, що юридична відповідальність особи має індивідуальний характер, що ніхто не може відповідати за діяння, які на час їх вчинення не визнавалися законом як правопорушення, та бути двічі притягнений до юридичної відповідальності одного виду за одне й те саме правопорушення (статті 58, 61, пункти 1, 22 частини першої статті 92 Конституції України)» (абзац шостий пункту 2 мотивувальної частини).</w:t>
      </w:r>
    </w:p>
    <w:p w:rsidR="009A40D6" w:rsidRPr="00C163CE" w:rsidRDefault="009A40D6" w:rsidP="009A40D6">
      <w:pPr>
        <w:spacing w:after="120" w:line="240" w:lineRule="auto"/>
        <w:jc w:val="both"/>
        <w:rPr>
          <w:rFonts w:ascii="Times New Roman" w:hAnsi="Times New Roman"/>
          <w:sz w:val="28"/>
          <w:szCs w:val="28"/>
        </w:rPr>
      </w:pPr>
    </w:p>
    <w:p w:rsidR="009A40D6" w:rsidRPr="00C163CE" w:rsidRDefault="009A40D6" w:rsidP="009A40D6">
      <w:pPr>
        <w:spacing w:after="120" w:line="240" w:lineRule="auto"/>
        <w:ind w:firstLine="709"/>
        <w:jc w:val="both"/>
        <w:rPr>
          <w:rFonts w:ascii="Times New Roman" w:hAnsi="Times New Roman"/>
          <w:sz w:val="28"/>
          <w:szCs w:val="28"/>
        </w:rPr>
      </w:pPr>
      <w:r w:rsidRPr="00C163CE">
        <w:rPr>
          <w:rFonts w:ascii="Times New Roman" w:hAnsi="Times New Roman"/>
          <w:sz w:val="28"/>
          <w:szCs w:val="28"/>
        </w:rPr>
        <w:t>14. Зауважуємо, що</w:t>
      </w:r>
      <w:r w:rsidR="009E7A9C">
        <w:rPr>
          <w:rFonts w:ascii="Times New Roman" w:hAnsi="Times New Roman"/>
          <w:sz w:val="28"/>
          <w:szCs w:val="28"/>
        </w:rPr>
        <w:t>,</w:t>
      </w:r>
      <w:r w:rsidRPr="00C163CE">
        <w:rPr>
          <w:rFonts w:ascii="Times New Roman" w:hAnsi="Times New Roman"/>
          <w:sz w:val="28"/>
          <w:szCs w:val="28"/>
        </w:rPr>
        <w:t xml:space="preserve"> оскільки реалізація положень законопроекту у </w:t>
      </w:r>
      <w:r w:rsidR="009E7A9C">
        <w:rPr>
          <w:rFonts w:ascii="Times New Roman" w:hAnsi="Times New Roman"/>
          <w:sz w:val="28"/>
          <w:szCs w:val="28"/>
        </w:rPr>
        <w:t>разі</w:t>
      </w:r>
      <w:r w:rsidRPr="00C163CE">
        <w:rPr>
          <w:rFonts w:ascii="Times New Roman" w:hAnsi="Times New Roman"/>
          <w:sz w:val="28"/>
          <w:szCs w:val="28"/>
        </w:rPr>
        <w:t xml:space="preserve"> його прийняття як Закону матиме безпосередній вплив на видаткову частину державного та місцевих бюджетів, вбачається за доцільне з метою додержання норм частини третьої статті 95 Конституції України узгодити пункт 1 розділу V «Прикінцеві положення» законопроекту зі статтею 27 Бюджетного кодексу України, згідно з якою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w:t>
      </w:r>
    </w:p>
    <w:p w:rsidR="009A40D6" w:rsidRPr="00C163CE" w:rsidRDefault="009A40D6" w:rsidP="009A40D6">
      <w:pPr>
        <w:spacing w:after="120" w:line="240" w:lineRule="auto"/>
        <w:ind w:firstLine="709"/>
        <w:jc w:val="both"/>
        <w:rPr>
          <w:rFonts w:ascii="Times New Roman" w:hAnsi="Times New Roman"/>
          <w:sz w:val="28"/>
          <w:szCs w:val="28"/>
        </w:rPr>
      </w:pPr>
      <w:r w:rsidRPr="00C163CE">
        <w:rPr>
          <w:rFonts w:ascii="Times New Roman" w:hAnsi="Times New Roman"/>
          <w:sz w:val="28"/>
          <w:szCs w:val="28"/>
        </w:rPr>
        <w:lastRenderedPageBreak/>
        <w:t>не пізніше 15 липня року, що передує плановому, вводяться в дію не раніше початку планового бюджетного періоду;</w:t>
      </w:r>
    </w:p>
    <w:p w:rsidR="009A40D6" w:rsidRPr="00C163CE" w:rsidRDefault="009A40D6" w:rsidP="009A40D6">
      <w:pPr>
        <w:spacing w:after="120" w:line="240" w:lineRule="auto"/>
        <w:ind w:firstLine="709"/>
        <w:jc w:val="both"/>
        <w:rPr>
          <w:rFonts w:ascii="Times New Roman" w:hAnsi="Times New Roman"/>
          <w:sz w:val="28"/>
          <w:szCs w:val="28"/>
        </w:rPr>
      </w:pPr>
      <w:r w:rsidRPr="00C163CE">
        <w:rPr>
          <w:rFonts w:ascii="Times New Roman" w:hAnsi="Times New Roman"/>
          <w:sz w:val="28"/>
          <w:szCs w:val="28"/>
        </w:rPr>
        <w:t xml:space="preserve">після 15 липня року, що передує плановому, вводяться в дію не раніше початку бюджетного періоду, що настає за плановим. </w:t>
      </w:r>
    </w:p>
    <w:p w:rsidR="009A40D6" w:rsidRPr="00C163CE" w:rsidRDefault="009A40D6" w:rsidP="009A40D6">
      <w:pPr>
        <w:spacing w:after="120" w:line="240" w:lineRule="auto"/>
        <w:ind w:firstLine="709"/>
        <w:jc w:val="both"/>
        <w:rPr>
          <w:rFonts w:ascii="Times New Roman" w:hAnsi="Times New Roman"/>
          <w:sz w:val="28"/>
          <w:szCs w:val="28"/>
        </w:rPr>
      </w:pPr>
      <w:r w:rsidRPr="00C163CE">
        <w:rPr>
          <w:rFonts w:ascii="Times New Roman" w:hAnsi="Times New Roman"/>
          <w:sz w:val="28"/>
          <w:szCs w:val="28"/>
        </w:rPr>
        <w:t xml:space="preserve">Відтак, законопроект у </w:t>
      </w:r>
      <w:r w:rsidR="009E7A9C">
        <w:rPr>
          <w:rFonts w:ascii="Times New Roman" w:hAnsi="Times New Roman"/>
          <w:sz w:val="28"/>
          <w:szCs w:val="28"/>
        </w:rPr>
        <w:t>разі</w:t>
      </w:r>
      <w:r w:rsidRPr="00C163CE">
        <w:rPr>
          <w:rFonts w:ascii="Times New Roman" w:hAnsi="Times New Roman"/>
          <w:sz w:val="28"/>
          <w:szCs w:val="28"/>
        </w:rPr>
        <w:t xml:space="preserve"> його прийняття як Закону не може набирати чинності раніше</w:t>
      </w:r>
      <w:r w:rsidR="009E7A9C">
        <w:rPr>
          <w:rFonts w:ascii="Times New Roman" w:hAnsi="Times New Roman"/>
          <w:sz w:val="28"/>
          <w:szCs w:val="28"/>
        </w:rPr>
        <w:t>, ніж з</w:t>
      </w:r>
      <w:r w:rsidRPr="00C163CE">
        <w:rPr>
          <w:rFonts w:ascii="Times New Roman" w:hAnsi="Times New Roman"/>
          <w:sz w:val="28"/>
          <w:szCs w:val="28"/>
        </w:rPr>
        <w:t xml:space="preserve"> 1 січня 2023 року. </w:t>
      </w:r>
    </w:p>
    <w:p w:rsidR="009A40D6" w:rsidRPr="00C163CE" w:rsidRDefault="009A40D6" w:rsidP="009A40D6">
      <w:pPr>
        <w:spacing w:after="120" w:line="240" w:lineRule="auto"/>
        <w:ind w:firstLine="709"/>
        <w:jc w:val="both"/>
        <w:rPr>
          <w:rFonts w:ascii="Times New Roman" w:hAnsi="Times New Roman"/>
          <w:sz w:val="28"/>
          <w:szCs w:val="28"/>
        </w:rPr>
      </w:pPr>
    </w:p>
    <w:p w:rsidR="009A40D6" w:rsidRPr="00C163CE" w:rsidRDefault="009A40D6" w:rsidP="009A40D6">
      <w:pPr>
        <w:spacing w:after="120" w:line="240" w:lineRule="auto"/>
        <w:ind w:firstLine="708"/>
        <w:jc w:val="both"/>
        <w:rPr>
          <w:rFonts w:ascii="Times New Roman" w:hAnsi="Times New Roman"/>
          <w:sz w:val="28"/>
          <w:szCs w:val="28"/>
        </w:rPr>
      </w:pPr>
      <w:r w:rsidRPr="00C163CE">
        <w:rPr>
          <w:rFonts w:ascii="Times New Roman" w:hAnsi="Times New Roman"/>
          <w:sz w:val="28"/>
          <w:szCs w:val="28"/>
        </w:rPr>
        <w:t>15. Положення пункту 1 і пункту 3 розділу V «Прикінцеві положення» законопроекту свідчать про відсутність достатніх і завершених механізмів для реалізації положень Закону, у разі його прийняття, оскільки виконання норм майбутнього Закону ставиться у залежність від прийняття відповідних підзаконних актів.</w:t>
      </w:r>
    </w:p>
    <w:p w:rsidR="009A40D6" w:rsidRPr="00C163CE" w:rsidRDefault="009A40D6" w:rsidP="009A40D6">
      <w:pPr>
        <w:spacing w:after="120" w:line="240" w:lineRule="auto"/>
        <w:ind w:firstLine="567"/>
        <w:jc w:val="both"/>
        <w:rPr>
          <w:rFonts w:ascii="Times New Roman" w:hAnsi="Times New Roman"/>
          <w:sz w:val="28"/>
          <w:szCs w:val="28"/>
        </w:rPr>
      </w:pPr>
      <w:r w:rsidRPr="00C163CE">
        <w:rPr>
          <w:rFonts w:ascii="Times New Roman" w:hAnsi="Times New Roman"/>
          <w:sz w:val="28"/>
          <w:szCs w:val="28"/>
        </w:rPr>
        <w:t>Конституційний Суд України у Рішенні від 15 квітня 2020 року                     № 2-р(II)/2020 зазначив, що у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 Конституційний Суд України у Рішенні від 22 травня 2018 року        № 5-р/2018 наголошував, що принцип верховенства права передбачає внесення законодавчих змін із визначенням певного перехідного періоду (розумного часового проміжку між офіційним оприлюдненням закону і набранням ним чинності), який дасть особам час для адаптації до нових обставин; тривалість перехідного періоду у разі зміни юридичного регулювання суспільних відносин має визначати законодавець у кожній конкретній ситуації з урахуванням таких критеріїв: мети закону в межах правової системи і характеру суспільних відносин, що ним регулюються; кола осіб, до яких застосовуватиметься закон, і їх здатності підготуватися до набрання ним (його новими положеннями) чинності; інших важливих обставин, зокрема тих, що визначають час, необхідний для набрання чинності таким законом (абзац п'ятий підпункту 4.1 пункту 4 мотивувальної частини). Конституційний Суд України виходить з того, що зміни в юридичному регулюванні має бути вчинено так, щоб особи, юридичного статусу яких такі зміни стосуються, мали реальну можливість пристосуватися до нової юридичної ситуації, зокрема, встигли реалізувати певні права (вчинити потрібні дії) у спосіб, встановлений законодавством до внесення відповідних змін.</w:t>
      </w:r>
    </w:p>
    <w:p w:rsidR="009A40D6" w:rsidRPr="00C163CE" w:rsidRDefault="009A40D6" w:rsidP="009A40D6">
      <w:pPr>
        <w:spacing w:after="120" w:line="240" w:lineRule="auto"/>
        <w:jc w:val="both"/>
        <w:rPr>
          <w:rFonts w:ascii="Times New Roman" w:hAnsi="Times New Roman"/>
          <w:sz w:val="28"/>
          <w:szCs w:val="28"/>
        </w:rPr>
      </w:pPr>
    </w:p>
    <w:p w:rsidR="009A40D6" w:rsidRPr="00C163CE" w:rsidRDefault="009A40D6" w:rsidP="009A40D6">
      <w:pPr>
        <w:spacing w:after="120" w:line="240" w:lineRule="auto"/>
        <w:ind w:firstLine="567"/>
        <w:jc w:val="both"/>
        <w:rPr>
          <w:rFonts w:ascii="Times New Roman" w:eastAsia="Times New Roman" w:hAnsi="Times New Roman"/>
          <w:sz w:val="28"/>
          <w:szCs w:val="28"/>
          <w:lang w:eastAsia="ru-RU"/>
        </w:rPr>
      </w:pPr>
      <w:r w:rsidRPr="00C163CE">
        <w:rPr>
          <w:rFonts w:ascii="Times New Roman" w:eastAsia="Times New Roman" w:hAnsi="Times New Roman"/>
          <w:sz w:val="28"/>
          <w:szCs w:val="28"/>
          <w:lang w:eastAsia="ru-RU"/>
        </w:rPr>
        <w:t xml:space="preserve">16. Відповідно до підпункту 3 пункту </w:t>
      </w:r>
      <w:r w:rsidRPr="00C163CE">
        <w:rPr>
          <w:rFonts w:ascii="Times New Roman" w:hAnsi="Times New Roman"/>
          <w:sz w:val="28"/>
          <w:szCs w:val="28"/>
        </w:rPr>
        <w:t>3</w:t>
      </w:r>
      <w:r w:rsidRPr="00C163CE">
        <w:rPr>
          <w:rFonts w:ascii="Times New Roman" w:eastAsia="Times New Roman" w:hAnsi="Times New Roman"/>
          <w:sz w:val="28"/>
          <w:szCs w:val="28"/>
          <w:lang w:eastAsia="ru-RU"/>
        </w:rPr>
        <w:t xml:space="preserve"> </w:t>
      </w:r>
      <w:r w:rsidRPr="00C163CE">
        <w:rPr>
          <w:rFonts w:ascii="Times New Roman" w:hAnsi="Times New Roman"/>
          <w:sz w:val="28"/>
          <w:szCs w:val="28"/>
        </w:rPr>
        <w:t>розділу V «Прикінцеві положення» законопроекту</w:t>
      </w:r>
      <w:r w:rsidRPr="00C163CE">
        <w:rPr>
          <w:rFonts w:ascii="Times New Roman" w:eastAsia="Times New Roman" w:hAnsi="Times New Roman"/>
          <w:sz w:val="28"/>
          <w:szCs w:val="28"/>
          <w:lang w:eastAsia="ru-RU"/>
        </w:rPr>
        <w:t xml:space="preserve"> Кабінету Міністрів України доручається у 2022 році та наступних роках поінформувати Верховну Раду України про стан виконання цього Закону.</w:t>
      </w:r>
    </w:p>
    <w:p w:rsidR="009A40D6" w:rsidRPr="00C163CE" w:rsidRDefault="009A40D6" w:rsidP="009A40D6">
      <w:pPr>
        <w:spacing w:after="120" w:line="240" w:lineRule="auto"/>
        <w:ind w:firstLine="567"/>
        <w:jc w:val="both"/>
        <w:rPr>
          <w:rFonts w:ascii="Times New Roman" w:eastAsia="Times New Roman" w:hAnsi="Times New Roman"/>
          <w:sz w:val="28"/>
          <w:szCs w:val="28"/>
          <w:lang w:eastAsia="ru-RU"/>
        </w:rPr>
      </w:pPr>
      <w:r w:rsidRPr="00C163CE">
        <w:rPr>
          <w:rFonts w:ascii="Times New Roman" w:eastAsia="Times New Roman" w:hAnsi="Times New Roman"/>
          <w:sz w:val="28"/>
          <w:szCs w:val="28"/>
          <w:lang w:eastAsia="ru-RU"/>
        </w:rPr>
        <w:t xml:space="preserve">Звертаємо увагу, що Верховна Рада України і Кабінет Міністрів України як органи державної влади мають діяти відповідно до частини другої статті 19 </w:t>
      </w:r>
      <w:r w:rsidRPr="00C163CE">
        <w:rPr>
          <w:rFonts w:ascii="Times New Roman" w:eastAsia="Times New Roman" w:hAnsi="Times New Roman"/>
          <w:sz w:val="28"/>
          <w:szCs w:val="28"/>
          <w:lang w:eastAsia="ru-RU"/>
        </w:rPr>
        <w:lastRenderedPageBreak/>
        <w:t xml:space="preserve">Конституції України (лише на підставі, в межах повноважень та у спосіб, що передбачені Конституцією та законами України). </w:t>
      </w:r>
    </w:p>
    <w:p w:rsidR="009A40D6" w:rsidRPr="00C163CE" w:rsidRDefault="009A40D6" w:rsidP="009A40D6">
      <w:pPr>
        <w:spacing w:after="120" w:line="240" w:lineRule="auto"/>
        <w:ind w:firstLine="567"/>
        <w:jc w:val="both"/>
        <w:rPr>
          <w:rFonts w:eastAsia="Times New Roman" w:cs="Calibri"/>
          <w:lang w:eastAsia="ru-RU"/>
        </w:rPr>
      </w:pPr>
      <w:r w:rsidRPr="00C163CE">
        <w:rPr>
          <w:rFonts w:ascii="Times New Roman" w:eastAsia="Times New Roman" w:hAnsi="Times New Roman"/>
          <w:sz w:val="28"/>
          <w:szCs w:val="28"/>
          <w:lang w:eastAsia="ru-RU"/>
        </w:rPr>
        <w:t xml:space="preserve">Наразі статтею 15 Закону України «Про засади державної регуляторної політики у сфері господарської діяльності» передбачено, що «порядок … </w:t>
      </w:r>
      <w:r w:rsidRPr="00C163CE">
        <w:rPr>
          <w:rFonts w:ascii="Times New Roman" w:eastAsia="Times New Roman" w:hAnsi="Times New Roman"/>
          <w:sz w:val="28"/>
          <w:szCs w:val="28"/>
          <w:u w:val="single"/>
          <w:lang w:eastAsia="ru-RU"/>
        </w:rPr>
        <w:t>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sidRPr="00C163CE">
        <w:rPr>
          <w:rFonts w:ascii="Times New Roman" w:eastAsia="Times New Roman" w:hAnsi="Times New Roman"/>
          <w:sz w:val="28"/>
          <w:szCs w:val="28"/>
          <w:lang w:eastAsia="ru-RU"/>
        </w:rPr>
        <w:t xml:space="preserve">. </w:t>
      </w:r>
      <w:r w:rsidR="009E7A9C">
        <w:rPr>
          <w:rFonts w:ascii="Times New Roman" w:eastAsia="Times New Roman" w:hAnsi="Times New Roman"/>
          <w:sz w:val="28"/>
          <w:szCs w:val="28"/>
          <w:lang w:eastAsia="ru-RU"/>
        </w:rPr>
        <w:t>А згідно із статтею 16 цього ж З</w:t>
      </w:r>
      <w:r w:rsidRPr="00C163CE">
        <w:rPr>
          <w:rFonts w:ascii="Times New Roman" w:eastAsia="Times New Roman" w:hAnsi="Times New Roman"/>
          <w:sz w:val="28"/>
          <w:szCs w:val="28"/>
          <w:lang w:eastAsia="ru-RU"/>
        </w:rPr>
        <w:t>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w:t>
      </w:r>
    </w:p>
    <w:p w:rsidR="009A40D6" w:rsidRPr="00C163CE" w:rsidRDefault="009E7A9C" w:rsidP="009A40D6">
      <w:pPr>
        <w:spacing w:after="120" w:line="240" w:lineRule="auto"/>
        <w:ind w:firstLine="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Однак</w:t>
      </w:r>
      <w:r w:rsidR="009A40D6" w:rsidRPr="00C163CE">
        <w:rPr>
          <w:rFonts w:ascii="Times New Roman" w:eastAsia="Times New Roman" w:hAnsi="Times New Roman"/>
          <w:sz w:val="28"/>
          <w:szCs w:val="28"/>
          <w:lang w:eastAsia="ru-RU"/>
        </w:rPr>
        <w:t xml:space="preserve"> натепер ні Регламентом Верховної Ради України, ні Законом України «Про Кабінет Міністрів України»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Відтак, ефективне впровадження положення, передбаченого законопроектом, можливе за умови внесення відповідних змін до згаданих законодавчих актів.</w:t>
      </w:r>
    </w:p>
    <w:p w:rsidR="009E7A9C" w:rsidRPr="00C163CE" w:rsidRDefault="009E7A9C" w:rsidP="009A40D6">
      <w:pPr>
        <w:spacing w:line="256" w:lineRule="auto"/>
        <w:ind w:firstLine="567"/>
        <w:jc w:val="both"/>
        <w:rPr>
          <w:rFonts w:ascii="Times New Roman" w:eastAsia="Times New Roman" w:hAnsi="Times New Roman"/>
          <w:sz w:val="28"/>
          <w:szCs w:val="28"/>
          <w:lang w:eastAsia="ru-RU"/>
        </w:rPr>
      </w:pPr>
    </w:p>
    <w:p w:rsidR="009A40D6" w:rsidRPr="00C163CE" w:rsidRDefault="009A40D6" w:rsidP="009A40D6">
      <w:pPr>
        <w:spacing w:after="120" w:line="264" w:lineRule="auto"/>
        <w:ind w:firstLine="567"/>
        <w:jc w:val="both"/>
        <w:rPr>
          <w:rFonts w:ascii="Times New Roman" w:hAnsi="Times New Roman"/>
          <w:sz w:val="28"/>
          <w:szCs w:val="28"/>
          <w:shd w:val="clear" w:color="auto" w:fill="FFFFFF"/>
          <w:lang w:val="ru-RU"/>
        </w:rPr>
      </w:pPr>
      <w:r w:rsidRPr="00C163CE">
        <w:rPr>
          <w:rFonts w:ascii="Times New Roman" w:hAnsi="Times New Roman"/>
          <w:b/>
          <w:sz w:val="28"/>
          <w:szCs w:val="28"/>
        </w:rPr>
        <w:t xml:space="preserve">Узагальнюючий висновок: </w:t>
      </w:r>
      <w:r w:rsidRPr="00C163CE">
        <w:rPr>
          <w:rFonts w:ascii="Times New Roman" w:hAnsi="Times New Roman"/>
          <w:sz w:val="28"/>
          <w:szCs w:val="28"/>
        </w:rPr>
        <w:t xml:space="preserve">законопроект потребує доопрацювання з урахуванням можливостей, передбачених </w:t>
      </w:r>
      <w:r w:rsidRPr="00C163CE">
        <w:rPr>
          <w:rFonts w:ascii="Times New Roman" w:hAnsi="Times New Roman"/>
          <w:sz w:val="28"/>
          <w:szCs w:val="28"/>
          <w:shd w:val="clear" w:color="auto" w:fill="FFFFFF"/>
        </w:rPr>
        <w:t>частиною шостою статті 118 Регламенту Верховної Ради України.</w:t>
      </w:r>
    </w:p>
    <w:p w:rsidR="009A40D6" w:rsidRPr="00C163CE" w:rsidRDefault="009A40D6" w:rsidP="009A40D6">
      <w:pPr>
        <w:spacing w:after="0" w:line="240" w:lineRule="auto"/>
        <w:ind w:firstLine="709"/>
        <w:jc w:val="both"/>
        <w:rPr>
          <w:rFonts w:ascii="Times New Roman" w:eastAsia="Times" w:hAnsi="Times New Roman"/>
          <w:bCs/>
          <w:sz w:val="28"/>
          <w:szCs w:val="20"/>
          <w:lang w:eastAsia="uk-UA"/>
        </w:rPr>
      </w:pPr>
    </w:p>
    <w:p w:rsidR="009A40D6" w:rsidRPr="00C163CE" w:rsidRDefault="009A40D6" w:rsidP="009A40D6">
      <w:pPr>
        <w:spacing w:before="120" w:after="0" w:line="240" w:lineRule="auto"/>
        <w:jc w:val="both"/>
        <w:textAlignment w:val="top"/>
        <w:rPr>
          <w:rFonts w:ascii="Times New Roman" w:eastAsia="Times" w:hAnsi="Times New Roman"/>
          <w:bCs/>
          <w:sz w:val="28"/>
          <w:szCs w:val="20"/>
          <w:lang w:eastAsia="uk-UA"/>
        </w:rPr>
      </w:pPr>
    </w:p>
    <w:p w:rsidR="009A40D6" w:rsidRPr="00C163CE" w:rsidRDefault="009A40D6" w:rsidP="009A40D6">
      <w:pPr>
        <w:spacing w:after="0" w:line="240" w:lineRule="auto"/>
        <w:ind w:firstLine="708"/>
        <w:rPr>
          <w:rFonts w:ascii="Times New Roman" w:eastAsia="Times" w:hAnsi="Times New Roman"/>
          <w:bCs/>
          <w:sz w:val="28"/>
          <w:szCs w:val="20"/>
          <w:lang w:eastAsia="uk-UA"/>
        </w:rPr>
      </w:pPr>
    </w:p>
    <w:p w:rsidR="00152F63" w:rsidRPr="00C163CE" w:rsidRDefault="00152F63" w:rsidP="00152F63">
      <w:pPr>
        <w:spacing w:after="0" w:line="240" w:lineRule="auto"/>
        <w:jc w:val="both"/>
        <w:rPr>
          <w:rFonts w:ascii="Times New Roman" w:hAnsi="Times New Roman"/>
          <w:b/>
          <w:bCs/>
          <w:sz w:val="28"/>
          <w:szCs w:val="28"/>
        </w:rPr>
      </w:pPr>
      <w:r w:rsidRPr="00C163CE">
        <w:rPr>
          <w:rFonts w:ascii="Times New Roman" w:hAnsi="Times New Roman"/>
          <w:b/>
          <w:bCs/>
          <w:sz w:val="28"/>
          <w:szCs w:val="28"/>
        </w:rPr>
        <w:t>Заступник керівника</w:t>
      </w:r>
    </w:p>
    <w:p w:rsidR="00152F63" w:rsidRPr="00C163CE" w:rsidRDefault="00152F63" w:rsidP="00152F63">
      <w:pPr>
        <w:jc w:val="both"/>
        <w:rPr>
          <w:rFonts w:ascii="Times New Roman" w:hAnsi="Times New Roman"/>
          <w:sz w:val="28"/>
          <w:szCs w:val="28"/>
        </w:rPr>
      </w:pPr>
      <w:r w:rsidRPr="00C163CE">
        <w:rPr>
          <w:rFonts w:ascii="Times New Roman" w:hAnsi="Times New Roman"/>
          <w:b/>
          <w:bCs/>
          <w:sz w:val="28"/>
          <w:szCs w:val="28"/>
        </w:rPr>
        <w:t>Головного управління                                                        В.  МІЛОВАНОВ</w:t>
      </w:r>
    </w:p>
    <w:p w:rsidR="009A40D6" w:rsidRPr="00C163CE" w:rsidRDefault="009A40D6" w:rsidP="009A40D6"/>
    <w:p w:rsidR="00EB27B2" w:rsidRPr="00C163CE" w:rsidRDefault="00EB27B2" w:rsidP="009A40D6"/>
    <w:sectPr w:rsidR="00EB27B2" w:rsidRPr="00C163CE"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3CAB" w:rsidRDefault="007E3CAB" w:rsidP="005E306B">
      <w:pPr>
        <w:spacing w:after="0" w:line="240" w:lineRule="auto"/>
      </w:pPr>
      <w:r>
        <w:separator/>
      </w:r>
    </w:p>
  </w:endnote>
  <w:endnote w:type="continuationSeparator" w:id="0">
    <w:p w:rsidR="007E3CAB" w:rsidRDefault="007E3CA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3CAB" w:rsidRDefault="007E3CAB" w:rsidP="005E306B">
      <w:pPr>
        <w:spacing w:after="0" w:line="240" w:lineRule="auto"/>
      </w:pPr>
      <w:r>
        <w:separator/>
      </w:r>
    </w:p>
  </w:footnote>
  <w:footnote w:type="continuationSeparator" w:id="0">
    <w:p w:rsidR="007E3CAB" w:rsidRDefault="007E3CA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364"/>
      <w:docPartObj>
        <w:docPartGallery w:val="Page Numbers (Top of Page)"/>
        <w:docPartUnique/>
      </w:docPartObj>
    </w:sdtPr>
    <w:sdtEndPr/>
    <w:sdtContent>
      <w:p w:rsidR="00811701" w:rsidRDefault="00811701">
        <w:pPr>
          <w:pStyle w:val="a3"/>
          <w:jc w:val="center"/>
        </w:pPr>
        <w:r>
          <w:fldChar w:fldCharType="begin"/>
        </w:r>
        <w:r>
          <w:instrText xml:space="preserve"> PAGE   \* MERGEFORMAT </w:instrText>
        </w:r>
        <w:r>
          <w:fldChar w:fldCharType="separate"/>
        </w:r>
        <w:r w:rsidR="00C7077B">
          <w:rPr>
            <w:noProof/>
          </w:rPr>
          <w:t>7</w:t>
        </w:r>
        <w:r>
          <w:rPr>
            <w:noProof/>
          </w:rPr>
          <w:fldChar w:fldCharType="end"/>
        </w:r>
      </w:p>
    </w:sdtContent>
  </w:sdt>
  <w:p w:rsidR="00811701" w:rsidRDefault="00811701"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11701" w:rsidRPr="00AD7F82" w:rsidTr="00634A7D">
      <w:tc>
        <w:tcPr>
          <w:tcW w:w="11957" w:type="dxa"/>
          <w:tcBorders>
            <w:top w:val="nil"/>
            <w:left w:val="nil"/>
            <w:bottom w:val="nil"/>
            <w:right w:val="nil"/>
          </w:tcBorders>
        </w:tcPr>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2E0A18" w:rsidRDefault="00811701"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811701" w:rsidRPr="00A833C8" w:rsidRDefault="00811701"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811701" w:rsidRPr="00A833C8" w:rsidRDefault="00811701"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701" w:rsidRPr="00053776" w:rsidTr="00634A7D">
      <w:tc>
        <w:tcPr>
          <w:tcW w:w="1087" w:type="dxa"/>
          <w:tcBorders>
            <w:top w:val="nil"/>
          </w:tcBorders>
        </w:tcPr>
        <w:p w:rsidR="00811701" w:rsidRPr="00053776" w:rsidRDefault="00811701" w:rsidP="00634A7D">
          <w:pPr>
            <w:pStyle w:val="a3"/>
            <w:tabs>
              <w:tab w:val="clear" w:pos="4677"/>
              <w:tab w:val="clear" w:pos="9355"/>
            </w:tabs>
            <w:rPr>
              <w:rFonts w:ascii="Times New Roman" w:hAnsi="Times New Roman"/>
              <w:color w:val="002060"/>
            </w:rPr>
          </w:pPr>
        </w:p>
      </w:tc>
      <w:tc>
        <w:tcPr>
          <w:tcW w:w="9714" w:type="dxa"/>
        </w:tcPr>
        <w:p w:rsidR="00811701" w:rsidRPr="00053776" w:rsidRDefault="00811701" w:rsidP="00634A7D">
          <w:pPr>
            <w:pStyle w:val="a3"/>
            <w:tabs>
              <w:tab w:val="clear" w:pos="4677"/>
              <w:tab w:val="clear" w:pos="9355"/>
            </w:tabs>
            <w:rPr>
              <w:rFonts w:ascii="Times New Roman" w:hAnsi="Times New Roman"/>
              <w:color w:val="002060"/>
            </w:rPr>
          </w:pPr>
        </w:p>
      </w:tc>
      <w:tc>
        <w:tcPr>
          <w:tcW w:w="1086" w:type="dxa"/>
          <w:tcBorders>
            <w:top w:val="nil"/>
          </w:tcBorders>
        </w:tcPr>
        <w:p w:rsidR="00811701" w:rsidRPr="00053776" w:rsidRDefault="00811701" w:rsidP="00634A7D">
          <w:pPr>
            <w:pStyle w:val="a3"/>
            <w:tabs>
              <w:tab w:val="clear" w:pos="4677"/>
              <w:tab w:val="clear" w:pos="9355"/>
            </w:tabs>
            <w:rPr>
              <w:rFonts w:ascii="Times New Roman" w:hAnsi="Times New Roman"/>
              <w:color w:val="002060"/>
            </w:rPr>
          </w:pPr>
        </w:p>
      </w:tc>
    </w:tr>
  </w:tbl>
  <w:p w:rsidR="00811701" w:rsidRPr="004F7B8A" w:rsidRDefault="00811701"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5B20"/>
    <w:multiLevelType w:val="hybridMultilevel"/>
    <w:tmpl w:val="C9CE94A4"/>
    <w:lvl w:ilvl="0" w:tplc="FB381A0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69C512B"/>
    <w:multiLevelType w:val="multilevel"/>
    <w:tmpl w:val="5568C86A"/>
    <w:lvl w:ilvl="0">
      <w:start w:val="1"/>
      <w:numFmt w:val="decimal"/>
      <w:lvlText w:val="%1."/>
      <w:lvlJc w:val="left"/>
      <w:pPr>
        <w:ind w:left="1070" w:hanging="36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2"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3"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4"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3"/>
  </w:num>
  <w:num w:numId="2">
    <w:abstractNumId w:val="2"/>
  </w:num>
  <w:num w:numId="3">
    <w:abstractNumId w:val="7"/>
  </w:num>
  <w:num w:numId="4">
    <w:abstractNumId w:val="5"/>
  </w:num>
  <w:num w:numId="5">
    <w:abstractNumId w:val="4"/>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216E"/>
    <w:rsid w:val="000163C3"/>
    <w:rsid w:val="0002135C"/>
    <w:rsid w:val="00026E54"/>
    <w:rsid w:val="00027EA7"/>
    <w:rsid w:val="00027F20"/>
    <w:rsid w:val="0003097A"/>
    <w:rsid w:val="0003384A"/>
    <w:rsid w:val="000349DA"/>
    <w:rsid w:val="00044472"/>
    <w:rsid w:val="00053432"/>
    <w:rsid w:val="000600AC"/>
    <w:rsid w:val="0006298D"/>
    <w:rsid w:val="000707A3"/>
    <w:rsid w:val="00070EE8"/>
    <w:rsid w:val="00073A49"/>
    <w:rsid w:val="00073BDA"/>
    <w:rsid w:val="000772FF"/>
    <w:rsid w:val="00081BCE"/>
    <w:rsid w:val="00085102"/>
    <w:rsid w:val="000902C9"/>
    <w:rsid w:val="000A1846"/>
    <w:rsid w:val="000A78D5"/>
    <w:rsid w:val="000B12EF"/>
    <w:rsid w:val="000B3C65"/>
    <w:rsid w:val="000B4CA9"/>
    <w:rsid w:val="000B5994"/>
    <w:rsid w:val="000B5A48"/>
    <w:rsid w:val="000B6CE8"/>
    <w:rsid w:val="000C0302"/>
    <w:rsid w:val="000C0D49"/>
    <w:rsid w:val="000C257A"/>
    <w:rsid w:val="000C5F4A"/>
    <w:rsid w:val="000D2EC1"/>
    <w:rsid w:val="000F1586"/>
    <w:rsid w:val="000F3FC3"/>
    <w:rsid w:val="000F4CD9"/>
    <w:rsid w:val="00102F1B"/>
    <w:rsid w:val="00103144"/>
    <w:rsid w:val="0010451B"/>
    <w:rsid w:val="00115100"/>
    <w:rsid w:val="0011762E"/>
    <w:rsid w:val="00131E78"/>
    <w:rsid w:val="00141617"/>
    <w:rsid w:val="001420AD"/>
    <w:rsid w:val="00147584"/>
    <w:rsid w:val="00152F63"/>
    <w:rsid w:val="00160FCD"/>
    <w:rsid w:val="00161D6C"/>
    <w:rsid w:val="001620CB"/>
    <w:rsid w:val="00165707"/>
    <w:rsid w:val="0018006A"/>
    <w:rsid w:val="00180AF1"/>
    <w:rsid w:val="001845A0"/>
    <w:rsid w:val="0019108F"/>
    <w:rsid w:val="00191D7E"/>
    <w:rsid w:val="001966F0"/>
    <w:rsid w:val="001A424E"/>
    <w:rsid w:val="001A74B8"/>
    <w:rsid w:val="001B2153"/>
    <w:rsid w:val="001B5451"/>
    <w:rsid w:val="001B67CE"/>
    <w:rsid w:val="001B71F4"/>
    <w:rsid w:val="001D1645"/>
    <w:rsid w:val="001D2700"/>
    <w:rsid w:val="001D2949"/>
    <w:rsid w:val="001D320F"/>
    <w:rsid w:val="001D3C24"/>
    <w:rsid w:val="001E69B2"/>
    <w:rsid w:val="001E6B77"/>
    <w:rsid w:val="002055C0"/>
    <w:rsid w:val="002059BE"/>
    <w:rsid w:val="002073F0"/>
    <w:rsid w:val="002076F7"/>
    <w:rsid w:val="002107EE"/>
    <w:rsid w:val="00211440"/>
    <w:rsid w:val="002138AF"/>
    <w:rsid w:val="00214F5A"/>
    <w:rsid w:val="00224C83"/>
    <w:rsid w:val="00225D6C"/>
    <w:rsid w:val="00226088"/>
    <w:rsid w:val="002268C7"/>
    <w:rsid w:val="0022773C"/>
    <w:rsid w:val="002324C6"/>
    <w:rsid w:val="00232659"/>
    <w:rsid w:val="00235CD7"/>
    <w:rsid w:val="002368FC"/>
    <w:rsid w:val="00240450"/>
    <w:rsid w:val="002522F9"/>
    <w:rsid w:val="00254137"/>
    <w:rsid w:val="00256154"/>
    <w:rsid w:val="00261916"/>
    <w:rsid w:val="002633C5"/>
    <w:rsid w:val="00265A1E"/>
    <w:rsid w:val="00266ECA"/>
    <w:rsid w:val="00267016"/>
    <w:rsid w:val="002711BD"/>
    <w:rsid w:val="00275E43"/>
    <w:rsid w:val="00292019"/>
    <w:rsid w:val="002966D6"/>
    <w:rsid w:val="002A2612"/>
    <w:rsid w:val="002A5D4C"/>
    <w:rsid w:val="002B5FC1"/>
    <w:rsid w:val="002B691D"/>
    <w:rsid w:val="002D0561"/>
    <w:rsid w:val="002D203C"/>
    <w:rsid w:val="002D6BE7"/>
    <w:rsid w:val="002E0A18"/>
    <w:rsid w:val="002E1AD3"/>
    <w:rsid w:val="002E31BF"/>
    <w:rsid w:val="002E3DDC"/>
    <w:rsid w:val="002E44DA"/>
    <w:rsid w:val="002E7A59"/>
    <w:rsid w:val="002F1C7E"/>
    <w:rsid w:val="00305D88"/>
    <w:rsid w:val="00310453"/>
    <w:rsid w:val="00313DB2"/>
    <w:rsid w:val="00317532"/>
    <w:rsid w:val="00321296"/>
    <w:rsid w:val="003446FA"/>
    <w:rsid w:val="003460FB"/>
    <w:rsid w:val="003465CC"/>
    <w:rsid w:val="00347BE8"/>
    <w:rsid w:val="00347C6D"/>
    <w:rsid w:val="00364F9A"/>
    <w:rsid w:val="003651A8"/>
    <w:rsid w:val="00372681"/>
    <w:rsid w:val="00373F6D"/>
    <w:rsid w:val="00375E4D"/>
    <w:rsid w:val="00396759"/>
    <w:rsid w:val="00396A2A"/>
    <w:rsid w:val="00397B3A"/>
    <w:rsid w:val="003A0D7E"/>
    <w:rsid w:val="003A405A"/>
    <w:rsid w:val="003B12B5"/>
    <w:rsid w:val="003B6BD2"/>
    <w:rsid w:val="003B7F0A"/>
    <w:rsid w:val="003C0F36"/>
    <w:rsid w:val="003C43A6"/>
    <w:rsid w:val="003C5FA9"/>
    <w:rsid w:val="003C79A1"/>
    <w:rsid w:val="003C7E56"/>
    <w:rsid w:val="003D1CBA"/>
    <w:rsid w:val="003D4072"/>
    <w:rsid w:val="003D53EA"/>
    <w:rsid w:val="003E0FF4"/>
    <w:rsid w:val="003E124D"/>
    <w:rsid w:val="003E561E"/>
    <w:rsid w:val="003F1B62"/>
    <w:rsid w:val="004035AD"/>
    <w:rsid w:val="00410490"/>
    <w:rsid w:val="00412286"/>
    <w:rsid w:val="00413542"/>
    <w:rsid w:val="0043124D"/>
    <w:rsid w:val="004364E7"/>
    <w:rsid w:val="0044122C"/>
    <w:rsid w:val="00442A3C"/>
    <w:rsid w:val="00451750"/>
    <w:rsid w:val="00452EE8"/>
    <w:rsid w:val="00474CCE"/>
    <w:rsid w:val="00475775"/>
    <w:rsid w:val="0048354D"/>
    <w:rsid w:val="0049130F"/>
    <w:rsid w:val="00494EDB"/>
    <w:rsid w:val="004B3931"/>
    <w:rsid w:val="004C296B"/>
    <w:rsid w:val="004D3FBB"/>
    <w:rsid w:val="004E3DD3"/>
    <w:rsid w:val="004E4F5C"/>
    <w:rsid w:val="004F225B"/>
    <w:rsid w:val="004F59DF"/>
    <w:rsid w:val="004F7B8A"/>
    <w:rsid w:val="00502471"/>
    <w:rsid w:val="0050620F"/>
    <w:rsid w:val="005077F1"/>
    <w:rsid w:val="0051338A"/>
    <w:rsid w:val="00515082"/>
    <w:rsid w:val="00521201"/>
    <w:rsid w:val="005261D3"/>
    <w:rsid w:val="00533818"/>
    <w:rsid w:val="0054438A"/>
    <w:rsid w:val="0055005A"/>
    <w:rsid w:val="00554744"/>
    <w:rsid w:val="00556975"/>
    <w:rsid w:val="005619F9"/>
    <w:rsid w:val="0056352F"/>
    <w:rsid w:val="00563616"/>
    <w:rsid w:val="00567C67"/>
    <w:rsid w:val="005703C7"/>
    <w:rsid w:val="00571A7A"/>
    <w:rsid w:val="00577C5B"/>
    <w:rsid w:val="00577D02"/>
    <w:rsid w:val="00584F46"/>
    <w:rsid w:val="00585D64"/>
    <w:rsid w:val="00586973"/>
    <w:rsid w:val="0059289E"/>
    <w:rsid w:val="00592FB3"/>
    <w:rsid w:val="005942D7"/>
    <w:rsid w:val="00594F3A"/>
    <w:rsid w:val="005A04F9"/>
    <w:rsid w:val="005A1A2A"/>
    <w:rsid w:val="005A273C"/>
    <w:rsid w:val="005A4728"/>
    <w:rsid w:val="005A7E20"/>
    <w:rsid w:val="005B1A9B"/>
    <w:rsid w:val="005B330B"/>
    <w:rsid w:val="005B41A8"/>
    <w:rsid w:val="005B4376"/>
    <w:rsid w:val="005B43AF"/>
    <w:rsid w:val="005B71F5"/>
    <w:rsid w:val="005C688A"/>
    <w:rsid w:val="005C692C"/>
    <w:rsid w:val="005D1F80"/>
    <w:rsid w:val="005D2D44"/>
    <w:rsid w:val="005D2E70"/>
    <w:rsid w:val="005E306B"/>
    <w:rsid w:val="005F20B5"/>
    <w:rsid w:val="005F2280"/>
    <w:rsid w:val="005F2E8E"/>
    <w:rsid w:val="005F4DAF"/>
    <w:rsid w:val="006178E6"/>
    <w:rsid w:val="00626A3E"/>
    <w:rsid w:val="00627384"/>
    <w:rsid w:val="006312F4"/>
    <w:rsid w:val="00631B0C"/>
    <w:rsid w:val="00632343"/>
    <w:rsid w:val="00634A7D"/>
    <w:rsid w:val="0063553C"/>
    <w:rsid w:val="00647017"/>
    <w:rsid w:val="0065224D"/>
    <w:rsid w:val="00653F11"/>
    <w:rsid w:val="0066171E"/>
    <w:rsid w:val="006631CD"/>
    <w:rsid w:val="0066623D"/>
    <w:rsid w:val="00674345"/>
    <w:rsid w:val="0067593B"/>
    <w:rsid w:val="0068076F"/>
    <w:rsid w:val="00687E53"/>
    <w:rsid w:val="00690258"/>
    <w:rsid w:val="006931C8"/>
    <w:rsid w:val="0069762C"/>
    <w:rsid w:val="00697CEB"/>
    <w:rsid w:val="006A154B"/>
    <w:rsid w:val="006A2301"/>
    <w:rsid w:val="006A786C"/>
    <w:rsid w:val="006B003E"/>
    <w:rsid w:val="006B64B5"/>
    <w:rsid w:val="006C5BB6"/>
    <w:rsid w:val="006D37E7"/>
    <w:rsid w:val="006E2A64"/>
    <w:rsid w:val="006E77BC"/>
    <w:rsid w:val="006E7F27"/>
    <w:rsid w:val="006F0546"/>
    <w:rsid w:val="006F10E8"/>
    <w:rsid w:val="00706710"/>
    <w:rsid w:val="00713E93"/>
    <w:rsid w:val="00720A74"/>
    <w:rsid w:val="00724E54"/>
    <w:rsid w:val="00727A08"/>
    <w:rsid w:val="0073224C"/>
    <w:rsid w:val="00742796"/>
    <w:rsid w:val="00743843"/>
    <w:rsid w:val="007467E7"/>
    <w:rsid w:val="007473F5"/>
    <w:rsid w:val="00747CCC"/>
    <w:rsid w:val="00755987"/>
    <w:rsid w:val="00760C81"/>
    <w:rsid w:val="007739B2"/>
    <w:rsid w:val="00774024"/>
    <w:rsid w:val="007844E8"/>
    <w:rsid w:val="0078554A"/>
    <w:rsid w:val="00787C04"/>
    <w:rsid w:val="007A0158"/>
    <w:rsid w:val="007A195F"/>
    <w:rsid w:val="007A4F5E"/>
    <w:rsid w:val="007B4AC3"/>
    <w:rsid w:val="007B4C29"/>
    <w:rsid w:val="007C7BEC"/>
    <w:rsid w:val="007D1AB8"/>
    <w:rsid w:val="007D26ED"/>
    <w:rsid w:val="007D5532"/>
    <w:rsid w:val="007D6BEB"/>
    <w:rsid w:val="007E12F9"/>
    <w:rsid w:val="007E2A5D"/>
    <w:rsid w:val="007E3CAB"/>
    <w:rsid w:val="007E5156"/>
    <w:rsid w:val="007E6A7F"/>
    <w:rsid w:val="007E7EAC"/>
    <w:rsid w:val="007F3098"/>
    <w:rsid w:val="007F3179"/>
    <w:rsid w:val="007F5D91"/>
    <w:rsid w:val="007F7938"/>
    <w:rsid w:val="00800DB0"/>
    <w:rsid w:val="0080545D"/>
    <w:rsid w:val="00811701"/>
    <w:rsid w:val="00815B68"/>
    <w:rsid w:val="00825384"/>
    <w:rsid w:val="00831DCC"/>
    <w:rsid w:val="0084222B"/>
    <w:rsid w:val="00843B88"/>
    <w:rsid w:val="00847796"/>
    <w:rsid w:val="008501FC"/>
    <w:rsid w:val="008547BC"/>
    <w:rsid w:val="00873FAC"/>
    <w:rsid w:val="00884ACF"/>
    <w:rsid w:val="008923A0"/>
    <w:rsid w:val="008B296B"/>
    <w:rsid w:val="008B529A"/>
    <w:rsid w:val="008B65F7"/>
    <w:rsid w:val="008B7332"/>
    <w:rsid w:val="008C7E8D"/>
    <w:rsid w:val="008D2A00"/>
    <w:rsid w:val="008D4D4E"/>
    <w:rsid w:val="008D4EF5"/>
    <w:rsid w:val="008E03FF"/>
    <w:rsid w:val="008E063F"/>
    <w:rsid w:val="00901F19"/>
    <w:rsid w:val="009060A7"/>
    <w:rsid w:val="00914558"/>
    <w:rsid w:val="0092015E"/>
    <w:rsid w:val="00922553"/>
    <w:rsid w:val="00922B4D"/>
    <w:rsid w:val="009258B4"/>
    <w:rsid w:val="00927C42"/>
    <w:rsid w:val="00930F79"/>
    <w:rsid w:val="00933281"/>
    <w:rsid w:val="00933A09"/>
    <w:rsid w:val="009364CE"/>
    <w:rsid w:val="00936AA4"/>
    <w:rsid w:val="0094169E"/>
    <w:rsid w:val="00945B68"/>
    <w:rsid w:val="00946264"/>
    <w:rsid w:val="009536A2"/>
    <w:rsid w:val="00953751"/>
    <w:rsid w:val="00954BDB"/>
    <w:rsid w:val="00956B18"/>
    <w:rsid w:val="00957D31"/>
    <w:rsid w:val="00961CF7"/>
    <w:rsid w:val="00964CE0"/>
    <w:rsid w:val="009715AE"/>
    <w:rsid w:val="009731B1"/>
    <w:rsid w:val="00974F2F"/>
    <w:rsid w:val="0097612C"/>
    <w:rsid w:val="0098077B"/>
    <w:rsid w:val="00980FA9"/>
    <w:rsid w:val="00983990"/>
    <w:rsid w:val="00983F9B"/>
    <w:rsid w:val="00993F81"/>
    <w:rsid w:val="009A3433"/>
    <w:rsid w:val="009A40D6"/>
    <w:rsid w:val="009A571A"/>
    <w:rsid w:val="009A720A"/>
    <w:rsid w:val="009B1E60"/>
    <w:rsid w:val="009B4DD5"/>
    <w:rsid w:val="009B5508"/>
    <w:rsid w:val="009B6AA4"/>
    <w:rsid w:val="009C3F56"/>
    <w:rsid w:val="009C4EEB"/>
    <w:rsid w:val="009E368D"/>
    <w:rsid w:val="009E74E5"/>
    <w:rsid w:val="009E7A9C"/>
    <w:rsid w:val="009F3E84"/>
    <w:rsid w:val="00A00059"/>
    <w:rsid w:val="00A001D7"/>
    <w:rsid w:val="00A2149D"/>
    <w:rsid w:val="00A2630D"/>
    <w:rsid w:val="00A3202A"/>
    <w:rsid w:val="00A32359"/>
    <w:rsid w:val="00A329D5"/>
    <w:rsid w:val="00A429E4"/>
    <w:rsid w:val="00A53BBA"/>
    <w:rsid w:val="00A543B4"/>
    <w:rsid w:val="00A6022C"/>
    <w:rsid w:val="00A604BA"/>
    <w:rsid w:val="00A6145E"/>
    <w:rsid w:val="00A61469"/>
    <w:rsid w:val="00A62336"/>
    <w:rsid w:val="00A72417"/>
    <w:rsid w:val="00A82EBF"/>
    <w:rsid w:val="00A833C8"/>
    <w:rsid w:val="00A83FB6"/>
    <w:rsid w:val="00A83FBA"/>
    <w:rsid w:val="00A8692C"/>
    <w:rsid w:val="00A86DCC"/>
    <w:rsid w:val="00A9175A"/>
    <w:rsid w:val="00A93EDC"/>
    <w:rsid w:val="00AA0BF1"/>
    <w:rsid w:val="00AA135E"/>
    <w:rsid w:val="00AA1404"/>
    <w:rsid w:val="00AA1452"/>
    <w:rsid w:val="00AA1F46"/>
    <w:rsid w:val="00AA3A1E"/>
    <w:rsid w:val="00AB4E65"/>
    <w:rsid w:val="00AB5818"/>
    <w:rsid w:val="00AD3E0F"/>
    <w:rsid w:val="00AD4A7F"/>
    <w:rsid w:val="00AD7F82"/>
    <w:rsid w:val="00AE1D40"/>
    <w:rsid w:val="00AE7D91"/>
    <w:rsid w:val="00AF1FBC"/>
    <w:rsid w:val="00AF274F"/>
    <w:rsid w:val="00AF71B6"/>
    <w:rsid w:val="00B06B44"/>
    <w:rsid w:val="00B07A6B"/>
    <w:rsid w:val="00B10D5D"/>
    <w:rsid w:val="00B1158E"/>
    <w:rsid w:val="00B13099"/>
    <w:rsid w:val="00B2364D"/>
    <w:rsid w:val="00B261DD"/>
    <w:rsid w:val="00B37F94"/>
    <w:rsid w:val="00B41075"/>
    <w:rsid w:val="00B45EF2"/>
    <w:rsid w:val="00B6155E"/>
    <w:rsid w:val="00B6296D"/>
    <w:rsid w:val="00B62F3F"/>
    <w:rsid w:val="00B64626"/>
    <w:rsid w:val="00B65C60"/>
    <w:rsid w:val="00B670A2"/>
    <w:rsid w:val="00B72318"/>
    <w:rsid w:val="00B74D81"/>
    <w:rsid w:val="00B84447"/>
    <w:rsid w:val="00BA3CF2"/>
    <w:rsid w:val="00BA5926"/>
    <w:rsid w:val="00BB3DC0"/>
    <w:rsid w:val="00BB72B7"/>
    <w:rsid w:val="00BD0801"/>
    <w:rsid w:val="00BD1C65"/>
    <w:rsid w:val="00BD5FB8"/>
    <w:rsid w:val="00BD6D17"/>
    <w:rsid w:val="00BE160C"/>
    <w:rsid w:val="00BE1C79"/>
    <w:rsid w:val="00BE2CE9"/>
    <w:rsid w:val="00BE4153"/>
    <w:rsid w:val="00BF1E95"/>
    <w:rsid w:val="00C01461"/>
    <w:rsid w:val="00C01ACD"/>
    <w:rsid w:val="00C0376D"/>
    <w:rsid w:val="00C04568"/>
    <w:rsid w:val="00C05497"/>
    <w:rsid w:val="00C06571"/>
    <w:rsid w:val="00C11FB6"/>
    <w:rsid w:val="00C163CE"/>
    <w:rsid w:val="00C167D1"/>
    <w:rsid w:val="00C21598"/>
    <w:rsid w:val="00C26A76"/>
    <w:rsid w:val="00C27AE9"/>
    <w:rsid w:val="00C316B7"/>
    <w:rsid w:val="00C36C1D"/>
    <w:rsid w:val="00C414C4"/>
    <w:rsid w:val="00C44CC4"/>
    <w:rsid w:val="00C45E1E"/>
    <w:rsid w:val="00C45F19"/>
    <w:rsid w:val="00C46BE2"/>
    <w:rsid w:val="00C47C1D"/>
    <w:rsid w:val="00C5058F"/>
    <w:rsid w:val="00C51387"/>
    <w:rsid w:val="00C63D91"/>
    <w:rsid w:val="00C7077B"/>
    <w:rsid w:val="00C73720"/>
    <w:rsid w:val="00C80661"/>
    <w:rsid w:val="00C82983"/>
    <w:rsid w:val="00C91518"/>
    <w:rsid w:val="00C91CD8"/>
    <w:rsid w:val="00C94310"/>
    <w:rsid w:val="00CA2AF7"/>
    <w:rsid w:val="00CA3803"/>
    <w:rsid w:val="00CA7F8D"/>
    <w:rsid w:val="00CB1829"/>
    <w:rsid w:val="00CC1CD1"/>
    <w:rsid w:val="00CC39A1"/>
    <w:rsid w:val="00CC529F"/>
    <w:rsid w:val="00CC5D66"/>
    <w:rsid w:val="00CD2749"/>
    <w:rsid w:val="00CD2963"/>
    <w:rsid w:val="00CD4A38"/>
    <w:rsid w:val="00CD4B81"/>
    <w:rsid w:val="00CD7713"/>
    <w:rsid w:val="00CE0C30"/>
    <w:rsid w:val="00CE39D5"/>
    <w:rsid w:val="00CE3E1B"/>
    <w:rsid w:val="00CE6A4B"/>
    <w:rsid w:val="00CE7453"/>
    <w:rsid w:val="00CF5E5D"/>
    <w:rsid w:val="00D01939"/>
    <w:rsid w:val="00D038CD"/>
    <w:rsid w:val="00D0687B"/>
    <w:rsid w:val="00D11413"/>
    <w:rsid w:val="00D12EC8"/>
    <w:rsid w:val="00D1542B"/>
    <w:rsid w:val="00D242C2"/>
    <w:rsid w:val="00D25A00"/>
    <w:rsid w:val="00D30C8D"/>
    <w:rsid w:val="00D3243D"/>
    <w:rsid w:val="00D3376B"/>
    <w:rsid w:val="00D45FEC"/>
    <w:rsid w:val="00D47734"/>
    <w:rsid w:val="00D50910"/>
    <w:rsid w:val="00D57E1B"/>
    <w:rsid w:val="00D61153"/>
    <w:rsid w:val="00D67412"/>
    <w:rsid w:val="00D67617"/>
    <w:rsid w:val="00D76C48"/>
    <w:rsid w:val="00D77CD7"/>
    <w:rsid w:val="00D807BC"/>
    <w:rsid w:val="00D82F37"/>
    <w:rsid w:val="00D94441"/>
    <w:rsid w:val="00D94AB2"/>
    <w:rsid w:val="00DA5D5B"/>
    <w:rsid w:val="00DA6A3B"/>
    <w:rsid w:val="00DB0F9F"/>
    <w:rsid w:val="00DB3D5F"/>
    <w:rsid w:val="00DB4AD9"/>
    <w:rsid w:val="00DD125B"/>
    <w:rsid w:val="00DD6C75"/>
    <w:rsid w:val="00DE3BD4"/>
    <w:rsid w:val="00DE5129"/>
    <w:rsid w:val="00DE5631"/>
    <w:rsid w:val="00DE6572"/>
    <w:rsid w:val="00DF446A"/>
    <w:rsid w:val="00DF46BC"/>
    <w:rsid w:val="00DF7CA2"/>
    <w:rsid w:val="00E01568"/>
    <w:rsid w:val="00E01BD6"/>
    <w:rsid w:val="00E02210"/>
    <w:rsid w:val="00E068CD"/>
    <w:rsid w:val="00E14393"/>
    <w:rsid w:val="00E220CE"/>
    <w:rsid w:val="00E300E7"/>
    <w:rsid w:val="00E341B9"/>
    <w:rsid w:val="00E3769E"/>
    <w:rsid w:val="00E41E7D"/>
    <w:rsid w:val="00E449D7"/>
    <w:rsid w:val="00E45167"/>
    <w:rsid w:val="00E470F9"/>
    <w:rsid w:val="00E47A1B"/>
    <w:rsid w:val="00E50354"/>
    <w:rsid w:val="00E505B8"/>
    <w:rsid w:val="00E514D1"/>
    <w:rsid w:val="00E536E9"/>
    <w:rsid w:val="00E5567D"/>
    <w:rsid w:val="00E557D3"/>
    <w:rsid w:val="00E64905"/>
    <w:rsid w:val="00E67626"/>
    <w:rsid w:val="00E73599"/>
    <w:rsid w:val="00E77A1F"/>
    <w:rsid w:val="00E82D1B"/>
    <w:rsid w:val="00E84E07"/>
    <w:rsid w:val="00E90074"/>
    <w:rsid w:val="00E90AE6"/>
    <w:rsid w:val="00E925E9"/>
    <w:rsid w:val="00EA1D7E"/>
    <w:rsid w:val="00EA2859"/>
    <w:rsid w:val="00EA3FF1"/>
    <w:rsid w:val="00EB27B2"/>
    <w:rsid w:val="00EB7E88"/>
    <w:rsid w:val="00EC0318"/>
    <w:rsid w:val="00ED7A31"/>
    <w:rsid w:val="00ED7EF7"/>
    <w:rsid w:val="00EE08E8"/>
    <w:rsid w:val="00EE34D1"/>
    <w:rsid w:val="00EE3BCB"/>
    <w:rsid w:val="00EE7B99"/>
    <w:rsid w:val="00EF0AD9"/>
    <w:rsid w:val="00F01A33"/>
    <w:rsid w:val="00F03586"/>
    <w:rsid w:val="00F07153"/>
    <w:rsid w:val="00F0799C"/>
    <w:rsid w:val="00F17AFC"/>
    <w:rsid w:val="00F243E3"/>
    <w:rsid w:val="00F36382"/>
    <w:rsid w:val="00F43058"/>
    <w:rsid w:val="00F442C0"/>
    <w:rsid w:val="00F44513"/>
    <w:rsid w:val="00F502EF"/>
    <w:rsid w:val="00F5484B"/>
    <w:rsid w:val="00F54BCF"/>
    <w:rsid w:val="00F5501F"/>
    <w:rsid w:val="00F55423"/>
    <w:rsid w:val="00F57700"/>
    <w:rsid w:val="00F6378E"/>
    <w:rsid w:val="00F764E2"/>
    <w:rsid w:val="00F768C0"/>
    <w:rsid w:val="00F76E98"/>
    <w:rsid w:val="00F779C2"/>
    <w:rsid w:val="00F821B4"/>
    <w:rsid w:val="00F91804"/>
    <w:rsid w:val="00F91DD3"/>
    <w:rsid w:val="00F93310"/>
    <w:rsid w:val="00FA0691"/>
    <w:rsid w:val="00FA1450"/>
    <w:rsid w:val="00FA3013"/>
    <w:rsid w:val="00FA7B10"/>
    <w:rsid w:val="00FB3308"/>
    <w:rsid w:val="00FB73A6"/>
    <w:rsid w:val="00FC2893"/>
    <w:rsid w:val="00FC36E2"/>
    <w:rsid w:val="00FC3DF4"/>
    <w:rsid w:val="00FD7431"/>
    <w:rsid w:val="00FE614A"/>
    <w:rsid w:val="00FE7762"/>
    <w:rsid w:val="00FF02E2"/>
    <w:rsid w:val="00FF2329"/>
    <w:rsid w:val="00FF74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3E6DF06"/>
  <w15:docId w15:val="{32A5F51C-FBF1-4899-A6FC-E270FEAB0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1"/>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5">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882593117">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DF98C-7FC4-4BA4-BEDB-F0DC16086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17</Pages>
  <Words>27054</Words>
  <Characters>15422</Characters>
  <Application>Microsoft Office Word</Application>
  <DocSecurity>0</DocSecurity>
  <Lines>128</Lines>
  <Paragraphs>84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cp:lastModifiedBy>
  <cp:revision>13</cp:revision>
  <cp:lastPrinted>2021-07-20T06:37:00Z</cp:lastPrinted>
  <dcterms:created xsi:type="dcterms:W3CDTF">2021-07-19T14:35:00Z</dcterms:created>
  <dcterms:modified xsi:type="dcterms:W3CDTF">2021-07-21T12:38:00Z</dcterms:modified>
</cp:coreProperties>
</file>