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33089" w:rsidRPr="009D7A5D" w:rsidRDefault="00D33089" w:rsidP="001B7818">
      <w:pPr>
        <w:spacing w:after="0" w:line="240" w:lineRule="auto"/>
        <w:ind w:firstLine="709"/>
        <w:rPr>
          <w:szCs w:val="28"/>
        </w:rPr>
      </w:pPr>
    </w:p>
    <w:p w:rsidR="00D33089" w:rsidRPr="009D7A5D" w:rsidRDefault="00D33089" w:rsidP="001B7818">
      <w:pPr>
        <w:widowControl w:val="0"/>
        <w:tabs>
          <w:tab w:val="left" w:pos="5328"/>
        </w:tabs>
        <w:spacing w:after="0" w:line="240" w:lineRule="auto"/>
        <w:ind w:firstLine="709"/>
        <w:rPr>
          <w:szCs w:val="28"/>
        </w:rPr>
      </w:pPr>
      <w:r w:rsidRPr="009D7A5D">
        <w:rPr>
          <w:szCs w:val="28"/>
        </w:rPr>
        <w:tab/>
      </w:r>
    </w:p>
    <w:p w:rsidR="00D33089" w:rsidRPr="009D7A5D" w:rsidRDefault="00D33089" w:rsidP="001B7818">
      <w:pPr>
        <w:pStyle w:val="7"/>
        <w:keepNext w:val="0"/>
        <w:widowControl w:val="0"/>
        <w:ind w:firstLine="709"/>
        <w:rPr>
          <w:rFonts w:ascii="Times New Roman" w:hAnsi="Times New Roman" w:cs="Times New Roman"/>
        </w:rPr>
      </w:pPr>
    </w:p>
    <w:p w:rsidR="00D33089" w:rsidRPr="009D7A5D" w:rsidRDefault="00D33089" w:rsidP="001B7818">
      <w:pPr>
        <w:pStyle w:val="7"/>
        <w:keepNext w:val="0"/>
        <w:widowControl w:val="0"/>
        <w:ind w:firstLine="709"/>
        <w:rPr>
          <w:rFonts w:ascii="Times New Roman" w:hAnsi="Times New Roman" w:cs="Times New Roman"/>
        </w:rPr>
      </w:pPr>
      <w:bookmarkStart w:id="0" w:name="_GoBack"/>
      <w:bookmarkEnd w:id="0"/>
    </w:p>
    <w:p w:rsidR="00D33089" w:rsidRPr="009D7A5D" w:rsidRDefault="00D33089" w:rsidP="001B7818">
      <w:pPr>
        <w:pStyle w:val="7"/>
        <w:keepNext w:val="0"/>
        <w:widowControl w:val="0"/>
        <w:ind w:firstLine="709"/>
        <w:rPr>
          <w:rFonts w:ascii="Times New Roman" w:hAnsi="Times New Roman" w:cs="Times New Roman"/>
        </w:rPr>
      </w:pPr>
    </w:p>
    <w:p w:rsidR="00D33089" w:rsidRPr="009D7A5D" w:rsidRDefault="00D33089" w:rsidP="009D7A5D">
      <w:pPr>
        <w:pStyle w:val="7"/>
        <w:keepNext w:val="0"/>
        <w:widowControl w:val="0"/>
        <w:ind w:firstLine="0"/>
        <w:rPr>
          <w:rFonts w:ascii="Times New Roman" w:hAnsi="Times New Roman" w:cs="Times New Roman"/>
        </w:rPr>
      </w:pPr>
    </w:p>
    <w:p w:rsidR="00D33089" w:rsidRPr="009D7A5D" w:rsidRDefault="00D33089" w:rsidP="009D7A5D">
      <w:pPr>
        <w:pStyle w:val="7"/>
        <w:keepNext w:val="0"/>
        <w:widowControl w:val="0"/>
        <w:ind w:firstLine="0"/>
        <w:rPr>
          <w:rFonts w:ascii="Times New Roman" w:hAnsi="Times New Roman" w:cs="Times New Roman"/>
        </w:rPr>
      </w:pPr>
      <w:r w:rsidRPr="009D7A5D">
        <w:rPr>
          <w:rFonts w:ascii="Times New Roman" w:hAnsi="Times New Roman" w:cs="Times New Roman"/>
        </w:rPr>
        <w:t>ВИСНОВОК</w:t>
      </w:r>
    </w:p>
    <w:p w:rsidR="00D33089" w:rsidRPr="009D7A5D" w:rsidRDefault="00D33089" w:rsidP="009D7A5D">
      <w:pPr>
        <w:pStyle w:val="a3"/>
        <w:widowControl w:val="0"/>
        <w:ind w:firstLine="0"/>
        <w:jc w:val="center"/>
        <w:rPr>
          <w:rFonts w:ascii="Times New Roman" w:hAnsi="Times New Roman" w:cs="Times New Roman"/>
          <w:b/>
        </w:rPr>
      </w:pPr>
      <w:r w:rsidRPr="009D7A5D">
        <w:rPr>
          <w:rFonts w:ascii="Times New Roman" w:hAnsi="Times New Roman" w:cs="Times New Roman"/>
          <w:b/>
        </w:rPr>
        <w:t xml:space="preserve">на проект Закону України </w:t>
      </w:r>
    </w:p>
    <w:p w:rsidR="00D33089" w:rsidRPr="009D7A5D" w:rsidRDefault="00D33089" w:rsidP="009D7A5D">
      <w:pPr>
        <w:pStyle w:val="a3"/>
        <w:widowControl w:val="0"/>
        <w:ind w:firstLine="0"/>
        <w:jc w:val="center"/>
        <w:rPr>
          <w:rFonts w:ascii="Times New Roman" w:hAnsi="Times New Roman" w:cs="Times New Roman"/>
          <w:b/>
          <w:bCs/>
        </w:rPr>
      </w:pPr>
      <w:r w:rsidRPr="009D7A5D">
        <w:rPr>
          <w:rFonts w:ascii="Times New Roman" w:hAnsi="Times New Roman" w:cs="Times New Roman"/>
          <w:b/>
          <w:bCs/>
        </w:rPr>
        <w:t>«</w:t>
      </w:r>
      <w:bookmarkStart w:id="1" w:name="_Hlk36729976"/>
      <w:r w:rsidRPr="009D7A5D">
        <w:rPr>
          <w:rFonts w:ascii="Times New Roman" w:hAnsi="Times New Roman" w:cs="Times New Roman"/>
          <w:b/>
          <w:bCs/>
        </w:rPr>
        <w:t xml:space="preserve">Про </w:t>
      </w:r>
      <w:bookmarkEnd w:id="1"/>
      <w:r w:rsidRPr="009D7A5D">
        <w:rPr>
          <w:rFonts w:ascii="Times New Roman" w:hAnsi="Times New Roman" w:cs="Times New Roman"/>
          <w:b/>
          <w:bCs/>
        </w:rPr>
        <w:t>внесення змін до Кримінального кодексу України щодо встановлення кримінальної відповідальності за загрозу національним інтересам та національній безпеці України в інформаційній сфері»</w:t>
      </w:r>
    </w:p>
    <w:p w:rsidR="00D33089" w:rsidRPr="009D7A5D" w:rsidRDefault="00D33089" w:rsidP="001B7818">
      <w:pPr>
        <w:pStyle w:val="a3"/>
        <w:ind w:firstLine="709"/>
        <w:rPr>
          <w:rFonts w:ascii="Times New Roman" w:hAnsi="Times New Roman" w:cs="Times New Roman"/>
        </w:rPr>
      </w:pPr>
    </w:p>
    <w:p w:rsidR="00D33089" w:rsidRPr="009D7A5D" w:rsidRDefault="00D33089" w:rsidP="001B7818">
      <w:pPr>
        <w:spacing w:after="0" w:line="240" w:lineRule="auto"/>
        <w:ind w:firstLine="709"/>
        <w:jc w:val="both"/>
      </w:pPr>
      <w:r w:rsidRPr="009D7A5D">
        <w:rPr>
          <w:szCs w:val="28"/>
        </w:rPr>
        <w:t>Законопроект</w:t>
      </w:r>
      <w:r w:rsidR="001B7818" w:rsidRPr="009D7A5D">
        <w:rPr>
          <w:szCs w:val="28"/>
        </w:rPr>
        <w:t>, як це зазначено у пояснювальній записці,</w:t>
      </w:r>
      <w:r w:rsidRPr="009D7A5D">
        <w:rPr>
          <w:szCs w:val="28"/>
        </w:rPr>
        <w:t xml:space="preserve"> </w:t>
      </w:r>
      <w:r w:rsidRPr="009D7A5D">
        <w:t xml:space="preserve">розроблено з метою сприяння </w:t>
      </w:r>
      <w:r w:rsidRPr="009D7A5D">
        <w:rPr>
          <w:szCs w:val="28"/>
        </w:rPr>
        <w:t xml:space="preserve">забезпеченню публічної поваги до принципів цілісності, недоторканності території України в її конституційних межах і протидії інформаційної війни проти України. </w:t>
      </w:r>
    </w:p>
    <w:p w:rsidR="00F964D9" w:rsidRPr="00A93D3C" w:rsidRDefault="00D33089" w:rsidP="001B7818">
      <w:pPr>
        <w:spacing w:after="0" w:line="240" w:lineRule="auto"/>
        <w:ind w:firstLine="709"/>
        <w:jc w:val="both"/>
        <w:rPr>
          <w:szCs w:val="28"/>
        </w:rPr>
      </w:pPr>
      <w:r w:rsidRPr="009D7A5D">
        <w:rPr>
          <w:szCs w:val="28"/>
        </w:rPr>
        <w:t xml:space="preserve">Для досягнення вказаної мети у законопроекті пропонується </w:t>
      </w:r>
      <w:r w:rsidRPr="009D7A5D">
        <w:rPr>
          <w:bCs/>
        </w:rPr>
        <w:t xml:space="preserve">доповнити Кримінальний кодекс України </w:t>
      </w:r>
      <w:r w:rsidRPr="009D7A5D">
        <w:rPr>
          <w:szCs w:val="28"/>
        </w:rPr>
        <w:t xml:space="preserve">(далі – КК) </w:t>
      </w:r>
      <w:r w:rsidRPr="009D7A5D">
        <w:rPr>
          <w:bCs/>
        </w:rPr>
        <w:t xml:space="preserve">новою ст. 436-2 «Публічне невизнання факту </w:t>
      </w:r>
      <w:r w:rsidRPr="009D7A5D">
        <w:rPr>
          <w:lang w:eastAsia="uk-UA"/>
        </w:rPr>
        <w:t>збройної агресії Російської Федерації і тимчасової окупації частини території України</w:t>
      </w:r>
      <w:r w:rsidRPr="009D7A5D">
        <w:rPr>
          <w:bCs/>
        </w:rPr>
        <w:t>», якою передбач</w:t>
      </w:r>
      <w:r w:rsidR="00B90EB3" w:rsidRPr="009D7A5D">
        <w:rPr>
          <w:bCs/>
        </w:rPr>
        <w:t>ити</w:t>
      </w:r>
      <w:r w:rsidRPr="009D7A5D">
        <w:rPr>
          <w:bCs/>
        </w:rPr>
        <w:t xml:space="preserve"> кримінальну відповідальність за</w:t>
      </w:r>
      <w:r w:rsidR="001B7818" w:rsidRPr="009D7A5D">
        <w:rPr>
          <w:bCs/>
        </w:rPr>
        <w:t xml:space="preserve">: публічне невизнання факту збройної агресії Російської Федерації до України, окупації Російською Федерацією частини території України і спроби Російською Федерацією </w:t>
      </w:r>
      <w:r w:rsidR="001B7818" w:rsidRPr="00A93D3C">
        <w:rPr>
          <w:bCs/>
        </w:rPr>
        <w:t>легалізувати (визнати законною) анексію тимчасово окупованої Автономної Республіки Крим, а також виготовлення та розповсюдження матеріалів із таким невизнанням</w:t>
      </w:r>
      <w:r w:rsidR="00B90EB3" w:rsidRPr="00A93D3C">
        <w:rPr>
          <w:bCs/>
        </w:rPr>
        <w:t xml:space="preserve"> (</w:t>
      </w:r>
      <w:r w:rsidR="00E46631" w:rsidRPr="00A93D3C">
        <w:rPr>
          <w:bCs/>
        </w:rPr>
        <w:t>ч. 1</w:t>
      </w:r>
      <w:r w:rsidR="00B90EB3" w:rsidRPr="00A93D3C">
        <w:rPr>
          <w:bCs/>
        </w:rPr>
        <w:t>)</w:t>
      </w:r>
      <w:r w:rsidR="001B7818" w:rsidRPr="00A93D3C">
        <w:rPr>
          <w:bCs/>
        </w:rPr>
        <w:t xml:space="preserve">; </w:t>
      </w:r>
      <w:r w:rsidRPr="00A93D3C">
        <w:rPr>
          <w:bCs/>
        </w:rPr>
        <w:t>ті самі дії, вчинені особою, яка є представником влади, або якщо вони вчинені повторно чи з використанням засобів масової інформації</w:t>
      </w:r>
      <w:r w:rsidR="00E46631" w:rsidRPr="00A93D3C">
        <w:rPr>
          <w:bCs/>
        </w:rPr>
        <w:t xml:space="preserve"> (ч. 2)</w:t>
      </w:r>
      <w:r w:rsidRPr="00A93D3C">
        <w:rPr>
          <w:bCs/>
        </w:rPr>
        <w:t xml:space="preserve">. </w:t>
      </w:r>
    </w:p>
    <w:p w:rsidR="00D33089" w:rsidRPr="00A93D3C" w:rsidRDefault="00D33089" w:rsidP="001B7818">
      <w:pPr>
        <w:spacing w:after="0" w:line="240" w:lineRule="auto"/>
        <w:ind w:firstLine="709"/>
        <w:jc w:val="both"/>
        <w:rPr>
          <w:szCs w:val="28"/>
        </w:rPr>
      </w:pPr>
      <w:r w:rsidRPr="00A93D3C">
        <w:rPr>
          <w:bCs/>
          <w:szCs w:val="28"/>
        </w:rPr>
        <w:t xml:space="preserve">Законопроект на момент </w:t>
      </w:r>
      <w:r w:rsidR="00470A84" w:rsidRPr="00A93D3C">
        <w:rPr>
          <w:bCs/>
          <w:szCs w:val="28"/>
        </w:rPr>
        <w:t>підготовки висновку</w:t>
      </w:r>
      <w:r w:rsidRPr="00A93D3C">
        <w:rPr>
          <w:bCs/>
          <w:szCs w:val="28"/>
        </w:rPr>
        <w:t xml:space="preserve"> не включений до Плану законопроектної ро</w:t>
      </w:r>
      <w:r w:rsidR="00470A84" w:rsidRPr="00A93D3C">
        <w:rPr>
          <w:bCs/>
          <w:szCs w:val="28"/>
        </w:rPr>
        <w:t xml:space="preserve">боти Верховної Ради України на </w:t>
      </w:r>
      <w:r w:rsidRPr="00A93D3C">
        <w:rPr>
          <w:bCs/>
          <w:szCs w:val="28"/>
        </w:rPr>
        <w:t>2021 рік, затвердженого постановою Верховної Ради України від 02.02.2021 № 1165-ІХ.</w:t>
      </w:r>
    </w:p>
    <w:p w:rsidR="00D33089" w:rsidRPr="009D7A5D" w:rsidRDefault="00D33089" w:rsidP="001B7818">
      <w:pPr>
        <w:spacing w:after="0" w:line="240" w:lineRule="auto"/>
        <w:ind w:firstLine="709"/>
        <w:jc w:val="both"/>
        <w:rPr>
          <w:szCs w:val="28"/>
        </w:rPr>
      </w:pPr>
      <w:r w:rsidRPr="00A93D3C">
        <w:rPr>
          <w:szCs w:val="28"/>
        </w:rPr>
        <w:t>За результатами опрацювання поданого законопроекту Головне управління вважає за необхідне зазначити наступне</w:t>
      </w:r>
      <w:r w:rsidRPr="009D7A5D">
        <w:rPr>
          <w:szCs w:val="28"/>
        </w:rPr>
        <w:t>.</w:t>
      </w:r>
    </w:p>
    <w:p w:rsidR="00984FE9" w:rsidRPr="009D7A5D" w:rsidRDefault="001B7818" w:rsidP="001B7818">
      <w:pPr>
        <w:pStyle w:val="aa"/>
        <w:tabs>
          <w:tab w:val="left" w:pos="9639"/>
        </w:tabs>
        <w:ind w:firstLine="709"/>
        <w:jc w:val="both"/>
        <w:rPr>
          <w:rFonts w:ascii="Times New Roman" w:hAnsi="Times New Roman" w:cs="Times New Roman"/>
          <w:sz w:val="28"/>
          <w:szCs w:val="28"/>
        </w:rPr>
      </w:pPr>
      <w:r w:rsidRPr="009D7A5D">
        <w:rPr>
          <w:rFonts w:ascii="Times New Roman" w:eastAsia="Times New Roman" w:hAnsi="Times New Roman" w:cs="Times New Roman"/>
          <w:b/>
          <w:sz w:val="28"/>
          <w:szCs w:val="28"/>
          <w:lang w:eastAsia="ru-RU"/>
        </w:rPr>
        <w:t>1.</w:t>
      </w:r>
      <w:r w:rsidRPr="009D7A5D">
        <w:rPr>
          <w:rFonts w:ascii="Times New Roman" w:eastAsia="Times New Roman" w:hAnsi="Times New Roman" w:cs="Times New Roman"/>
          <w:sz w:val="28"/>
          <w:szCs w:val="28"/>
          <w:lang w:eastAsia="ru-RU"/>
        </w:rPr>
        <w:t xml:space="preserve"> </w:t>
      </w:r>
      <w:r w:rsidR="00F964D9" w:rsidRPr="009D7A5D">
        <w:rPr>
          <w:rFonts w:ascii="Times New Roman" w:eastAsia="Times New Roman" w:hAnsi="Times New Roman" w:cs="Times New Roman"/>
          <w:sz w:val="28"/>
          <w:szCs w:val="28"/>
          <w:lang w:eastAsia="ru-RU"/>
        </w:rPr>
        <w:t>Аналіз обов’язкових ознак складу кримінального правопорушення</w:t>
      </w:r>
      <w:r w:rsidRPr="009D7A5D">
        <w:rPr>
          <w:rFonts w:ascii="Times New Roman" w:eastAsia="Times New Roman" w:hAnsi="Times New Roman" w:cs="Times New Roman"/>
          <w:sz w:val="28"/>
          <w:szCs w:val="28"/>
          <w:lang w:eastAsia="ru-RU"/>
        </w:rPr>
        <w:t>, передбаченого у новій ст. 436-2 КК</w:t>
      </w:r>
      <w:r w:rsidR="002A5D02" w:rsidRPr="009D7A5D">
        <w:rPr>
          <w:rFonts w:ascii="Times New Roman" w:eastAsia="Times New Roman" w:hAnsi="Times New Roman" w:cs="Times New Roman"/>
          <w:sz w:val="28"/>
          <w:szCs w:val="28"/>
          <w:lang w:eastAsia="ru-RU"/>
        </w:rPr>
        <w:t>,</w:t>
      </w:r>
      <w:r w:rsidR="00F964D9" w:rsidRPr="009D7A5D">
        <w:rPr>
          <w:rFonts w:ascii="Times New Roman" w:eastAsia="Times New Roman" w:hAnsi="Times New Roman" w:cs="Times New Roman"/>
          <w:sz w:val="28"/>
          <w:szCs w:val="28"/>
          <w:lang w:eastAsia="ru-RU"/>
        </w:rPr>
        <w:t xml:space="preserve"> свідчить </w:t>
      </w:r>
      <w:r w:rsidR="00984FE9" w:rsidRPr="009D7A5D">
        <w:rPr>
          <w:rFonts w:ascii="Times New Roman" w:eastAsia="Times New Roman" w:hAnsi="Times New Roman" w:cs="Times New Roman"/>
          <w:sz w:val="28"/>
          <w:szCs w:val="28"/>
          <w:lang w:eastAsia="ru-RU"/>
        </w:rPr>
        <w:t>про пропозицію</w:t>
      </w:r>
      <w:r w:rsidRPr="009D7A5D">
        <w:rPr>
          <w:rFonts w:ascii="Times New Roman" w:eastAsia="Times New Roman" w:hAnsi="Times New Roman" w:cs="Times New Roman"/>
          <w:sz w:val="28"/>
          <w:szCs w:val="28"/>
          <w:lang w:eastAsia="ru-RU"/>
        </w:rPr>
        <w:t xml:space="preserve"> законопроекту</w:t>
      </w:r>
      <w:r w:rsidR="00984FE9" w:rsidRPr="009D7A5D">
        <w:rPr>
          <w:rFonts w:ascii="Times New Roman" w:eastAsia="Times New Roman" w:hAnsi="Times New Roman" w:cs="Times New Roman"/>
          <w:sz w:val="28"/>
          <w:szCs w:val="28"/>
          <w:lang w:eastAsia="ru-RU"/>
        </w:rPr>
        <w:t xml:space="preserve"> передбачити відповідальність</w:t>
      </w:r>
      <w:r w:rsidR="002A5D02" w:rsidRPr="009D7A5D">
        <w:rPr>
          <w:rFonts w:ascii="Times New Roman" w:eastAsia="Times New Roman" w:hAnsi="Times New Roman" w:cs="Times New Roman"/>
          <w:sz w:val="28"/>
          <w:szCs w:val="28"/>
          <w:lang w:eastAsia="ru-RU"/>
        </w:rPr>
        <w:t>,</w:t>
      </w:r>
      <w:r w:rsidR="00984FE9" w:rsidRPr="009D7A5D">
        <w:rPr>
          <w:rFonts w:ascii="Times New Roman" w:eastAsia="Times New Roman" w:hAnsi="Times New Roman" w:cs="Times New Roman"/>
          <w:sz w:val="28"/>
          <w:szCs w:val="28"/>
          <w:lang w:eastAsia="ru-RU"/>
        </w:rPr>
        <w:t xml:space="preserve"> зокрема</w:t>
      </w:r>
      <w:r w:rsidR="002A5D02" w:rsidRPr="009D7A5D">
        <w:rPr>
          <w:rFonts w:ascii="Times New Roman" w:eastAsia="Times New Roman" w:hAnsi="Times New Roman" w:cs="Times New Roman"/>
          <w:sz w:val="28"/>
          <w:szCs w:val="28"/>
          <w:lang w:eastAsia="ru-RU"/>
        </w:rPr>
        <w:t>,</w:t>
      </w:r>
      <w:r w:rsidR="00984FE9" w:rsidRPr="009D7A5D">
        <w:rPr>
          <w:rFonts w:ascii="Times New Roman" w:eastAsia="Times New Roman" w:hAnsi="Times New Roman" w:cs="Times New Roman"/>
          <w:sz w:val="28"/>
          <w:szCs w:val="28"/>
          <w:lang w:eastAsia="ru-RU"/>
        </w:rPr>
        <w:t xml:space="preserve"> за публічне заперечення </w:t>
      </w:r>
      <w:r w:rsidR="00984FE9" w:rsidRPr="009D7A5D">
        <w:rPr>
          <w:rFonts w:ascii="Times New Roman" w:eastAsia="Calibri" w:hAnsi="Times New Roman" w:cs="Times New Roman"/>
          <w:sz w:val="28"/>
          <w:szCs w:val="28"/>
        </w:rPr>
        <w:t xml:space="preserve">факту збройної агресії Російської Федерації до України, окупації Російською Федерацією частини території України або за публічне виправдовування спроб Російської Федерації легалізувати анексію тимчасово окупованої Автономної Республіки Крим. </w:t>
      </w:r>
      <w:r w:rsidR="003E1BDD" w:rsidRPr="009D7A5D">
        <w:rPr>
          <w:rFonts w:ascii="Times New Roman" w:hAnsi="Times New Roman" w:cs="Times New Roman"/>
          <w:sz w:val="28"/>
          <w:szCs w:val="28"/>
        </w:rPr>
        <w:t>Тлумачні словники визначають «заперечення» як невизнання існування, значення, доцільності чого-небудь</w:t>
      </w:r>
      <w:r w:rsidR="003E1BDD" w:rsidRPr="009D7A5D">
        <w:rPr>
          <w:rStyle w:val="ae"/>
          <w:rFonts w:ascii="Times New Roman" w:hAnsi="Times New Roman" w:cs="Times New Roman"/>
          <w:sz w:val="28"/>
          <w:szCs w:val="28"/>
        </w:rPr>
        <w:footnoteReference w:id="1"/>
      </w:r>
      <w:r w:rsidR="003E1BDD" w:rsidRPr="009D7A5D">
        <w:rPr>
          <w:rFonts w:ascii="Times New Roman" w:hAnsi="Times New Roman" w:cs="Times New Roman"/>
          <w:sz w:val="28"/>
          <w:szCs w:val="28"/>
        </w:rPr>
        <w:t xml:space="preserve">, а </w:t>
      </w:r>
      <w:r w:rsidR="003E1BDD" w:rsidRPr="009D7A5D">
        <w:rPr>
          <w:rFonts w:ascii="Times New Roman" w:eastAsia="Times New Roman" w:hAnsi="Times New Roman" w:cs="Times New Roman"/>
          <w:sz w:val="28"/>
          <w:szCs w:val="28"/>
          <w:lang w:eastAsia="ru-RU"/>
        </w:rPr>
        <w:t>«виправдовування</w:t>
      </w:r>
      <w:r w:rsidR="003E1BDD" w:rsidRPr="009D7A5D">
        <w:rPr>
          <w:rFonts w:ascii="Times New Roman" w:hAnsi="Times New Roman" w:cs="Times New Roman"/>
          <w:sz w:val="28"/>
          <w:szCs w:val="28"/>
        </w:rPr>
        <w:t>» як доведення можливості, допустимості чого-небудь</w:t>
      </w:r>
      <w:r w:rsidR="003E1BDD" w:rsidRPr="009D7A5D">
        <w:rPr>
          <w:rStyle w:val="ae"/>
          <w:rFonts w:ascii="Times New Roman" w:hAnsi="Times New Roman" w:cs="Times New Roman"/>
          <w:sz w:val="28"/>
          <w:szCs w:val="28"/>
        </w:rPr>
        <w:footnoteReference w:id="2"/>
      </w:r>
      <w:r w:rsidR="003E1BDD" w:rsidRPr="009D7A5D">
        <w:rPr>
          <w:rFonts w:ascii="Times New Roman" w:eastAsia="Calibri" w:hAnsi="Times New Roman" w:cs="Times New Roman"/>
          <w:sz w:val="28"/>
          <w:szCs w:val="28"/>
        </w:rPr>
        <w:t xml:space="preserve">. </w:t>
      </w:r>
      <w:r w:rsidR="00B90EB3" w:rsidRPr="009D7A5D">
        <w:rPr>
          <w:rFonts w:ascii="Times New Roman" w:hAnsi="Times New Roman" w:cs="Times New Roman"/>
          <w:sz w:val="28"/>
          <w:szCs w:val="28"/>
        </w:rPr>
        <w:t xml:space="preserve">Тобто, </w:t>
      </w:r>
      <w:r w:rsidR="003E1BDD" w:rsidRPr="009D7A5D">
        <w:rPr>
          <w:rFonts w:ascii="Times New Roman" w:eastAsia="Times New Roman" w:hAnsi="Times New Roman" w:cs="Times New Roman"/>
          <w:sz w:val="28"/>
          <w:szCs w:val="28"/>
          <w:lang w:eastAsia="ru-RU"/>
        </w:rPr>
        <w:t xml:space="preserve">заперечення, </w:t>
      </w:r>
      <w:r w:rsidR="00B90EB3" w:rsidRPr="009D7A5D">
        <w:rPr>
          <w:rFonts w:ascii="Times New Roman" w:eastAsia="Times New Roman" w:hAnsi="Times New Roman" w:cs="Times New Roman"/>
          <w:sz w:val="28"/>
          <w:szCs w:val="28"/>
          <w:lang w:eastAsia="ru-RU"/>
        </w:rPr>
        <w:t>виправдовування, визнання правомірним</w:t>
      </w:r>
      <w:r w:rsidR="003E1BDD" w:rsidRPr="009D7A5D">
        <w:rPr>
          <w:rFonts w:ascii="Times New Roman" w:eastAsia="Times New Roman" w:hAnsi="Times New Roman" w:cs="Times New Roman"/>
          <w:sz w:val="28"/>
          <w:szCs w:val="28"/>
          <w:lang w:eastAsia="ru-RU"/>
        </w:rPr>
        <w:t xml:space="preserve"> </w:t>
      </w:r>
      <w:r w:rsidR="00B90EB3" w:rsidRPr="009D7A5D">
        <w:rPr>
          <w:rFonts w:ascii="Times New Roman" w:eastAsia="Times New Roman" w:hAnsi="Times New Roman" w:cs="Times New Roman"/>
          <w:sz w:val="28"/>
          <w:szCs w:val="28"/>
          <w:lang w:eastAsia="ru-RU"/>
        </w:rPr>
        <w:t xml:space="preserve">чого-небудь, </w:t>
      </w:r>
      <w:r w:rsidR="00B90EB3" w:rsidRPr="009D7A5D">
        <w:rPr>
          <w:rFonts w:ascii="Times New Roman" w:hAnsi="Times New Roman" w:cs="Times New Roman"/>
          <w:sz w:val="28"/>
          <w:szCs w:val="28"/>
        </w:rPr>
        <w:t xml:space="preserve">на відміну від заклику (див., наприклад, </w:t>
      </w:r>
      <w:r w:rsidR="002A5D02" w:rsidRPr="009D7A5D">
        <w:rPr>
          <w:rFonts w:ascii="Times New Roman" w:hAnsi="Times New Roman" w:cs="Times New Roman"/>
          <w:sz w:val="28"/>
          <w:szCs w:val="28"/>
        </w:rPr>
        <w:br/>
      </w:r>
      <w:r w:rsidR="00B90EB3" w:rsidRPr="009D7A5D">
        <w:rPr>
          <w:rFonts w:ascii="Times New Roman" w:hAnsi="Times New Roman" w:cs="Times New Roman"/>
          <w:sz w:val="28"/>
          <w:szCs w:val="28"/>
        </w:rPr>
        <w:lastRenderedPageBreak/>
        <w:t>ч. 2 ст. 109, ст. ст. 110, 258-2 КК), не спрямоване безпосередньо на формування у кінцевого адресата бажання вчин</w:t>
      </w:r>
      <w:r w:rsidR="002A5D02" w:rsidRPr="009D7A5D">
        <w:rPr>
          <w:rFonts w:ascii="Times New Roman" w:hAnsi="Times New Roman" w:cs="Times New Roman"/>
          <w:sz w:val="28"/>
          <w:szCs w:val="28"/>
        </w:rPr>
        <w:t>ити</w:t>
      </w:r>
      <w:r w:rsidR="00B90EB3" w:rsidRPr="009D7A5D">
        <w:rPr>
          <w:rFonts w:ascii="Times New Roman" w:hAnsi="Times New Roman" w:cs="Times New Roman"/>
          <w:sz w:val="28"/>
          <w:szCs w:val="28"/>
        </w:rPr>
        <w:t xml:space="preserve"> діян</w:t>
      </w:r>
      <w:r w:rsidR="002A5D02" w:rsidRPr="009D7A5D">
        <w:rPr>
          <w:rFonts w:ascii="Times New Roman" w:hAnsi="Times New Roman" w:cs="Times New Roman"/>
          <w:sz w:val="28"/>
          <w:szCs w:val="28"/>
        </w:rPr>
        <w:t>ня</w:t>
      </w:r>
      <w:r w:rsidR="00B90EB3" w:rsidRPr="009D7A5D">
        <w:rPr>
          <w:rFonts w:ascii="Times New Roman" w:hAnsi="Times New Roman" w:cs="Times New Roman"/>
          <w:sz w:val="28"/>
          <w:szCs w:val="28"/>
        </w:rPr>
        <w:t xml:space="preserve">, які б сприяли збройній агресії Російської Федерації проти України, </w:t>
      </w:r>
      <w:r w:rsidR="003E1BDD" w:rsidRPr="009D7A5D">
        <w:rPr>
          <w:rFonts w:ascii="Times New Roman" w:eastAsia="Calibri" w:hAnsi="Times New Roman" w:cs="Times New Roman"/>
          <w:sz w:val="28"/>
          <w:szCs w:val="28"/>
        </w:rPr>
        <w:t>окупації Російською Федерацією частини території України</w:t>
      </w:r>
      <w:r w:rsidR="00B90EB3" w:rsidRPr="009D7A5D">
        <w:rPr>
          <w:rFonts w:ascii="Times New Roman" w:hAnsi="Times New Roman" w:cs="Times New Roman"/>
          <w:sz w:val="28"/>
          <w:szCs w:val="28"/>
        </w:rPr>
        <w:t xml:space="preserve">. За таких умов заперечення </w:t>
      </w:r>
      <w:r w:rsidR="00920743" w:rsidRPr="009D7A5D">
        <w:rPr>
          <w:rFonts w:ascii="Times New Roman" w:hAnsi="Times New Roman" w:cs="Times New Roman"/>
          <w:sz w:val="28"/>
          <w:szCs w:val="28"/>
        </w:rPr>
        <w:t xml:space="preserve">(невизнання) або </w:t>
      </w:r>
      <w:r w:rsidR="00920743" w:rsidRPr="009D7A5D">
        <w:rPr>
          <w:rFonts w:ascii="Times New Roman" w:eastAsia="Times New Roman" w:hAnsi="Times New Roman" w:cs="Times New Roman"/>
          <w:sz w:val="28"/>
          <w:szCs w:val="28"/>
          <w:lang w:eastAsia="ru-RU"/>
        </w:rPr>
        <w:t xml:space="preserve">виправдовування </w:t>
      </w:r>
      <w:r w:rsidR="00B90EB3" w:rsidRPr="009D7A5D">
        <w:rPr>
          <w:rFonts w:ascii="Times New Roman" w:hAnsi="Times New Roman" w:cs="Times New Roman"/>
          <w:sz w:val="28"/>
          <w:szCs w:val="28"/>
        </w:rPr>
        <w:t>є інформацією</w:t>
      </w:r>
      <w:r w:rsidR="00B90EB3" w:rsidRPr="009D7A5D">
        <w:rPr>
          <w:rFonts w:ascii="Times New Roman" w:hAnsi="Times New Roman" w:cs="Times New Roman"/>
          <w:sz w:val="28"/>
          <w:szCs w:val="28"/>
          <w:lang w:eastAsia="uk-UA"/>
        </w:rPr>
        <w:t xml:space="preserve"> констатуючого характеру – певним баченням, поглядами конкретної особи. </w:t>
      </w:r>
    </w:p>
    <w:p w:rsidR="00234C76" w:rsidRPr="009D7A5D" w:rsidRDefault="00B90EB3" w:rsidP="001B7818">
      <w:pPr>
        <w:widowControl w:val="0"/>
        <w:spacing w:after="0" w:line="240" w:lineRule="auto"/>
        <w:ind w:firstLine="709"/>
        <w:jc w:val="both"/>
        <w:rPr>
          <w:rFonts w:eastAsia="Times New Roman"/>
          <w:szCs w:val="28"/>
          <w:lang w:eastAsia="ru-RU"/>
        </w:rPr>
      </w:pPr>
      <w:r w:rsidRPr="009D7A5D">
        <w:rPr>
          <w:rFonts w:eastAsia="Times New Roman"/>
          <w:szCs w:val="28"/>
          <w:lang w:eastAsia="ru-RU"/>
        </w:rPr>
        <w:t>Нагадаємо, що згідно з приписами ч. 1 ст. 34 Конституції України кожному гарантується право на свободу думки і слова, на вільне вираження своїх поглядів і переконань. Кожен має право вільно збирати, зберігати, використовувати і поширювати інформацію усно, письмово або в інший спосіб</w:t>
      </w:r>
      <w:r w:rsidR="007B52BC" w:rsidRPr="009D7A5D">
        <w:rPr>
          <w:rFonts w:eastAsia="Times New Roman"/>
          <w:szCs w:val="28"/>
          <w:lang w:eastAsia="ru-RU"/>
        </w:rPr>
        <w:t xml:space="preserve"> </w:t>
      </w:r>
      <w:r w:rsidRPr="009D7A5D">
        <w:rPr>
          <w:rFonts w:eastAsia="Times New Roman"/>
          <w:szCs w:val="28"/>
          <w:lang w:eastAsia="ru-RU"/>
        </w:rPr>
        <w:t xml:space="preserve">– на свій вибір. Така конституційна гарантія узгоджується із Міжнародним пактом про громадянські і політичні права 1966 року (ратифікований Указом Президії Верховної Ради Української РСР від 19.10.1973 № 2148-VIII), яким визначено, що «кожна людина </w:t>
      </w:r>
      <w:r w:rsidRPr="009D7A5D">
        <w:rPr>
          <w:rFonts w:eastAsia="Times New Roman"/>
          <w:i/>
          <w:szCs w:val="28"/>
          <w:lang w:eastAsia="ru-RU"/>
        </w:rPr>
        <w:t>має право на вільне вираження свого погляду</w:t>
      </w:r>
      <w:r w:rsidRPr="009D7A5D">
        <w:rPr>
          <w:rFonts w:eastAsia="Times New Roman"/>
          <w:szCs w:val="28"/>
          <w:lang w:eastAsia="ru-RU"/>
        </w:rPr>
        <w:t>; це право включає свободу шукати, одержувати і поширювати будь-яку інформацію та ідеї, незалежно від державних кордонів, усно, письмово чи за допомогою друку або художніх форм вираження чи іншими способами на свій вибір» (п. 2 ст. 19 вказаного Пакту), а також ст. 10 Конвенції</w:t>
      </w:r>
      <w:r w:rsidRPr="009D7A5D">
        <w:t xml:space="preserve"> </w:t>
      </w:r>
      <w:r w:rsidRPr="009D7A5D">
        <w:rPr>
          <w:rFonts w:eastAsia="Times New Roman"/>
          <w:szCs w:val="28"/>
          <w:lang w:eastAsia="ru-RU"/>
        </w:rPr>
        <w:t>Ради Європи про захист прав людини і основоположних свобод 1950 року (далі – Конвенція), якою передбачено, зокрема, що кожен має право на свободу вираження поглядів. Це право включає свободу дотримуватися своїх поглядів, одержувати і передавати інформацію та ідеї без втручання органів державної влади і незалежно від кордонів.</w:t>
      </w:r>
    </w:p>
    <w:p w:rsidR="00B90EB3" w:rsidRPr="009D7A5D" w:rsidRDefault="00B90EB3" w:rsidP="001B7818">
      <w:pPr>
        <w:widowControl w:val="0"/>
        <w:spacing w:after="0" w:line="240" w:lineRule="auto"/>
        <w:ind w:firstLine="709"/>
        <w:jc w:val="both"/>
        <w:rPr>
          <w:rFonts w:eastAsia="Times New Roman"/>
          <w:szCs w:val="28"/>
          <w:lang w:eastAsia="ru-RU"/>
        </w:rPr>
      </w:pPr>
      <w:r w:rsidRPr="009D7A5D">
        <w:rPr>
          <w:rFonts w:eastAsia="Times New Roman"/>
          <w:szCs w:val="28"/>
          <w:lang w:eastAsia="ru-RU"/>
        </w:rPr>
        <w:t>Крім того, ст. 10 Конвенції проводить різницю між «інформацією» та «ідеями». З цього можна зробити висновок, що свобода висловлювань не обмежується фактичними даними, які можна підтвердити. Вона включає також погляди, критику, припущення. Таким чином, гарантії ст. 10 Конвенції поширюються не тільки на «правдиву», тобто, таку, що ґрунтується на фактах, інформацію. Особа, що висловила свої погляди, а не факти, не повинна доводити їх правдивість – це є порушенням ст. 10 Конвенції (Справа «Торгіерсон проти Нідерландів»</w:t>
      </w:r>
      <w:r w:rsidRPr="009D7A5D">
        <w:t xml:space="preserve"> </w:t>
      </w:r>
      <w:r w:rsidRPr="009D7A5D">
        <w:rPr>
          <w:rFonts w:eastAsia="Times New Roman"/>
          <w:szCs w:val="28"/>
          <w:lang w:eastAsia="ru-RU"/>
        </w:rPr>
        <w:t>рішення № 11308/84)</w:t>
      </w:r>
      <w:r w:rsidRPr="009D7A5D">
        <w:rPr>
          <w:rStyle w:val="ae"/>
        </w:rPr>
        <w:footnoteReference w:id="3"/>
      </w:r>
      <w:r w:rsidRPr="009D7A5D">
        <w:rPr>
          <w:rFonts w:eastAsia="Times New Roman"/>
          <w:szCs w:val="28"/>
          <w:lang w:eastAsia="ru-RU"/>
        </w:rPr>
        <w:t>.</w:t>
      </w:r>
    </w:p>
    <w:p w:rsidR="00B90EB3" w:rsidRPr="009D7A5D" w:rsidRDefault="00B90EB3" w:rsidP="001B7818">
      <w:pPr>
        <w:spacing w:after="0" w:line="240" w:lineRule="auto"/>
        <w:ind w:firstLine="709"/>
        <w:jc w:val="both"/>
        <w:rPr>
          <w:bCs/>
          <w:szCs w:val="28"/>
        </w:rPr>
      </w:pPr>
      <w:r w:rsidRPr="009D7A5D">
        <w:rPr>
          <w:rFonts w:eastAsia="Times New Roman"/>
          <w:szCs w:val="28"/>
          <w:lang w:eastAsia="ru-RU"/>
        </w:rPr>
        <w:t xml:space="preserve">З огляду на це самі по собі </w:t>
      </w:r>
      <w:r w:rsidR="003F4452" w:rsidRPr="009D7A5D">
        <w:rPr>
          <w:rFonts w:eastAsia="Times New Roman"/>
          <w:szCs w:val="28"/>
          <w:lang w:eastAsia="ru-RU"/>
        </w:rPr>
        <w:t xml:space="preserve">невизнання збройної агресії Російської Федерації до України, окупації Російською Федерацією частини території України, </w:t>
      </w:r>
      <w:r w:rsidR="003F4452" w:rsidRPr="009D7A5D">
        <w:rPr>
          <w:szCs w:val="28"/>
        </w:rPr>
        <w:t>виправдовування спроб Російської Федерації легалізувати анексію тимчасово окупованої Автономної Республіки Крим</w:t>
      </w:r>
      <w:r w:rsidR="003F4452" w:rsidRPr="009D7A5D">
        <w:rPr>
          <w:rFonts w:eastAsia="Times New Roman"/>
          <w:szCs w:val="28"/>
          <w:lang w:eastAsia="ru-RU"/>
        </w:rPr>
        <w:t>, про які йдеться у новій ст. </w:t>
      </w:r>
      <w:r w:rsidRPr="009D7A5D">
        <w:rPr>
          <w:rFonts w:eastAsia="Times New Roman"/>
          <w:szCs w:val="28"/>
          <w:lang w:eastAsia="ru-RU"/>
        </w:rPr>
        <w:t>436-2 КК, навряд чи можна розцінювати як кримінальне правопорушення. К</w:t>
      </w:r>
      <w:r w:rsidR="001E5131" w:rsidRPr="009D7A5D">
        <w:rPr>
          <w:rFonts w:eastAsia="Times New Roman"/>
          <w:szCs w:val="28"/>
          <w:lang w:eastAsia="ru-RU"/>
        </w:rPr>
        <w:t xml:space="preserve">римінально </w:t>
      </w:r>
      <w:r w:rsidRPr="009D7A5D">
        <w:rPr>
          <w:rFonts w:eastAsia="Times New Roman"/>
          <w:szCs w:val="28"/>
          <w:lang w:eastAsia="ru-RU"/>
        </w:rPr>
        <w:t>караними є відповідні правопорушення проти миру, безпеки людства та міжнародного правопорядку</w:t>
      </w:r>
      <w:r w:rsidRPr="009D7A5D">
        <w:rPr>
          <w:bCs/>
          <w:szCs w:val="28"/>
        </w:rPr>
        <w:t xml:space="preserve"> (наприклад, такі злочини як планування, підготовка, розв’язування та ведення агресивної війни (ст. 437 КК), застосування зброї масового знищення (ст. 439 КК та ін.)</w:t>
      </w:r>
      <w:r w:rsidR="002A5D02" w:rsidRPr="009D7A5D">
        <w:rPr>
          <w:bCs/>
          <w:szCs w:val="28"/>
        </w:rPr>
        <w:t>)</w:t>
      </w:r>
      <w:r w:rsidRPr="009D7A5D">
        <w:rPr>
          <w:bCs/>
          <w:szCs w:val="28"/>
        </w:rPr>
        <w:t xml:space="preserve">, а не судження про те, чи були такі злочини вчинені певними особами чи організаціями і чи мав у певному випадку місце акт агресії з боку тієї чи іншої держави. </w:t>
      </w:r>
    </w:p>
    <w:p w:rsidR="00464D49" w:rsidRPr="009D7A5D" w:rsidRDefault="0058330C" w:rsidP="00464D49">
      <w:pPr>
        <w:spacing w:after="0" w:line="240" w:lineRule="auto"/>
        <w:ind w:firstLine="709"/>
        <w:jc w:val="both"/>
        <w:rPr>
          <w:bCs/>
          <w:szCs w:val="28"/>
        </w:rPr>
      </w:pPr>
      <w:r w:rsidRPr="009D7A5D">
        <w:rPr>
          <w:b/>
          <w:bCs/>
          <w:szCs w:val="28"/>
        </w:rPr>
        <w:lastRenderedPageBreak/>
        <w:t xml:space="preserve">2. </w:t>
      </w:r>
      <w:r w:rsidRPr="009D7A5D">
        <w:rPr>
          <w:bCs/>
          <w:szCs w:val="28"/>
        </w:rPr>
        <w:t>Принагідно звертаємо увагу, що на розгляді Верховної Ради України знаходиться низка проектів законів України, які спрямовані на врегулювання т</w:t>
      </w:r>
      <w:r w:rsidR="002A5D02" w:rsidRPr="009D7A5D">
        <w:rPr>
          <w:bCs/>
          <w:szCs w:val="28"/>
        </w:rPr>
        <w:t xml:space="preserve">их </w:t>
      </w:r>
      <w:r w:rsidRPr="009D7A5D">
        <w:rPr>
          <w:bCs/>
          <w:szCs w:val="28"/>
        </w:rPr>
        <w:t>ж</w:t>
      </w:r>
      <w:r w:rsidR="002A5D02" w:rsidRPr="009D7A5D">
        <w:rPr>
          <w:bCs/>
          <w:szCs w:val="28"/>
        </w:rPr>
        <w:t>е</w:t>
      </w:r>
      <w:r w:rsidRPr="009D7A5D">
        <w:rPr>
          <w:bCs/>
          <w:szCs w:val="28"/>
        </w:rPr>
        <w:t xml:space="preserve"> питань, що і поданий законопроект, зокрема: «Про особливості державної політики щодо встановлення заборони для окремих категорій осіб публічних висловлювань щодо заперечення окремих міжнародних злочинів або виправдання дій їх організаторів, збройної агресії Російської Федерації і тимчасової окупації частини території України, щодо заборони та обмеження взаємодії і </w:t>
      </w:r>
      <w:r w:rsidR="00C92C93" w:rsidRPr="009D7A5D">
        <w:rPr>
          <w:bCs/>
          <w:szCs w:val="28"/>
        </w:rPr>
        <w:t>зав’язків</w:t>
      </w:r>
      <w:r w:rsidRPr="009D7A5D">
        <w:rPr>
          <w:bCs/>
          <w:szCs w:val="28"/>
        </w:rPr>
        <w:t xml:space="preserve"> таких осіб з органами влади і посадовими особами Російської Федерації та незаконними органами (посадовими особами), створеними на тимчасово окупованих територіях України» (реєстр. № 5165 від 26.02.2021); «</w:t>
      </w:r>
      <w:r w:rsidR="002C69A2" w:rsidRPr="009D7A5D">
        <w:rPr>
          <w:bCs/>
          <w:szCs w:val="28"/>
        </w:rPr>
        <w:t>Про внесення змін до Кримінального кодексу України щодо встановлення відповідальності за заперечення міжнародних злочинів, агресії Російської Федерації, злочинів, пов’язаних з окупацією Російською Федерацією частини території України, порушення окремими категоріями осіб заборон та обмежень щодо встановлення зв’язків і взаємодії з органами влади Російської Федерації, окупаційними адміністраціями, посилення відповідальності за кримінальні правопорушення проти основ національної безпеки України, довкілля і власності, вчинені на тимчасово окупованих територіях України» (реєстр. № 5166 від 26.02.2021); «Про внесення змін до деяких законів України щодо визнання публічного заперечення збройної агресії Російської Федерації проти України, тимчасової окупації Російською Федерацією територій України та спроб легалізувати та легітимізувати анексію частини території України протиправним діянням» (реєстр. № 6435 від 15.12.2021);</w:t>
      </w:r>
      <w:r w:rsidR="00464D49" w:rsidRPr="009D7A5D">
        <w:rPr>
          <w:bCs/>
          <w:szCs w:val="28"/>
        </w:rPr>
        <w:t xml:space="preserve"> «Про внесення змін до Кодексу України про адміністративні правопорушення щодо встановлення відповідальності за публічне заперечення збройної агресії Російської Федерації проти України, тимчасової окупації Російською Федерацією територій України та спроб легалізувати та легітимізувати анексію частини території України» (реєстр. № 6436 від 15.12.2021).</w:t>
      </w:r>
    </w:p>
    <w:p w:rsidR="00A21932" w:rsidRPr="009D7A5D" w:rsidRDefault="00A21932" w:rsidP="00464D49">
      <w:pPr>
        <w:spacing w:after="0" w:line="240" w:lineRule="auto"/>
        <w:ind w:firstLine="709"/>
        <w:jc w:val="both"/>
        <w:rPr>
          <w:bCs/>
          <w:szCs w:val="28"/>
        </w:rPr>
      </w:pPr>
      <w:r w:rsidRPr="009D7A5D">
        <w:rPr>
          <w:bCs/>
          <w:szCs w:val="28"/>
        </w:rPr>
        <w:t>З огляду на це вважаємо, що вказані вище проекти законів України та поданий законопроект слід розглядати одночасно.</w:t>
      </w:r>
    </w:p>
    <w:p w:rsidR="00464D49" w:rsidRPr="009D7A5D" w:rsidRDefault="00464D49" w:rsidP="00464D49">
      <w:pPr>
        <w:spacing w:after="0" w:line="240" w:lineRule="auto"/>
        <w:ind w:firstLine="709"/>
        <w:jc w:val="both"/>
        <w:rPr>
          <w:bCs/>
          <w:szCs w:val="28"/>
        </w:rPr>
      </w:pPr>
    </w:p>
    <w:p w:rsidR="00E5320D" w:rsidRPr="009D7A5D" w:rsidRDefault="00E5320D" w:rsidP="001B7818">
      <w:pPr>
        <w:spacing w:after="0" w:line="240" w:lineRule="auto"/>
        <w:jc w:val="both"/>
        <w:rPr>
          <w:szCs w:val="28"/>
        </w:rPr>
      </w:pPr>
    </w:p>
    <w:p w:rsidR="00D33089" w:rsidRPr="009D7A5D" w:rsidRDefault="00D33089" w:rsidP="001B7818">
      <w:pPr>
        <w:spacing w:after="0" w:line="240" w:lineRule="auto"/>
        <w:ind w:firstLine="709"/>
        <w:jc w:val="both"/>
      </w:pPr>
      <w:r w:rsidRPr="009D7A5D">
        <w:t xml:space="preserve">Керівник Головного управління </w:t>
      </w:r>
      <w:r w:rsidRPr="009D7A5D">
        <w:tab/>
      </w:r>
      <w:r w:rsidRPr="009D7A5D">
        <w:tab/>
      </w:r>
      <w:r w:rsidRPr="009D7A5D">
        <w:tab/>
      </w:r>
      <w:r w:rsidRPr="009D7A5D">
        <w:tab/>
        <w:t xml:space="preserve">              С. Тихонюк</w:t>
      </w:r>
    </w:p>
    <w:p w:rsidR="00D33089" w:rsidRPr="00A93D3C" w:rsidRDefault="00D33089" w:rsidP="001B7818">
      <w:pPr>
        <w:spacing w:after="0" w:line="240" w:lineRule="auto"/>
        <w:ind w:firstLine="709"/>
        <w:jc w:val="both"/>
        <w:rPr>
          <w:szCs w:val="28"/>
        </w:rPr>
      </w:pPr>
    </w:p>
    <w:p w:rsidR="00464D49" w:rsidRPr="00A93D3C" w:rsidRDefault="00464D49" w:rsidP="001B7818">
      <w:pPr>
        <w:spacing w:after="0" w:line="240" w:lineRule="auto"/>
        <w:ind w:firstLine="709"/>
        <w:jc w:val="both"/>
        <w:rPr>
          <w:szCs w:val="28"/>
        </w:rPr>
      </w:pPr>
    </w:p>
    <w:p w:rsidR="0063585B" w:rsidRPr="00A93D3C" w:rsidRDefault="00D33089" w:rsidP="00A93D3C">
      <w:pPr>
        <w:spacing w:after="0" w:line="240" w:lineRule="auto"/>
        <w:ind w:firstLine="709"/>
        <w:jc w:val="both"/>
        <w:rPr>
          <w:sz w:val="20"/>
          <w:szCs w:val="20"/>
        </w:rPr>
      </w:pPr>
      <w:r w:rsidRPr="009D7A5D">
        <w:rPr>
          <w:sz w:val="20"/>
          <w:szCs w:val="20"/>
        </w:rPr>
        <w:t>Вик.: В. Попович, Є. Корнієнко</w:t>
      </w:r>
    </w:p>
    <w:sectPr w:rsidR="0063585B" w:rsidRPr="00A93D3C" w:rsidSect="00FA3B99">
      <w:headerReference w:type="default" r:id="rId8"/>
      <w:footerReference w:type="even" r:id="rId9"/>
      <w:headerReference w:type="first" r:id="rId10"/>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69BD" w:rsidRDefault="00CF69BD" w:rsidP="00D33089">
      <w:pPr>
        <w:spacing w:after="0" w:line="240" w:lineRule="auto"/>
      </w:pPr>
      <w:r>
        <w:separator/>
      </w:r>
    </w:p>
  </w:endnote>
  <w:endnote w:type="continuationSeparator" w:id="0">
    <w:p w:rsidR="00CF69BD" w:rsidRDefault="00CF69BD" w:rsidP="00D330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altName w:val="Calibri"/>
    <w:panose1 w:val="020B0502040204020203"/>
    <w:charset w:val="CC"/>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D441A2" w:rsidP="006C27EE">
    <w:pPr>
      <w:pStyle w:val="a7"/>
      <w:framePr w:wrap="around" w:vAnchor="text" w:hAnchor="margin" w:xAlign="right" w:y="1"/>
      <w:rPr>
        <w:rStyle w:val="a9"/>
      </w:rPr>
    </w:pPr>
    <w:r>
      <w:rPr>
        <w:rStyle w:val="a9"/>
      </w:rPr>
      <w:fldChar w:fldCharType="begin"/>
    </w:r>
    <w:r>
      <w:rPr>
        <w:rStyle w:val="a9"/>
      </w:rPr>
      <w:instrText xml:space="preserve">PAGE  </w:instrText>
    </w:r>
    <w:r>
      <w:rPr>
        <w:rStyle w:val="a9"/>
      </w:rPr>
      <w:fldChar w:fldCharType="separate"/>
    </w:r>
    <w:r>
      <w:rPr>
        <w:rStyle w:val="a9"/>
        <w:noProof/>
      </w:rPr>
      <w:t>2</w:t>
    </w:r>
    <w:r>
      <w:rPr>
        <w:rStyle w:val="a9"/>
      </w:rPr>
      <w:fldChar w:fldCharType="end"/>
    </w:r>
  </w:p>
  <w:p w:rsidR="0049594E" w:rsidRDefault="00CF69BD" w:rsidP="006C27EE">
    <w:pPr>
      <w:pStyle w:val="a7"/>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69BD" w:rsidRDefault="00CF69BD" w:rsidP="00D33089">
      <w:pPr>
        <w:spacing w:after="0" w:line="240" w:lineRule="auto"/>
      </w:pPr>
      <w:r>
        <w:separator/>
      </w:r>
    </w:p>
  </w:footnote>
  <w:footnote w:type="continuationSeparator" w:id="0">
    <w:p w:rsidR="00CF69BD" w:rsidRDefault="00CF69BD" w:rsidP="00D33089">
      <w:pPr>
        <w:spacing w:after="0" w:line="240" w:lineRule="auto"/>
      </w:pPr>
      <w:r>
        <w:continuationSeparator/>
      </w:r>
    </w:p>
  </w:footnote>
  <w:footnote w:id="1">
    <w:p w:rsidR="003E1BDD" w:rsidRPr="003E1BDD" w:rsidRDefault="003E1BDD" w:rsidP="003E1BDD">
      <w:pPr>
        <w:spacing w:after="0" w:line="240" w:lineRule="auto"/>
        <w:jc w:val="both"/>
        <w:rPr>
          <w:color w:val="000000" w:themeColor="text1"/>
          <w:sz w:val="20"/>
          <w:szCs w:val="20"/>
        </w:rPr>
      </w:pPr>
      <w:r w:rsidRPr="003E1BDD">
        <w:rPr>
          <w:rStyle w:val="ae"/>
          <w:color w:val="000000" w:themeColor="text1"/>
          <w:sz w:val="20"/>
          <w:szCs w:val="20"/>
        </w:rPr>
        <w:footnoteRef/>
      </w:r>
      <w:r w:rsidRPr="003E1BDD">
        <w:rPr>
          <w:color w:val="000000" w:themeColor="text1"/>
          <w:sz w:val="20"/>
          <w:szCs w:val="20"/>
        </w:rPr>
        <w:t xml:space="preserve"> </w:t>
      </w:r>
      <w:hyperlink r:id="rId1" w:history="1">
        <w:r w:rsidRPr="003E1BDD">
          <w:rPr>
            <w:color w:val="000000" w:themeColor="text1"/>
            <w:sz w:val="20"/>
            <w:szCs w:val="20"/>
          </w:rPr>
          <w:t>Словник української</w:t>
        </w:r>
        <w:r w:rsidR="00577BF9">
          <w:rPr>
            <w:color w:val="000000" w:themeColor="text1"/>
            <w:sz w:val="20"/>
            <w:szCs w:val="20"/>
          </w:rPr>
          <w:t xml:space="preserve"> мови : в 11 томах. </w:t>
        </w:r>
        <w:r w:rsidRPr="003E1BDD">
          <w:rPr>
            <w:color w:val="000000" w:themeColor="text1"/>
            <w:sz w:val="20"/>
            <w:szCs w:val="20"/>
          </w:rPr>
          <w:t>Том 3, 1972. – С. 250.</w:t>
        </w:r>
      </w:hyperlink>
    </w:p>
  </w:footnote>
  <w:footnote w:id="2">
    <w:p w:rsidR="003E1BDD" w:rsidRPr="003E1BDD" w:rsidRDefault="003E1BDD" w:rsidP="00977F32">
      <w:pPr>
        <w:pStyle w:val="ac"/>
        <w:jc w:val="both"/>
        <w:rPr>
          <w:color w:val="000000" w:themeColor="text1"/>
        </w:rPr>
      </w:pPr>
      <w:r w:rsidRPr="003E1BDD">
        <w:rPr>
          <w:rStyle w:val="ae"/>
          <w:color w:val="000000" w:themeColor="text1"/>
        </w:rPr>
        <w:footnoteRef/>
      </w:r>
      <w:r w:rsidRPr="003E1BDD">
        <w:rPr>
          <w:color w:val="000000" w:themeColor="text1"/>
        </w:rPr>
        <w:t xml:space="preserve"> </w:t>
      </w:r>
      <w:hyperlink r:id="rId2" w:history="1">
        <w:r w:rsidRPr="003E1BDD">
          <w:rPr>
            <w:color w:val="000000" w:themeColor="text1"/>
          </w:rPr>
          <w:t>Словник української мови</w:t>
        </w:r>
        <w:r>
          <w:rPr>
            <w:color w:val="000000" w:themeColor="text1"/>
          </w:rPr>
          <w:t xml:space="preserve"> </w:t>
        </w:r>
        <w:r w:rsidR="00577BF9">
          <w:rPr>
            <w:color w:val="000000" w:themeColor="text1"/>
          </w:rPr>
          <w:t xml:space="preserve">: в 11 томах. </w:t>
        </w:r>
        <w:r w:rsidRPr="003E1BDD">
          <w:rPr>
            <w:color w:val="000000" w:themeColor="text1"/>
          </w:rPr>
          <w:t>Том 1, 1970. – С. 459.</w:t>
        </w:r>
      </w:hyperlink>
    </w:p>
  </w:footnote>
  <w:footnote w:id="3">
    <w:p w:rsidR="00B90EB3" w:rsidRPr="00520E60" w:rsidRDefault="00B90EB3" w:rsidP="00977F32">
      <w:pPr>
        <w:pStyle w:val="ac"/>
        <w:jc w:val="both"/>
      </w:pPr>
      <w:r w:rsidRPr="00746553">
        <w:rPr>
          <w:rStyle w:val="ae"/>
        </w:rPr>
        <w:footnoteRef/>
      </w:r>
      <w:r w:rsidRPr="00746553">
        <w:t xml:space="preserve"> Лутковська В.В</w:t>
      </w:r>
      <w:r>
        <w:t>.</w:t>
      </w:r>
      <w:r w:rsidRPr="00746553">
        <w:t xml:space="preserve"> Конвенції про захист прав і основних свобод людини / Центр суддівських студій. </w:t>
      </w:r>
      <w:r w:rsidRPr="00746553">
        <w:rPr>
          <w:lang w:val="en-US"/>
        </w:rPr>
        <w:t>URL</w:t>
      </w:r>
      <w:r>
        <w:t xml:space="preserve"> </w:t>
      </w:r>
      <w:r w:rsidRPr="00C33F43">
        <w:t xml:space="preserve">: </w:t>
      </w:r>
      <w:r w:rsidRPr="00520E60">
        <w:t>http://www.judges.org.ua/seminar14-7.htm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9594E" w:rsidRDefault="00D441A2" w:rsidP="003A3764">
    <w:pPr>
      <w:pStyle w:val="a5"/>
      <w:jc w:val="center"/>
    </w:pPr>
    <w:r>
      <w:fldChar w:fldCharType="begin"/>
    </w:r>
    <w:r>
      <w:instrText>PAGE   \* MERGEFORMAT</w:instrText>
    </w:r>
    <w:r>
      <w:fldChar w:fldCharType="separate"/>
    </w:r>
    <w:r w:rsidR="00397B40">
      <w:rPr>
        <w:noProof/>
      </w:rPr>
      <w:t>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477C1" w:rsidRDefault="00D441A2" w:rsidP="000477C1">
    <w:pPr>
      <w:pStyle w:val="a5"/>
      <w:jc w:val="right"/>
      <w:rPr>
        <w:color w:val="000000" w:themeColor="text1"/>
        <w:sz w:val="20"/>
        <w:szCs w:val="20"/>
      </w:rPr>
    </w:pPr>
    <w:r w:rsidRPr="008D1E93">
      <w:rPr>
        <w:color w:val="000000" w:themeColor="text1"/>
        <w:sz w:val="20"/>
        <w:szCs w:val="20"/>
      </w:rPr>
      <w:t xml:space="preserve">До реєстр. № </w:t>
    </w:r>
    <w:r w:rsidR="00D33089">
      <w:rPr>
        <w:color w:val="000000" w:themeColor="text1"/>
        <w:sz w:val="20"/>
        <w:szCs w:val="20"/>
      </w:rPr>
      <w:t>5176</w:t>
    </w:r>
    <w:r w:rsidRPr="008D1E93">
      <w:rPr>
        <w:color w:val="000000" w:themeColor="text1"/>
        <w:sz w:val="20"/>
        <w:szCs w:val="20"/>
      </w:rPr>
      <w:t xml:space="preserve"> від </w:t>
    </w:r>
    <w:r w:rsidR="00D33089" w:rsidRPr="00D33089">
      <w:rPr>
        <w:color w:val="000000" w:themeColor="text1"/>
        <w:sz w:val="20"/>
        <w:szCs w:val="20"/>
      </w:rPr>
      <w:t>01.03.2021</w:t>
    </w:r>
  </w:p>
  <w:p w:rsidR="00D33089" w:rsidRDefault="00D33089" w:rsidP="000477C1">
    <w:pPr>
      <w:pStyle w:val="a5"/>
      <w:jc w:val="right"/>
      <w:rPr>
        <w:color w:val="000000" w:themeColor="text1"/>
        <w:sz w:val="20"/>
        <w:szCs w:val="20"/>
      </w:rPr>
    </w:pPr>
    <w:r>
      <w:rPr>
        <w:color w:val="000000" w:themeColor="text1"/>
        <w:sz w:val="20"/>
        <w:szCs w:val="20"/>
      </w:rPr>
      <w:t>Народний депутат</w:t>
    </w:r>
    <w:r w:rsidRPr="00836442">
      <w:rPr>
        <w:color w:val="000000" w:themeColor="text1"/>
        <w:sz w:val="20"/>
        <w:szCs w:val="20"/>
      </w:rPr>
      <w:t xml:space="preserve"> України</w:t>
    </w:r>
  </w:p>
  <w:p w:rsidR="0049594E" w:rsidRPr="008D1E93" w:rsidRDefault="00D33089" w:rsidP="00D33089">
    <w:pPr>
      <w:pStyle w:val="a5"/>
      <w:jc w:val="right"/>
      <w:rPr>
        <w:color w:val="000000" w:themeColor="text1"/>
        <w:sz w:val="20"/>
        <w:szCs w:val="20"/>
      </w:rPr>
    </w:pPr>
    <w:r>
      <w:rPr>
        <w:color w:val="000000" w:themeColor="text1"/>
        <w:sz w:val="20"/>
        <w:szCs w:val="20"/>
      </w:rPr>
      <w:t>О. Дунда</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A004CE"/>
    <w:multiLevelType w:val="hybridMultilevel"/>
    <w:tmpl w:val="454871A0"/>
    <w:lvl w:ilvl="0" w:tplc="FD66FBC4">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33089"/>
    <w:rsid w:val="000269A4"/>
    <w:rsid w:val="000A56F8"/>
    <w:rsid w:val="00101643"/>
    <w:rsid w:val="00185B6C"/>
    <w:rsid w:val="001A3596"/>
    <w:rsid w:val="001A4603"/>
    <w:rsid w:val="001B7818"/>
    <w:rsid w:val="001E5131"/>
    <w:rsid w:val="001E7ACC"/>
    <w:rsid w:val="00234C76"/>
    <w:rsid w:val="002A5D02"/>
    <w:rsid w:val="002C69A2"/>
    <w:rsid w:val="00397B40"/>
    <w:rsid w:val="003E1BDD"/>
    <w:rsid w:val="003E5CC5"/>
    <w:rsid w:val="003F4452"/>
    <w:rsid w:val="0040449A"/>
    <w:rsid w:val="00464D49"/>
    <w:rsid w:val="00470A84"/>
    <w:rsid w:val="0056072C"/>
    <w:rsid w:val="00577BF9"/>
    <w:rsid w:val="0058330C"/>
    <w:rsid w:val="00634770"/>
    <w:rsid w:val="0063585B"/>
    <w:rsid w:val="006728B6"/>
    <w:rsid w:val="007278F6"/>
    <w:rsid w:val="007607DF"/>
    <w:rsid w:val="00792C61"/>
    <w:rsid w:val="007B3E1B"/>
    <w:rsid w:val="007B52BC"/>
    <w:rsid w:val="007E76D4"/>
    <w:rsid w:val="007F5FD4"/>
    <w:rsid w:val="008E7453"/>
    <w:rsid w:val="00920743"/>
    <w:rsid w:val="00920F98"/>
    <w:rsid w:val="00977F32"/>
    <w:rsid w:val="00984FE9"/>
    <w:rsid w:val="009D7A5D"/>
    <w:rsid w:val="00A21932"/>
    <w:rsid w:val="00A70E0D"/>
    <w:rsid w:val="00A93D3C"/>
    <w:rsid w:val="00B33260"/>
    <w:rsid w:val="00B721B5"/>
    <w:rsid w:val="00B90EB3"/>
    <w:rsid w:val="00BE4DD3"/>
    <w:rsid w:val="00C92C93"/>
    <w:rsid w:val="00CB1A71"/>
    <w:rsid w:val="00CF69BD"/>
    <w:rsid w:val="00D33089"/>
    <w:rsid w:val="00D441A2"/>
    <w:rsid w:val="00D85BE2"/>
    <w:rsid w:val="00E46631"/>
    <w:rsid w:val="00E5320D"/>
    <w:rsid w:val="00F964D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EEF2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E1BDD"/>
    <w:rPr>
      <w:rFonts w:ascii="Times New Roman" w:eastAsia="Calibri" w:hAnsi="Times New Roman" w:cs="Times New Roman"/>
      <w:sz w:val="28"/>
    </w:rPr>
  </w:style>
  <w:style w:type="paragraph" w:styleId="2">
    <w:name w:val="heading 2"/>
    <w:basedOn w:val="a"/>
    <w:next w:val="a"/>
    <w:link w:val="20"/>
    <w:uiPriority w:val="9"/>
    <w:semiHidden/>
    <w:unhideWhenUsed/>
    <w:qFormat/>
    <w:rsid w:val="00D3308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semiHidden/>
    <w:unhideWhenUsed/>
    <w:qFormat/>
    <w:rsid w:val="00D33089"/>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7">
    <w:name w:val="heading 7"/>
    <w:basedOn w:val="a"/>
    <w:next w:val="a"/>
    <w:link w:val="70"/>
    <w:qFormat/>
    <w:rsid w:val="00D33089"/>
    <w:pPr>
      <w:keepNext/>
      <w:autoSpaceDE w:val="0"/>
      <w:autoSpaceDN w:val="0"/>
      <w:spacing w:after="0" w:line="240" w:lineRule="auto"/>
      <w:ind w:firstLine="720"/>
      <w:jc w:val="center"/>
      <w:outlineLvl w:val="6"/>
    </w:pPr>
    <w:rPr>
      <w:rFonts w:ascii="Arial" w:eastAsia="Times New Roman" w:hAnsi="Arial" w:cs="Arial"/>
      <w:b/>
      <w:bCs/>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70">
    <w:name w:val="Заголовок 7 Знак"/>
    <w:basedOn w:val="a0"/>
    <w:link w:val="7"/>
    <w:rsid w:val="00D33089"/>
    <w:rPr>
      <w:rFonts w:ascii="Arial" w:eastAsia="Times New Roman" w:hAnsi="Arial" w:cs="Arial"/>
      <w:b/>
      <w:bCs/>
      <w:sz w:val="28"/>
      <w:szCs w:val="28"/>
      <w:lang w:eastAsia="ru-RU"/>
    </w:rPr>
  </w:style>
  <w:style w:type="paragraph" w:styleId="a3">
    <w:name w:val="Body Text"/>
    <w:basedOn w:val="a"/>
    <w:link w:val="a4"/>
    <w:unhideWhenUsed/>
    <w:rsid w:val="00D33089"/>
    <w:pPr>
      <w:autoSpaceDE w:val="0"/>
      <w:autoSpaceDN w:val="0"/>
      <w:spacing w:after="0" w:line="240" w:lineRule="auto"/>
      <w:ind w:firstLine="706"/>
      <w:jc w:val="both"/>
    </w:pPr>
    <w:rPr>
      <w:rFonts w:ascii="Arial" w:eastAsia="Times New Roman" w:hAnsi="Arial" w:cs="Arial"/>
      <w:szCs w:val="28"/>
      <w:lang w:eastAsia="ru-RU"/>
    </w:rPr>
  </w:style>
  <w:style w:type="character" w:customStyle="1" w:styleId="a4">
    <w:name w:val="Основний текст Знак"/>
    <w:basedOn w:val="a0"/>
    <w:link w:val="a3"/>
    <w:rsid w:val="00D33089"/>
    <w:rPr>
      <w:rFonts w:ascii="Arial" w:eastAsia="Times New Roman" w:hAnsi="Arial" w:cs="Arial"/>
      <w:sz w:val="28"/>
      <w:szCs w:val="28"/>
      <w:lang w:eastAsia="ru-RU"/>
    </w:rPr>
  </w:style>
  <w:style w:type="paragraph" w:styleId="a5">
    <w:name w:val="header"/>
    <w:basedOn w:val="a"/>
    <w:link w:val="a6"/>
    <w:uiPriority w:val="99"/>
    <w:unhideWhenUsed/>
    <w:rsid w:val="00D33089"/>
    <w:pPr>
      <w:tabs>
        <w:tab w:val="center" w:pos="4677"/>
        <w:tab w:val="right" w:pos="9355"/>
      </w:tabs>
      <w:spacing w:after="0" w:line="240" w:lineRule="auto"/>
    </w:pPr>
    <w:rPr>
      <w:rFonts w:eastAsia="SimSun"/>
      <w:sz w:val="24"/>
      <w:szCs w:val="24"/>
      <w:lang w:eastAsia="zh-CN"/>
    </w:rPr>
  </w:style>
  <w:style w:type="character" w:customStyle="1" w:styleId="a6">
    <w:name w:val="Верхній колонтитул Знак"/>
    <w:basedOn w:val="a0"/>
    <w:link w:val="a5"/>
    <w:uiPriority w:val="99"/>
    <w:rsid w:val="00D33089"/>
    <w:rPr>
      <w:rFonts w:ascii="Times New Roman" w:eastAsia="SimSun" w:hAnsi="Times New Roman" w:cs="Times New Roman"/>
      <w:sz w:val="24"/>
      <w:szCs w:val="24"/>
      <w:lang w:eastAsia="zh-CN"/>
    </w:rPr>
  </w:style>
  <w:style w:type="paragraph" w:styleId="a7">
    <w:name w:val="footer"/>
    <w:basedOn w:val="a"/>
    <w:link w:val="a8"/>
    <w:uiPriority w:val="99"/>
    <w:unhideWhenUsed/>
    <w:rsid w:val="00D33089"/>
    <w:pPr>
      <w:tabs>
        <w:tab w:val="center" w:pos="4677"/>
        <w:tab w:val="right" w:pos="9355"/>
      </w:tabs>
      <w:spacing w:after="0" w:line="240" w:lineRule="auto"/>
    </w:pPr>
    <w:rPr>
      <w:rFonts w:eastAsia="SimSun"/>
      <w:sz w:val="24"/>
      <w:szCs w:val="24"/>
      <w:lang w:eastAsia="zh-CN"/>
    </w:rPr>
  </w:style>
  <w:style w:type="character" w:customStyle="1" w:styleId="a8">
    <w:name w:val="Нижній колонтитул Знак"/>
    <w:basedOn w:val="a0"/>
    <w:link w:val="a7"/>
    <w:uiPriority w:val="99"/>
    <w:rsid w:val="00D33089"/>
    <w:rPr>
      <w:rFonts w:ascii="Times New Roman" w:eastAsia="SimSun" w:hAnsi="Times New Roman" w:cs="Times New Roman"/>
      <w:sz w:val="24"/>
      <w:szCs w:val="24"/>
      <w:lang w:eastAsia="zh-CN"/>
    </w:rPr>
  </w:style>
  <w:style w:type="character" w:styleId="a9">
    <w:name w:val="page number"/>
    <w:rsid w:val="00D33089"/>
  </w:style>
  <w:style w:type="paragraph" w:styleId="aa">
    <w:name w:val="No Spacing"/>
    <w:uiPriority w:val="1"/>
    <w:qFormat/>
    <w:rsid w:val="00D33089"/>
    <w:pPr>
      <w:spacing w:after="0" w:line="240" w:lineRule="auto"/>
    </w:pPr>
  </w:style>
  <w:style w:type="character" w:styleId="ab">
    <w:name w:val="Emphasis"/>
    <w:basedOn w:val="a0"/>
    <w:uiPriority w:val="20"/>
    <w:qFormat/>
    <w:rsid w:val="00D33089"/>
    <w:rPr>
      <w:i/>
      <w:iCs/>
    </w:rPr>
  </w:style>
  <w:style w:type="paragraph" w:styleId="ac">
    <w:name w:val="footnote text"/>
    <w:basedOn w:val="a"/>
    <w:link w:val="ad"/>
    <w:unhideWhenUsed/>
    <w:rsid w:val="00D33089"/>
    <w:pPr>
      <w:spacing w:after="0" w:line="240" w:lineRule="auto"/>
    </w:pPr>
    <w:rPr>
      <w:sz w:val="20"/>
      <w:szCs w:val="20"/>
    </w:rPr>
  </w:style>
  <w:style w:type="character" w:customStyle="1" w:styleId="ad">
    <w:name w:val="Текст виноски Знак"/>
    <w:basedOn w:val="a0"/>
    <w:link w:val="ac"/>
    <w:rsid w:val="00D33089"/>
    <w:rPr>
      <w:rFonts w:ascii="Times New Roman" w:eastAsia="Calibri" w:hAnsi="Times New Roman" w:cs="Times New Roman"/>
      <w:sz w:val="20"/>
      <w:szCs w:val="20"/>
    </w:rPr>
  </w:style>
  <w:style w:type="character" w:styleId="ae">
    <w:name w:val="footnote reference"/>
    <w:basedOn w:val="a0"/>
    <w:semiHidden/>
    <w:unhideWhenUsed/>
    <w:rsid w:val="00D33089"/>
    <w:rPr>
      <w:vertAlign w:val="superscript"/>
    </w:rPr>
  </w:style>
  <w:style w:type="character" w:customStyle="1" w:styleId="20">
    <w:name w:val="Заголовок 2 Знак"/>
    <w:basedOn w:val="a0"/>
    <w:link w:val="2"/>
    <w:uiPriority w:val="9"/>
    <w:semiHidden/>
    <w:rsid w:val="00D33089"/>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semiHidden/>
    <w:rsid w:val="00D33089"/>
    <w:rPr>
      <w:rFonts w:asciiTheme="majorHAnsi" w:eastAsiaTheme="majorEastAsia" w:hAnsiTheme="majorHAnsi" w:cstheme="majorBidi"/>
      <w:color w:val="1F4D78" w:themeColor="accent1" w:themeShade="7F"/>
      <w:sz w:val="24"/>
      <w:szCs w:val="24"/>
    </w:rPr>
  </w:style>
  <w:style w:type="paragraph" w:customStyle="1" w:styleId="21">
    <w:name w:val="Основной текст с отступом 21"/>
    <w:basedOn w:val="a"/>
    <w:uiPriority w:val="99"/>
    <w:rsid w:val="00D33089"/>
    <w:pPr>
      <w:suppressAutoHyphens/>
      <w:spacing w:after="0" w:line="240" w:lineRule="auto"/>
      <w:ind w:firstLine="709"/>
      <w:jc w:val="both"/>
    </w:pPr>
    <w:rPr>
      <w:rFonts w:eastAsia="Times New Roman"/>
      <w:sz w:val="26"/>
      <w:szCs w:val="26"/>
      <w:lang w:eastAsia="ar-SA"/>
    </w:rPr>
  </w:style>
  <w:style w:type="paragraph" w:styleId="af">
    <w:name w:val="List Paragraph"/>
    <w:basedOn w:val="a"/>
    <w:uiPriority w:val="34"/>
    <w:qFormat/>
    <w:rsid w:val="00D33089"/>
    <w:pPr>
      <w:ind w:left="720"/>
      <w:contextualSpacing/>
    </w:pPr>
  </w:style>
  <w:style w:type="paragraph" w:styleId="af0">
    <w:name w:val="Normal (Web)"/>
    <w:basedOn w:val="a"/>
    <w:uiPriority w:val="99"/>
    <w:unhideWhenUsed/>
    <w:rsid w:val="00E5320D"/>
    <w:pPr>
      <w:spacing w:before="100" w:beforeAutospacing="1" w:after="100" w:afterAutospacing="1" w:line="240" w:lineRule="auto"/>
    </w:pPr>
    <w:rPr>
      <w:rFonts w:eastAsia="Times New Roman"/>
      <w:sz w:val="24"/>
      <w:szCs w:val="24"/>
      <w:lang w:eastAsia="uk-UA"/>
    </w:rPr>
  </w:style>
  <w:style w:type="paragraph" w:styleId="af1">
    <w:name w:val="Balloon Text"/>
    <w:basedOn w:val="a"/>
    <w:link w:val="af2"/>
    <w:uiPriority w:val="99"/>
    <w:semiHidden/>
    <w:unhideWhenUsed/>
    <w:rsid w:val="009D7A5D"/>
    <w:pPr>
      <w:spacing w:after="0" w:line="240" w:lineRule="auto"/>
    </w:pPr>
    <w:rPr>
      <w:rFonts w:ascii="Segoe UI" w:hAnsi="Segoe UI" w:cs="Segoe UI"/>
      <w:sz w:val="18"/>
      <w:szCs w:val="18"/>
    </w:rPr>
  </w:style>
  <w:style w:type="character" w:customStyle="1" w:styleId="af2">
    <w:name w:val="Текст у виносці Знак"/>
    <w:basedOn w:val="a0"/>
    <w:link w:val="af1"/>
    <w:uiPriority w:val="99"/>
    <w:semiHidden/>
    <w:rsid w:val="009D7A5D"/>
    <w:rPr>
      <w:rFonts w:ascii="Segoe UI" w:eastAsia="Calibr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9709074">
      <w:bodyDiv w:val="1"/>
      <w:marLeft w:val="0"/>
      <w:marRight w:val="0"/>
      <w:marTop w:val="0"/>
      <w:marBottom w:val="0"/>
      <w:divBdr>
        <w:top w:val="none" w:sz="0" w:space="0" w:color="auto"/>
        <w:left w:val="none" w:sz="0" w:space="0" w:color="auto"/>
        <w:bottom w:val="none" w:sz="0" w:space="0" w:color="auto"/>
        <w:right w:val="none" w:sz="0" w:space="0" w:color="auto"/>
      </w:divBdr>
    </w:div>
    <w:div w:id="201787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notes.xml.rels><?xml version="1.0" encoding="UTF-8" standalone="yes"?>
<Relationships xmlns="http://schemas.openxmlformats.org/package/2006/relationships"><Relationship Id="rId2" Type="http://schemas.openxmlformats.org/officeDocument/2006/relationships/hyperlink" Target="http://sum.in.ua/p/1/459/1" TargetMode="External"/><Relationship Id="rId1" Type="http://schemas.openxmlformats.org/officeDocument/2006/relationships/hyperlink" Target="http://sum.in.ua/p/3/250/1"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600445-DFC5-4F22-93EA-206ECA9BA6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4724</Words>
  <Characters>2693</Characters>
  <Application>Microsoft Office Word</Application>
  <DocSecurity>0</DocSecurity>
  <Lines>22</Lines>
  <Paragraphs>14</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7403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2022-02-04T10:43:00Z</dcterms:created>
  <dcterms:modified xsi:type="dcterms:W3CDTF">2022-02-04T10:43:00Z</dcterms:modified>
</cp:coreProperties>
</file>